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C6DCDF">
      <w:pPr>
        <w:keepNext w:val="0"/>
        <w:keepLines w:val="0"/>
        <w:pageBreakBefore w:val="0"/>
        <w:widowControl w:val="0"/>
        <w:kinsoku/>
        <w:wordWrap/>
        <w:overflowPunct/>
        <w:topLinePunct w:val="0"/>
        <w:autoSpaceDE/>
        <w:autoSpaceDN/>
        <w:bidi w:val="0"/>
        <w:adjustRightInd/>
        <w:spacing w:line="560" w:lineRule="exact"/>
        <w:jc w:val="right"/>
        <w:textAlignment w:val="auto"/>
        <w:rPr>
          <w:rFonts w:hint="eastAsia" w:ascii="仿宋_GB2312" w:hAnsi="仿宋_GB2312" w:eastAsia="仿宋_GB2312" w:cs="仿宋_GB2312"/>
          <w:color w:val="000000"/>
          <w:kern w:val="0"/>
          <w:sz w:val="32"/>
          <w:szCs w:val="32"/>
        </w:rPr>
      </w:pPr>
      <w:bookmarkStart w:id="0" w:name="_Hlk123206329"/>
      <w:r>
        <w:rPr>
          <w:rFonts w:hint="eastAsia" w:ascii="仿宋_GB2312" w:hAnsi="仿宋_GB2312" w:eastAsia="仿宋_GB2312" w:cs="仿宋_GB2312"/>
          <w:color w:val="000000"/>
          <w:kern w:val="0"/>
          <w:sz w:val="32"/>
          <w:szCs w:val="32"/>
        </w:rPr>
        <w:t>清深国院规〔2025〕1</w:t>
      </w:r>
      <w:r>
        <w:rPr>
          <w:rFonts w:hint="eastAsia" w:ascii="仿宋_GB2312" w:hAnsi="仿宋_GB2312" w:eastAsia="仿宋_GB2312" w:cs="仿宋_GB2312"/>
          <w:color w:val="000000"/>
          <w:kern w:val="0"/>
          <w:sz w:val="32"/>
          <w:szCs w:val="32"/>
          <w:lang w:val="en-US" w:eastAsia="zh-CN"/>
        </w:rPr>
        <w:t>1</w:t>
      </w:r>
      <w:r>
        <w:rPr>
          <w:rFonts w:hint="eastAsia" w:ascii="仿宋_GB2312" w:hAnsi="仿宋_GB2312" w:eastAsia="仿宋_GB2312" w:cs="仿宋_GB2312"/>
          <w:color w:val="000000"/>
          <w:kern w:val="0"/>
          <w:sz w:val="32"/>
          <w:szCs w:val="32"/>
        </w:rPr>
        <w:t>号</w:t>
      </w:r>
    </w:p>
    <w:p w14:paraId="756141AC">
      <w:pPr>
        <w:keepNext w:val="0"/>
        <w:keepLines w:val="0"/>
        <w:pageBreakBefore w:val="0"/>
        <w:widowControl w:val="0"/>
        <w:kinsoku/>
        <w:wordWrap/>
        <w:overflowPunct/>
        <w:topLinePunct w:val="0"/>
        <w:autoSpaceDE/>
        <w:autoSpaceDN/>
        <w:bidi w:val="0"/>
        <w:adjustRightInd/>
        <w:spacing w:line="560" w:lineRule="exact"/>
        <w:jc w:val="right"/>
        <w:textAlignment w:val="auto"/>
        <w:rPr>
          <w:rFonts w:hint="eastAsia" w:ascii="仿宋_GB2312" w:hAnsi="仿宋_GB2312" w:eastAsia="仿宋_GB2312" w:cs="仿宋_GB2312"/>
          <w:color w:val="000000"/>
          <w:kern w:val="0"/>
          <w:sz w:val="32"/>
          <w:szCs w:val="32"/>
        </w:rPr>
      </w:pPr>
      <w:bookmarkStart w:id="2" w:name="_GoBack"/>
      <w:bookmarkEnd w:id="2"/>
    </w:p>
    <w:p w14:paraId="62EB6F4E">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color w:val="000000"/>
          <w:kern w:val="0"/>
          <w:sz w:val="36"/>
          <w:szCs w:val="36"/>
        </w:rPr>
        <w:t>清华大学深圳国际研究生院领导班子贯彻落实</w:t>
      </w:r>
    </w:p>
    <w:p w14:paraId="0638C824">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color w:val="000000"/>
          <w:kern w:val="0"/>
          <w:sz w:val="36"/>
          <w:szCs w:val="36"/>
        </w:rPr>
        <w:t>“三重一大”决策制度的实施办法</w:t>
      </w:r>
    </w:p>
    <w:p w14:paraId="314BB8D6">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Style w:val="21"/>
          <w:rFonts w:hint="eastAsia" w:ascii="仿宋_GB2312" w:hAnsi="仿宋_GB2312" w:eastAsia="仿宋_GB2312" w:cs="仿宋_GB2312"/>
          <w:sz w:val="30"/>
          <w:szCs w:val="30"/>
          <w:lang w:val="en-US" w:eastAsia="zh-CN"/>
        </w:rPr>
      </w:pPr>
      <w:r>
        <w:rPr>
          <w:rStyle w:val="21"/>
          <w:rFonts w:hint="eastAsia" w:ascii="仿宋_GB2312" w:hAnsi="仿宋_GB2312" w:eastAsia="仿宋_GB2312" w:cs="仿宋_GB2312"/>
          <w:sz w:val="30"/>
          <w:szCs w:val="30"/>
          <w:lang w:val="en-US" w:eastAsia="zh-CN"/>
        </w:rPr>
        <w:t>经</w:t>
      </w:r>
      <w:r>
        <w:rPr>
          <w:rStyle w:val="21"/>
          <w:rFonts w:hint="eastAsia" w:ascii="仿宋_GB2312" w:hAnsi="仿宋_GB2312" w:eastAsia="仿宋_GB2312" w:cs="仿宋_GB2312"/>
          <w:sz w:val="30"/>
          <w:szCs w:val="30"/>
        </w:rPr>
        <w:t>二〇二三年第一次院务会（2023年1月3日）审议</w:t>
      </w:r>
      <w:r>
        <w:rPr>
          <w:rStyle w:val="21"/>
          <w:rFonts w:hint="eastAsia" w:ascii="仿宋_GB2312" w:hAnsi="仿宋_GB2312" w:eastAsia="仿宋_GB2312" w:cs="仿宋_GB2312"/>
          <w:sz w:val="30"/>
          <w:szCs w:val="30"/>
          <w:lang w:val="en-US" w:eastAsia="zh-CN"/>
        </w:rPr>
        <w:t>通过，</w:t>
      </w:r>
    </w:p>
    <w:p w14:paraId="0F1814D2">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Style w:val="21"/>
          <w:rFonts w:hint="eastAsia" w:ascii="仿宋_GB2312" w:hAnsi="仿宋_GB2312" w:eastAsia="仿宋_GB2312" w:cs="仿宋_GB2312"/>
          <w:sz w:val="30"/>
          <w:szCs w:val="30"/>
        </w:rPr>
      </w:pPr>
      <w:r>
        <w:rPr>
          <w:rStyle w:val="21"/>
          <w:rFonts w:hint="eastAsia" w:ascii="仿宋_GB2312" w:hAnsi="仿宋_GB2312" w:eastAsia="仿宋_GB2312" w:cs="仿宋_GB2312"/>
          <w:sz w:val="30"/>
          <w:szCs w:val="30"/>
        </w:rPr>
        <w:t>二〇二</w:t>
      </w:r>
      <w:r>
        <w:rPr>
          <w:rStyle w:val="21"/>
          <w:rFonts w:hint="eastAsia" w:ascii="仿宋_GB2312" w:hAnsi="仿宋_GB2312" w:eastAsia="仿宋_GB2312" w:cs="仿宋_GB2312"/>
          <w:sz w:val="30"/>
          <w:szCs w:val="30"/>
          <w:lang w:val="en-US" w:eastAsia="zh-CN"/>
        </w:rPr>
        <w:t>五</w:t>
      </w:r>
      <w:r>
        <w:rPr>
          <w:rStyle w:val="21"/>
          <w:rFonts w:hint="eastAsia" w:ascii="仿宋_GB2312" w:hAnsi="仿宋_GB2312" w:eastAsia="仿宋_GB2312" w:cs="仿宋_GB2312"/>
          <w:sz w:val="30"/>
          <w:szCs w:val="30"/>
        </w:rPr>
        <w:t>年第</w:t>
      </w:r>
      <w:r>
        <w:rPr>
          <w:rStyle w:val="21"/>
          <w:rFonts w:hint="eastAsia" w:ascii="仿宋_GB2312" w:hAnsi="仿宋_GB2312" w:eastAsia="仿宋_GB2312" w:cs="仿宋_GB2312"/>
          <w:sz w:val="30"/>
          <w:szCs w:val="30"/>
          <w:lang w:val="en-US" w:eastAsia="zh-CN"/>
        </w:rPr>
        <w:t>五十一</w:t>
      </w:r>
      <w:r>
        <w:rPr>
          <w:rStyle w:val="21"/>
          <w:rFonts w:hint="eastAsia" w:ascii="仿宋_GB2312" w:hAnsi="仿宋_GB2312" w:eastAsia="仿宋_GB2312" w:cs="仿宋_GB2312"/>
          <w:sz w:val="30"/>
          <w:szCs w:val="30"/>
        </w:rPr>
        <w:t>次党政联席会议（</w:t>
      </w:r>
      <w:r>
        <w:rPr>
          <w:rStyle w:val="21"/>
          <w:rFonts w:hint="eastAsia" w:ascii="仿宋_GB2312" w:hAnsi="仿宋_GB2312" w:eastAsia="仿宋_GB2312" w:cs="仿宋_GB2312"/>
          <w:sz w:val="30"/>
          <w:szCs w:val="30"/>
          <w:lang w:val="en-US" w:eastAsia="zh-CN"/>
        </w:rPr>
        <w:t>2025</w:t>
      </w:r>
      <w:r>
        <w:rPr>
          <w:rStyle w:val="21"/>
          <w:rFonts w:hint="eastAsia" w:ascii="仿宋_GB2312" w:hAnsi="仿宋_GB2312" w:eastAsia="仿宋_GB2312" w:cs="仿宋_GB2312"/>
          <w:sz w:val="30"/>
          <w:szCs w:val="30"/>
        </w:rPr>
        <w:t>年</w:t>
      </w:r>
      <w:r>
        <w:rPr>
          <w:rStyle w:val="21"/>
          <w:rFonts w:hint="eastAsia" w:ascii="仿宋_GB2312" w:hAnsi="仿宋_GB2312" w:eastAsia="仿宋_GB2312" w:cs="仿宋_GB2312"/>
          <w:sz w:val="30"/>
          <w:szCs w:val="30"/>
          <w:lang w:val="en-US" w:eastAsia="zh-CN"/>
        </w:rPr>
        <w:t>9</w:t>
      </w:r>
      <w:r>
        <w:rPr>
          <w:rStyle w:val="21"/>
          <w:rFonts w:hint="eastAsia" w:ascii="仿宋_GB2312" w:hAnsi="仿宋_GB2312" w:eastAsia="仿宋_GB2312" w:cs="仿宋_GB2312"/>
          <w:sz w:val="30"/>
          <w:szCs w:val="30"/>
        </w:rPr>
        <w:t>月</w:t>
      </w:r>
      <w:r>
        <w:rPr>
          <w:rStyle w:val="21"/>
          <w:rFonts w:hint="eastAsia" w:ascii="仿宋_GB2312" w:hAnsi="仿宋_GB2312" w:eastAsia="仿宋_GB2312" w:cs="仿宋_GB2312"/>
          <w:sz w:val="30"/>
          <w:szCs w:val="30"/>
          <w:lang w:val="en-US" w:eastAsia="zh-CN"/>
        </w:rPr>
        <w:t>8</w:t>
      </w:r>
      <w:r>
        <w:rPr>
          <w:rStyle w:val="21"/>
          <w:rFonts w:hint="eastAsia" w:ascii="仿宋_GB2312" w:hAnsi="仿宋_GB2312" w:eastAsia="仿宋_GB2312" w:cs="仿宋_GB2312"/>
          <w:sz w:val="30"/>
          <w:szCs w:val="30"/>
        </w:rPr>
        <w:t>日）</w:t>
      </w:r>
      <w:r>
        <w:rPr>
          <w:rStyle w:val="21"/>
          <w:rFonts w:hint="eastAsia" w:ascii="仿宋_GB2312" w:hAnsi="仿宋_GB2312" w:eastAsia="仿宋_GB2312" w:cs="仿宋_GB2312"/>
          <w:sz w:val="30"/>
          <w:szCs w:val="30"/>
          <w:lang w:val="en-US" w:eastAsia="zh-CN"/>
        </w:rPr>
        <w:t>修订</w:t>
      </w:r>
    </w:p>
    <w:p w14:paraId="60038826">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Style w:val="21"/>
          <w:rFonts w:hint="eastAsia" w:ascii="仿宋_GB2312" w:hAnsi="仿宋_GB2312" w:eastAsia="仿宋_GB2312" w:cs="仿宋_GB2312"/>
          <w:sz w:val="32"/>
          <w:szCs w:val="32"/>
        </w:rPr>
      </w:pPr>
    </w:p>
    <w:p w14:paraId="2A553346">
      <w:pPr>
        <w:keepNext w:val="0"/>
        <w:keepLines w:val="0"/>
        <w:pageBreakBefore w:val="0"/>
        <w:widowControl w:val="0"/>
        <w:kinsoku/>
        <w:wordWrap/>
        <w:overflowPunct/>
        <w:topLinePunct w:val="0"/>
        <w:autoSpaceDE/>
        <w:autoSpaceDN/>
        <w:bidi w:val="0"/>
        <w:adjustRightInd/>
        <w:spacing w:line="560" w:lineRule="exact"/>
        <w:ind w:firstLine="3"/>
        <w:jc w:val="center"/>
        <w:textAlignment w:val="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第一章 总则</w:t>
      </w:r>
    </w:p>
    <w:p w14:paraId="25BC9293">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color w:val="000000"/>
          <w:kern w:val="0"/>
          <w:sz w:val="32"/>
        </w:rPr>
      </w:pPr>
      <w:r>
        <w:rPr>
          <w:rFonts w:hint="eastAsia" w:ascii="仿宋_GB2312" w:hAnsi="仿宋_GB2312" w:eastAsia="仿宋_GB2312" w:cs="仿宋_GB2312"/>
          <w:b/>
          <w:bCs/>
          <w:color w:val="000000"/>
          <w:kern w:val="0"/>
          <w:sz w:val="32"/>
          <w:szCs w:val="32"/>
        </w:rPr>
        <w:t>第一条</w:t>
      </w:r>
      <w:r>
        <w:rPr>
          <w:rFonts w:hint="eastAsia" w:ascii="仿宋_GB2312" w:hAnsi="仿宋_GB2312" w:eastAsia="仿宋_GB2312" w:cs="仿宋_GB2312"/>
          <w:color w:val="000000"/>
          <w:kern w:val="0"/>
          <w:sz w:val="32"/>
          <w:szCs w:val="32"/>
        </w:rPr>
        <w:t xml:space="preserve"> 为了深入贯彻落实全面从严治党要求，进一步完善落实民主集中制的决策机制，规范和监督领导班子的决策行为，提高科学、民主、依法决策水平，防范决策风险，推动</w:t>
      </w:r>
      <w:r>
        <w:rPr>
          <w:rFonts w:hint="eastAsia" w:ascii="仿宋_GB2312" w:hAnsi="仿宋_GB2312" w:eastAsia="仿宋_GB2312" w:cs="仿宋_GB2312"/>
          <w:color w:val="000000"/>
          <w:kern w:val="0"/>
          <w:sz w:val="32"/>
          <w:szCs w:val="32"/>
          <w:lang w:val="en-US" w:eastAsia="zh-CN"/>
        </w:rPr>
        <w:t>清华大学深圳国际研究生院（以下简称“</w:t>
      </w:r>
      <w:r>
        <w:rPr>
          <w:rFonts w:hint="eastAsia" w:ascii="仿宋_GB2312" w:hAnsi="仿宋_GB2312" w:eastAsia="仿宋_GB2312" w:cs="仿宋_GB2312"/>
          <w:color w:val="000000"/>
          <w:kern w:val="0"/>
          <w:sz w:val="32"/>
          <w:szCs w:val="32"/>
        </w:rPr>
        <w:t>学院</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各项事业科学发展，按照中共中央关于凡属重大决策、重要人事任免、重大项目安排和大额度资金运作（简称“三重一大”）事项必须由领导班子集体作出决定的要求，</w:t>
      </w:r>
      <w:bookmarkStart w:id="1" w:name="_Hlk101085689"/>
      <w:r>
        <w:rPr>
          <w:rFonts w:hint="eastAsia" w:ascii="仿宋_GB2312" w:hAnsi="仿宋_GB2312" w:eastAsia="仿宋_GB2312" w:cs="仿宋_GB2312"/>
          <w:color w:val="000000"/>
          <w:kern w:val="0"/>
          <w:sz w:val="32"/>
          <w:szCs w:val="32"/>
        </w:rPr>
        <w:t>根据《中国共产党普通高等学校基层组织工作条例》</w:t>
      </w:r>
      <w:bookmarkEnd w:id="1"/>
      <w:r>
        <w:rPr>
          <w:rFonts w:hint="eastAsia" w:ascii="仿宋_GB2312" w:hAnsi="仿宋_GB2312" w:eastAsia="仿宋_GB2312" w:cs="仿宋_GB2312"/>
          <w:color w:val="000000"/>
          <w:kern w:val="0"/>
          <w:sz w:val="32"/>
          <w:szCs w:val="32"/>
        </w:rPr>
        <w:t>以及《教育部关于进一步推进直属高校贯彻落实“三重一大”决策制度的意见》《清华大学关于坚持和完善党委领导下的校长负责制的实施办法》《清华大学领导班子贯彻落实“三重一大”决策制度的实施办法》等相关规定，结合学院实际，制定本办法。</w:t>
      </w:r>
    </w:p>
    <w:bookmarkEnd w:id="0"/>
    <w:p w14:paraId="121B8987">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color w:val="000000"/>
          <w:kern w:val="0"/>
          <w:sz w:val="32"/>
        </w:rPr>
      </w:pPr>
      <w:r>
        <w:rPr>
          <w:rFonts w:hint="eastAsia" w:ascii="仿宋_GB2312" w:hAnsi="仿宋_GB2312" w:eastAsia="仿宋_GB2312" w:cs="仿宋_GB2312"/>
          <w:b/>
          <w:bCs/>
          <w:color w:val="000000"/>
          <w:kern w:val="0"/>
          <w:sz w:val="32"/>
          <w:szCs w:val="32"/>
        </w:rPr>
        <w:t>第二条</w:t>
      </w:r>
      <w:r>
        <w:rPr>
          <w:rFonts w:hint="eastAsia" w:ascii="仿宋_GB2312" w:hAnsi="仿宋_GB2312" w:eastAsia="仿宋_GB2312" w:cs="仿宋_GB2312"/>
          <w:color w:val="000000"/>
          <w:kern w:val="0"/>
          <w:sz w:val="32"/>
          <w:szCs w:val="32"/>
        </w:rPr>
        <w:t xml:space="preserve"> 学院“三重一大”事项坚持集体决策原则。学院建立健全议事规则和决策程序，凡“三重一大”事项必须经学院领导班子集体研究决定。坚持务实高效，保证决策的科学性；充分发扬民主，广泛听取意见，保证决策的民主性；遵守国家法律法规、党内法规和有关政策，保证决策合法合规。</w:t>
      </w:r>
    </w:p>
    <w:p w14:paraId="2A276B3E">
      <w:pPr>
        <w:keepNext w:val="0"/>
        <w:keepLines w:val="0"/>
        <w:pageBreakBefore w:val="0"/>
        <w:widowControl w:val="0"/>
        <w:kinsoku/>
        <w:wordWrap/>
        <w:overflowPunct/>
        <w:topLinePunct w:val="0"/>
        <w:autoSpaceDE/>
        <w:autoSpaceDN/>
        <w:bidi w:val="0"/>
        <w:adjustRightInd/>
        <w:spacing w:line="560" w:lineRule="exact"/>
        <w:ind w:firstLine="3"/>
        <w:jc w:val="center"/>
        <w:textAlignment w:val="auto"/>
        <w:rPr>
          <w:rFonts w:hint="eastAsia" w:ascii="黑体" w:hAnsi="黑体" w:eastAsia="黑体" w:cs="黑体"/>
          <w:color w:val="000000"/>
          <w:kern w:val="0"/>
          <w:sz w:val="32"/>
          <w:szCs w:val="32"/>
        </w:rPr>
      </w:pPr>
    </w:p>
    <w:p w14:paraId="75A68AD9">
      <w:pPr>
        <w:keepNext w:val="0"/>
        <w:keepLines w:val="0"/>
        <w:pageBreakBefore w:val="0"/>
        <w:widowControl w:val="0"/>
        <w:kinsoku/>
        <w:wordWrap/>
        <w:overflowPunct/>
        <w:topLinePunct w:val="0"/>
        <w:autoSpaceDE/>
        <w:autoSpaceDN/>
        <w:bidi w:val="0"/>
        <w:adjustRightInd/>
        <w:spacing w:line="560" w:lineRule="exact"/>
        <w:ind w:firstLine="3"/>
        <w:jc w:val="center"/>
        <w:textAlignment w:val="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第二章 “三重一大”事项的主要范围</w:t>
      </w:r>
    </w:p>
    <w:p w14:paraId="2BC1E7AA">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lang w:val="en-US" w:eastAsia="zh-CN" w:bidi="ar-SA"/>
        </w:rPr>
        <w:t>第三条</w:t>
      </w:r>
      <w:r>
        <w:rPr>
          <w:rFonts w:hint="eastAsia" w:ascii="仿宋_GB2312" w:hAnsi="仿宋_GB2312" w:eastAsia="仿宋_GB2312" w:cs="仿宋_GB2312"/>
          <w:b/>
          <w:bCs/>
          <w:color w:val="000000"/>
          <w:kern w:val="0"/>
          <w:sz w:val="32"/>
          <w:szCs w:val="32"/>
          <w:highlight w:val="none"/>
          <w:lang w:val="en-US" w:eastAsia="zh-CN" w:bidi="ar-SA"/>
        </w:rPr>
        <w:t xml:space="preserve"> </w:t>
      </w:r>
      <w:r>
        <w:rPr>
          <w:rFonts w:hint="eastAsia" w:ascii="仿宋_GB2312" w:hAnsi="仿宋_GB2312" w:eastAsia="仿宋_GB2312" w:cs="仿宋_GB2312"/>
          <w:color w:val="000000"/>
          <w:kern w:val="0"/>
          <w:sz w:val="32"/>
          <w:szCs w:val="32"/>
          <w:highlight w:val="none"/>
        </w:rPr>
        <w:t>学院重大决策事项，是</w:t>
      </w:r>
      <w:r>
        <w:rPr>
          <w:rFonts w:hint="eastAsia" w:ascii="仿宋_GB2312" w:hAnsi="仿宋_GB2312" w:eastAsia="仿宋_GB2312" w:cs="仿宋_GB2312"/>
          <w:color w:val="000000"/>
          <w:kern w:val="0"/>
          <w:sz w:val="32"/>
          <w:szCs w:val="32"/>
        </w:rPr>
        <w:t>指事关学院改革发展稳定全局和广大师生员工切身利益，依据有关规定应当由学院领导班子集体研究决定的重要事项。主要包括：</w:t>
      </w:r>
    </w:p>
    <w:p w14:paraId="6E72F8F9">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1.学习贯彻习近平新时代中国特色社会主义思想、落实党的路线方针政策和上级党组织决策部署的重大举措；</w:t>
      </w:r>
    </w:p>
    <w:p w14:paraId="57C115A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2.学院</w:t>
      </w:r>
      <w:r>
        <w:rPr>
          <w:rFonts w:hint="eastAsia" w:ascii="仿宋_GB2312" w:hAnsi="仿宋_GB2312" w:eastAsia="仿宋_GB2312" w:cs="仿宋_GB2312"/>
          <w:color w:val="000000"/>
          <w:kern w:val="0"/>
          <w:sz w:val="32"/>
          <w:szCs w:val="32"/>
          <w:lang w:val="en-US" w:eastAsia="zh-CN"/>
        </w:rPr>
        <w:t>的</w:t>
      </w:r>
      <w:r>
        <w:rPr>
          <w:rFonts w:hint="eastAsia" w:ascii="仿宋_GB2312" w:hAnsi="仿宋_GB2312" w:eastAsia="仿宋_GB2312" w:cs="仿宋_GB2312"/>
          <w:color w:val="000000"/>
          <w:kern w:val="0"/>
          <w:sz w:val="32"/>
          <w:szCs w:val="32"/>
        </w:rPr>
        <w:t>办学方针、指导思想和培养目标；</w:t>
      </w:r>
    </w:p>
    <w:p w14:paraId="3F87E59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3.学院思想政治工作、意识形态工作、基层党组织和党员队伍建设、全面从严治党、党的纪律检查工作、党风廉政建设、巡视巡察工作等党的建设重要事项；</w:t>
      </w:r>
    </w:p>
    <w:p w14:paraId="04560906">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4.文化建设、师德师风建设、院风教风学风建设、精神文明建设、校园安全稳定和重大突发事件处置等方面的重要事项；</w:t>
      </w:r>
    </w:p>
    <w:p w14:paraId="4D8D5D0B">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5.学院中长期发展目标和事业发展规划； </w:t>
      </w:r>
    </w:p>
    <w:p w14:paraId="3F314BEA">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6.学院年度工作计划；</w:t>
      </w:r>
    </w:p>
    <w:p w14:paraId="506FDED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7.学科新建、支持、调整与重组方案；</w:t>
      </w:r>
    </w:p>
    <w:p w14:paraId="3DE99B3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ascii="仿宋_GB2312" w:hAnsi="仿宋_GB2312" w:eastAsia="仿宋_GB2312" w:cs="仿宋_GB2312"/>
          <w:color w:val="000000"/>
          <w:kern w:val="0"/>
          <w:sz w:val="32"/>
          <w:szCs w:val="32"/>
          <w:highlight w:val="none"/>
          <w:lang w:val="en-US"/>
        </w:rPr>
      </w:pPr>
      <w:r>
        <w:rPr>
          <w:rFonts w:hint="eastAsia" w:ascii="仿宋_GB2312" w:hAnsi="仿宋_GB2312" w:eastAsia="仿宋_GB2312" w:cs="仿宋_GB2312"/>
          <w:color w:val="000000"/>
          <w:kern w:val="0"/>
          <w:sz w:val="32"/>
          <w:szCs w:val="32"/>
          <w:highlight w:val="none"/>
          <w:lang w:val="en-US" w:eastAsia="zh-CN" w:bidi="ar"/>
        </w:rPr>
        <w:t>8.教育教学改革方案及招生</w:t>
      </w:r>
      <w:r>
        <w:rPr>
          <w:rFonts w:hint="eastAsia" w:ascii="仿宋_GB2312" w:hAnsi="仿宋_GB2312" w:eastAsia="仿宋_GB2312" w:cs="仿宋_GB2312"/>
          <w:color w:val="000000"/>
          <w:kern w:val="0"/>
          <w:sz w:val="32"/>
          <w:szCs w:val="32"/>
          <w:highlight w:val="none"/>
          <w:lang w:val="en-US" w:eastAsia="zh" w:bidi="ar"/>
          <w:woUserID w:val="2"/>
        </w:rPr>
        <w:t>、</w:t>
      </w:r>
      <w:r>
        <w:rPr>
          <w:rFonts w:hint="eastAsia" w:ascii="仿宋_GB2312" w:hAnsi="仿宋_GB2312" w:eastAsia="仿宋_GB2312" w:cs="仿宋_GB2312"/>
          <w:color w:val="000000"/>
          <w:kern w:val="0"/>
          <w:sz w:val="32"/>
          <w:szCs w:val="32"/>
          <w:highlight w:val="none"/>
          <w:lang w:val="en-US" w:eastAsia="zh-CN" w:bidi="ar"/>
        </w:rPr>
        <w:t>学籍管理、培养基本要求等重要事项；</w:t>
      </w:r>
    </w:p>
    <w:p w14:paraId="4873BDE1">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9.学院体制和运行机制的改革与调整；</w:t>
      </w:r>
    </w:p>
    <w:p w14:paraId="3259724B">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10.学院主要党政规章制度的制定、修改及废止；</w:t>
      </w:r>
    </w:p>
    <w:p w14:paraId="269F94F6">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woUserID w:val="0"/>
        </w:rPr>
      </w:pPr>
      <w:r>
        <w:rPr>
          <w:rFonts w:hint="eastAsia" w:ascii="仿宋_GB2312" w:hAnsi="仿宋_GB2312" w:eastAsia="仿宋_GB2312" w:cs="仿宋_GB2312"/>
          <w:color w:val="000000"/>
          <w:kern w:val="0"/>
          <w:sz w:val="32"/>
          <w:szCs w:val="32"/>
          <w:highlight w:val="none"/>
        </w:rPr>
        <w:t>11.</w:t>
      </w:r>
      <w:r>
        <w:rPr>
          <w:rFonts w:hint="eastAsia" w:ascii="仿宋_GB2312" w:hAnsi="仿宋_GB2312" w:eastAsia="仿宋_GB2312" w:cs="仿宋_GB2312"/>
          <w:color w:val="000000"/>
          <w:kern w:val="0"/>
          <w:sz w:val="32"/>
          <w:szCs w:val="32"/>
          <w:highlight w:val="none"/>
          <w:lang w:eastAsia="zh"/>
          <w:woUserID w:val="2"/>
        </w:rPr>
        <w:t>学院</w:t>
      </w:r>
      <w:r>
        <w:rPr>
          <w:rFonts w:hint="eastAsia" w:ascii="仿宋_GB2312" w:hAnsi="仿宋_GB2312" w:eastAsia="仿宋_GB2312" w:cs="仿宋_GB2312"/>
          <w:color w:val="000000"/>
          <w:kern w:val="0"/>
          <w:sz w:val="32"/>
          <w:szCs w:val="32"/>
          <w:highlight w:val="none"/>
        </w:rPr>
        <w:t>内部组织机构的设置与调</w:t>
      </w:r>
      <w:r>
        <w:rPr>
          <w:rFonts w:hint="eastAsia" w:ascii="仿宋_GB2312" w:hAnsi="仿宋_GB2312" w:eastAsia="仿宋_GB2312" w:cs="仿宋_GB2312"/>
          <w:color w:val="000000"/>
          <w:kern w:val="0"/>
          <w:sz w:val="32"/>
          <w:szCs w:val="32"/>
        </w:rPr>
        <w:t>整；</w:t>
      </w:r>
    </w:p>
    <w:p w14:paraId="13AED9CE">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12.学院人才工作规划、重要人才政策和重要人才工程计划，人才工作体制机制创新、人才发展环境优化的重要措施，人才政治把关的重要措施，人才队伍建设和落实人事制度改革的重要事项；</w:t>
      </w:r>
    </w:p>
    <w:p w14:paraId="589E5EAA">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13.人事制度改革和教职工队伍建设中的重要事项；</w:t>
      </w:r>
    </w:p>
    <w:p w14:paraId="01D1DA0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14.教职工薪酬体系、收入分配及福利待遇、奖励、惩处和其他事关师生员工切身利益的重要事项；</w:t>
      </w:r>
    </w:p>
    <w:p w14:paraId="5D16A9E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15.学院年度财务预算和决算方案；</w:t>
      </w:r>
    </w:p>
    <w:p w14:paraId="691E4601">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16.基建规划和校园规划；</w:t>
      </w:r>
    </w:p>
    <w:p w14:paraId="08140C0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17.重要资产处置、重要办学资源配置、重要无形资产授权使用方案等国有资产保护管理的重要事项；</w:t>
      </w:r>
    </w:p>
    <w:p w14:paraId="77E56B5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18.学院重大科研成果转化项目及作价入股项目后续重要事项；</w:t>
      </w:r>
    </w:p>
    <w:p w14:paraId="671732F3">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rPr>
      </w:pPr>
      <w:r>
        <w:rPr>
          <w:rFonts w:hint="eastAsia" w:ascii="仿宋_GB2312" w:hAnsi="仿宋_GB2312" w:eastAsia="仿宋_GB2312" w:cs="仿宋_GB2312"/>
          <w:color w:val="000000"/>
          <w:kern w:val="0"/>
          <w:sz w:val="32"/>
          <w:szCs w:val="32"/>
          <w:highlight w:val="none"/>
        </w:rPr>
        <w:t>19.对巡视</w:t>
      </w:r>
      <w:r>
        <w:rPr>
          <w:rFonts w:hint="eastAsia" w:ascii="仿宋_GB2312" w:hAnsi="仿宋_GB2312" w:eastAsia="仿宋_GB2312" w:cs="仿宋_GB2312"/>
          <w:color w:val="000000"/>
          <w:kern w:val="0"/>
          <w:sz w:val="32"/>
          <w:szCs w:val="32"/>
        </w:rPr>
        <w:t>、审计、相关专项检查所发现重要问题的整改方案；</w:t>
      </w:r>
    </w:p>
    <w:p w14:paraId="61552463">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20.院党政领导班子认为应当集体研究决定的其他重</w:t>
      </w:r>
      <w:r>
        <w:rPr>
          <w:rFonts w:hint="eastAsia" w:ascii="仿宋_GB2312" w:hAnsi="仿宋_GB2312" w:eastAsia="仿宋_GB2312" w:cs="仿宋_GB2312"/>
          <w:color w:val="000000"/>
          <w:kern w:val="0"/>
          <w:sz w:val="32"/>
          <w:szCs w:val="32"/>
          <w:lang w:val="en-US" w:eastAsia="zh-CN"/>
        </w:rPr>
        <w:t>大</w:t>
      </w:r>
      <w:r>
        <w:rPr>
          <w:rFonts w:hint="eastAsia" w:ascii="仿宋_GB2312" w:hAnsi="仿宋_GB2312" w:eastAsia="仿宋_GB2312" w:cs="仿宋_GB2312"/>
          <w:color w:val="000000"/>
          <w:kern w:val="0"/>
          <w:sz w:val="32"/>
          <w:szCs w:val="32"/>
        </w:rPr>
        <w:t>决策事项。</w:t>
      </w:r>
    </w:p>
    <w:p w14:paraId="4BC6180A">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lang w:val="en-US" w:eastAsia="zh-CN" w:bidi="ar-SA"/>
        </w:rPr>
        <w:t xml:space="preserve">第四条 </w:t>
      </w:r>
      <w:r>
        <w:rPr>
          <w:rFonts w:hint="eastAsia" w:ascii="仿宋_GB2312" w:hAnsi="仿宋_GB2312" w:eastAsia="仿宋_GB2312" w:cs="仿宋_GB2312"/>
          <w:b w:val="0"/>
          <w:bCs w:val="0"/>
          <w:color w:val="000000"/>
          <w:kern w:val="0"/>
          <w:sz w:val="32"/>
          <w:szCs w:val="32"/>
          <w:lang w:val="en-US" w:eastAsia="zh-CN" w:bidi="ar-SA"/>
        </w:rPr>
        <w:t>学</w:t>
      </w:r>
      <w:r>
        <w:rPr>
          <w:rFonts w:hint="eastAsia" w:ascii="仿宋_GB2312" w:hAnsi="仿宋_GB2312" w:eastAsia="仿宋_GB2312" w:cs="仿宋_GB2312"/>
          <w:color w:val="000000"/>
          <w:kern w:val="0"/>
          <w:sz w:val="32"/>
          <w:szCs w:val="32"/>
        </w:rPr>
        <w:t>院重要人事任免事项，是指按照干部管理权限应当由学院决定和需要报送上级单位审批的重要人事事项。主要包括：</w:t>
      </w:r>
    </w:p>
    <w:p w14:paraId="41D3161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1.院管干部任免；</w:t>
      </w:r>
    </w:p>
    <w:p w14:paraId="6ACD7CE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color w:val="000000"/>
          <w:kern w:val="0"/>
          <w:sz w:val="32"/>
          <w:szCs w:val="32"/>
          <w:highlight w:val="yellow"/>
          <w:lang w:val="en-US" w:eastAsia="zh-CN"/>
        </w:rPr>
      </w:pPr>
      <w:r>
        <w:rPr>
          <w:rFonts w:hint="eastAsia" w:ascii="仿宋_GB2312" w:hAnsi="仿宋_GB2312" w:eastAsia="仿宋_GB2312" w:cs="仿宋_GB2312"/>
          <w:color w:val="000000"/>
          <w:kern w:val="0"/>
          <w:sz w:val="32"/>
          <w:szCs w:val="32"/>
          <w:highlight w:val="none"/>
        </w:rPr>
        <w:t>2</w:t>
      </w:r>
      <w:r>
        <w:rPr>
          <w:rFonts w:hint="default" w:ascii="仿宋_GB2312" w:hAnsi="仿宋_GB2312" w:eastAsia="仿宋_GB2312" w:cs="仿宋_GB2312"/>
          <w:color w:val="000000"/>
          <w:kern w:val="0"/>
          <w:sz w:val="32"/>
          <w:szCs w:val="32"/>
          <w:highlight w:val="none"/>
          <w:lang w:val="en-US" w:eastAsia="zh-CN"/>
        </w:rPr>
        <w:t>.</w:t>
      </w:r>
      <w:r>
        <w:rPr>
          <w:rFonts w:hint="eastAsia" w:ascii="仿宋_GB2312" w:hAnsi="仿宋_GB2312" w:eastAsia="仿宋_GB2312" w:cs="仿宋_GB2312"/>
          <w:color w:val="000000"/>
          <w:kern w:val="0"/>
          <w:sz w:val="32"/>
          <w:szCs w:val="32"/>
          <w:highlight w:val="none"/>
        </w:rPr>
        <w:t>学术委员会</w:t>
      </w:r>
      <w:r>
        <w:rPr>
          <w:rFonts w:hint="eastAsia" w:ascii="仿宋_GB2312" w:hAnsi="仿宋_GB2312" w:eastAsia="仿宋_GB2312" w:cs="仿宋_GB2312"/>
          <w:color w:val="000000"/>
          <w:kern w:val="0"/>
          <w:sz w:val="32"/>
          <w:szCs w:val="32"/>
          <w:highlight w:val="none"/>
          <w:lang w:eastAsia="zh-CN"/>
        </w:rPr>
        <w:t>、</w:t>
      </w:r>
      <w:r>
        <w:rPr>
          <w:rFonts w:hint="eastAsia" w:ascii="仿宋_GB2312" w:hAnsi="仿宋_GB2312" w:eastAsia="仿宋_GB2312" w:cs="仿宋_GB2312"/>
          <w:color w:val="000000"/>
          <w:kern w:val="0"/>
          <w:sz w:val="32"/>
          <w:szCs w:val="32"/>
          <w:highlight w:val="none"/>
          <w:lang w:val="en-US" w:eastAsia="zh-CN"/>
        </w:rPr>
        <w:t>教学委员会的主任和副主任</w:t>
      </w:r>
      <w:r>
        <w:rPr>
          <w:rFonts w:hint="eastAsia" w:ascii="仿宋_GB2312" w:hAnsi="仿宋_GB2312" w:eastAsia="仿宋_GB2312" w:cs="仿宋_GB2312"/>
          <w:color w:val="000000"/>
          <w:kern w:val="0"/>
          <w:sz w:val="32"/>
          <w:szCs w:val="32"/>
          <w:highlight w:val="none"/>
        </w:rPr>
        <w:t>的任免；学位评定分委员会</w:t>
      </w:r>
      <w:r>
        <w:rPr>
          <w:rFonts w:hint="eastAsia" w:ascii="仿宋_GB2312" w:hAnsi="仿宋_GB2312" w:eastAsia="仿宋_GB2312" w:cs="仿宋_GB2312"/>
          <w:color w:val="000000"/>
          <w:kern w:val="0"/>
          <w:sz w:val="32"/>
          <w:szCs w:val="32"/>
          <w:highlight w:val="none"/>
          <w:lang w:val="en-US" w:eastAsia="zh-CN"/>
        </w:rPr>
        <w:t>主席、副主席的</w:t>
      </w:r>
      <w:r>
        <w:rPr>
          <w:rFonts w:hint="eastAsia" w:ascii="仿宋_GB2312" w:hAnsi="仿宋_GB2312" w:eastAsia="仿宋_GB2312" w:cs="仿宋_GB2312"/>
          <w:color w:val="000000"/>
          <w:kern w:val="0"/>
          <w:sz w:val="32"/>
          <w:szCs w:val="32"/>
          <w:highlight w:val="none"/>
        </w:rPr>
        <w:t>提名；</w:t>
      </w:r>
      <w:r>
        <w:rPr>
          <w:rFonts w:hint="eastAsia" w:ascii="仿宋_GB2312" w:hAnsi="仿宋_GB2312" w:eastAsia="仿宋_GB2312" w:cs="仿宋_GB2312"/>
          <w:color w:val="000000"/>
          <w:kern w:val="0"/>
          <w:sz w:val="32"/>
          <w:szCs w:val="32"/>
          <w:highlight w:val="none"/>
          <w:lang w:val="en-US" w:eastAsia="zh-CN"/>
        </w:rPr>
        <w:t>其他有关专项工作领导小组组成人员和专门委员会主任、副主任的任免；</w:t>
      </w:r>
    </w:p>
    <w:p w14:paraId="226EF58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3.院内挂职干部的任免；</w:t>
      </w:r>
    </w:p>
    <w:p w14:paraId="0A0610C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4.依托学院建设的校级机构负责人人选推荐；</w:t>
      </w:r>
    </w:p>
    <w:p w14:paraId="10A9E29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5.院领导在企业、社会团体等的重要兼职；</w:t>
      </w:r>
    </w:p>
    <w:p w14:paraId="16C350A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6.</w:t>
      </w:r>
      <w:r>
        <w:rPr>
          <w:rFonts w:hint="eastAsia" w:ascii="仿宋_GB2312" w:hAnsi="仿宋_GB2312" w:eastAsia="仿宋_GB2312" w:cs="仿宋_GB2312"/>
          <w:color w:val="000000"/>
          <w:kern w:val="0"/>
          <w:sz w:val="32"/>
          <w:szCs w:val="32"/>
          <w:lang w:val="en-US" w:eastAsia="zh-CN"/>
        </w:rPr>
        <w:t>院管干部的问责和</w:t>
      </w:r>
      <w:r>
        <w:rPr>
          <w:rFonts w:hint="eastAsia" w:ascii="仿宋_GB2312" w:hAnsi="仿宋_GB2312" w:eastAsia="仿宋_GB2312" w:cs="仿宋_GB2312"/>
          <w:color w:val="000000"/>
          <w:kern w:val="0"/>
          <w:sz w:val="32"/>
          <w:szCs w:val="32"/>
        </w:rPr>
        <w:t>党纪、政纪处分；</w:t>
      </w:r>
    </w:p>
    <w:p w14:paraId="48F261A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7.上级党代会代表、人大代表、政协委员等人选的推荐；</w:t>
      </w:r>
    </w:p>
    <w:p w14:paraId="5792BD1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8.</w:t>
      </w:r>
      <w:r>
        <w:rPr>
          <w:rFonts w:hint="eastAsia" w:ascii="仿宋_GB2312" w:hAnsi="仿宋_GB2312" w:eastAsia="仿宋_GB2312" w:cs="仿宋_GB2312"/>
          <w:color w:val="000000"/>
          <w:kern w:val="0"/>
          <w:sz w:val="32"/>
          <w:szCs w:val="32"/>
        </w:rPr>
        <w:t>党政领导班子认为应当集体研究决定的其他重要人事任免</w:t>
      </w:r>
      <w:r>
        <w:rPr>
          <w:rFonts w:hint="eastAsia" w:ascii="仿宋_GB2312" w:hAnsi="仿宋_GB2312" w:eastAsia="仿宋_GB2312" w:cs="仿宋_GB2312"/>
          <w:color w:val="000000"/>
          <w:kern w:val="0"/>
          <w:sz w:val="32"/>
          <w:szCs w:val="32"/>
          <w:lang w:val="en-US" w:eastAsia="zh-CN"/>
        </w:rPr>
        <w:t>事项</w:t>
      </w:r>
      <w:r>
        <w:rPr>
          <w:rFonts w:hint="eastAsia" w:ascii="仿宋_GB2312" w:hAnsi="仿宋_GB2312" w:eastAsia="仿宋_GB2312" w:cs="仿宋_GB2312"/>
          <w:color w:val="000000"/>
          <w:kern w:val="0"/>
          <w:sz w:val="32"/>
          <w:szCs w:val="32"/>
        </w:rPr>
        <w:t>。</w:t>
      </w:r>
    </w:p>
    <w:p w14:paraId="0917E181">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lang w:val="en-US" w:eastAsia="zh-CN" w:bidi="ar-SA"/>
        </w:rPr>
        <w:t xml:space="preserve">第五条 </w:t>
      </w:r>
      <w:r>
        <w:rPr>
          <w:rFonts w:hint="eastAsia" w:ascii="仿宋_GB2312" w:hAnsi="仿宋_GB2312" w:eastAsia="仿宋_GB2312" w:cs="仿宋_GB2312"/>
          <w:color w:val="000000"/>
          <w:kern w:val="0"/>
          <w:sz w:val="32"/>
          <w:szCs w:val="32"/>
        </w:rPr>
        <w:t>学院重大项目安排事项，是指对学院办学规模、结构、布局、质量等产生重要影响的项目设立和安排。主要包括：</w:t>
      </w:r>
    </w:p>
    <w:p w14:paraId="1202E79D">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1.国家或地方各类重点建设项目；</w:t>
      </w:r>
    </w:p>
    <w:p w14:paraId="5D6DCC4C">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highlight w:val="yellow"/>
        </w:rPr>
      </w:pPr>
      <w:r>
        <w:rPr>
          <w:rFonts w:hint="eastAsia" w:ascii="仿宋_GB2312" w:hAnsi="仿宋_GB2312" w:eastAsia="仿宋_GB2312" w:cs="仿宋_GB2312"/>
          <w:color w:val="000000"/>
          <w:kern w:val="0"/>
          <w:sz w:val="32"/>
          <w:szCs w:val="32"/>
          <w:highlight w:val="none"/>
        </w:rPr>
        <w:t>2.国内境外重要合作项目；</w:t>
      </w:r>
    </w:p>
    <w:p w14:paraId="5D1FF00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rPr>
        <w:t>3.重大基本建设项目、</w:t>
      </w:r>
      <w:r>
        <w:rPr>
          <w:rFonts w:hint="eastAsia" w:ascii="仿宋_GB2312" w:hAnsi="仿宋_GB2312" w:eastAsia="仿宋_GB2312" w:cs="仿宋_GB2312"/>
          <w:color w:val="000000"/>
          <w:kern w:val="0"/>
          <w:sz w:val="32"/>
          <w:szCs w:val="32"/>
          <w:highlight w:val="none"/>
        </w:rPr>
        <w:t>大额度修缮项目</w:t>
      </w:r>
      <w:r>
        <w:rPr>
          <w:rFonts w:hint="eastAsia" w:ascii="仿宋_GB2312" w:hAnsi="仿宋_GB2312" w:eastAsia="仿宋_GB2312" w:cs="仿宋_GB2312"/>
          <w:color w:val="000000"/>
          <w:kern w:val="0"/>
          <w:sz w:val="32"/>
          <w:szCs w:val="32"/>
          <w:highlight w:val="none"/>
          <w:lang w:eastAsia="zh"/>
          <w:woUserID w:val="2"/>
        </w:rPr>
        <w:t>和</w:t>
      </w:r>
      <w:r>
        <w:rPr>
          <w:rFonts w:hint="eastAsia" w:ascii="仿宋_GB2312" w:hAnsi="仿宋_GB2312" w:eastAsia="仿宋_GB2312" w:cs="仿宋_GB2312"/>
          <w:color w:val="000000"/>
          <w:kern w:val="0"/>
          <w:sz w:val="32"/>
          <w:szCs w:val="32"/>
          <w:highlight w:val="none"/>
        </w:rPr>
        <w:t>校园建设</w:t>
      </w:r>
      <w:r>
        <w:rPr>
          <w:rFonts w:hint="eastAsia" w:ascii="仿宋_GB2312" w:hAnsi="仿宋_GB2312" w:eastAsia="仿宋_GB2312" w:cs="仿宋_GB2312"/>
          <w:color w:val="000000"/>
          <w:kern w:val="0"/>
          <w:sz w:val="32"/>
          <w:szCs w:val="32"/>
          <w:highlight w:val="none"/>
          <w:lang w:eastAsia="zh"/>
          <w:woUserID w:val="2"/>
        </w:rPr>
        <w:t>项目</w:t>
      </w:r>
      <w:r>
        <w:rPr>
          <w:rFonts w:hint="eastAsia" w:ascii="仿宋_GB2312" w:hAnsi="仿宋_GB2312" w:eastAsia="仿宋_GB2312" w:cs="仿宋_GB2312"/>
          <w:color w:val="000000"/>
          <w:kern w:val="0"/>
          <w:sz w:val="32"/>
          <w:szCs w:val="32"/>
          <w:highlight w:val="none"/>
        </w:rPr>
        <w:t xml:space="preserve">； </w:t>
      </w:r>
    </w:p>
    <w:p w14:paraId="54B4634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color w:val="000000"/>
          <w:kern w:val="0"/>
          <w:sz w:val="32"/>
          <w:highlight w:val="none"/>
        </w:rPr>
      </w:pPr>
      <w:r>
        <w:rPr>
          <w:rFonts w:hint="eastAsia" w:ascii="仿宋_GB2312" w:hAnsi="仿宋_GB2312" w:eastAsia="仿宋_GB2312" w:cs="仿宋_GB2312"/>
          <w:color w:val="000000"/>
          <w:kern w:val="0"/>
          <w:sz w:val="32"/>
          <w:szCs w:val="32"/>
          <w:highlight w:val="none"/>
        </w:rPr>
        <w:t>4.</w:t>
      </w:r>
      <w:r>
        <w:rPr>
          <w:rFonts w:hint="eastAsia" w:ascii="仿宋_GB2312" w:hAnsi="仿宋_GB2312" w:eastAsia="仿宋_GB2312" w:cs="仿宋_GB2312"/>
          <w:color w:val="000000"/>
          <w:kern w:val="0"/>
          <w:sz w:val="32"/>
          <w:szCs w:val="32"/>
          <w:highlight w:val="none"/>
          <w:lang w:val="en-US" w:eastAsia="zh-CN"/>
        </w:rPr>
        <w:t>重点实验室</w:t>
      </w:r>
      <w:r>
        <w:rPr>
          <w:rFonts w:hint="eastAsia" w:ascii="仿宋_GB2312" w:hAnsi="仿宋_GB2312" w:eastAsia="仿宋_GB2312" w:cs="仿宋_GB2312"/>
          <w:color w:val="000000"/>
          <w:kern w:val="0"/>
          <w:sz w:val="32"/>
          <w:szCs w:val="32"/>
          <w:highlight w:val="none"/>
        </w:rPr>
        <w:t>建设和大型仪器设备、大宗物资采购或购买服务</w:t>
      </w:r>
      <w:r>
        <w:rPr>
          <w:rFonts w:hint="eastAsia" w:ascii="仿宋_GB2312" w:hAnsi="仿宋_GB2312" w:eastAsia="仿宋_GB2312" w:cs="仿宋_GB2312"/>
          <w:color w:val="000000"/>
          <w:kern w:val="0"/>
          <w:sz w:val="32"/>
          <w:szCs w:val="32"/>
          <w:highlight w:val="none"/>
          <w:lang w:eastAsia="zh"/>
          <w:woUserID w:val="2"/>
        </w:rPr>
        <w:t>，</w:t>
      </w:r>
      <w:r>
        <w:rPr>
          <w:rFonts w:hint="eastAsia" w:ascii="仿宋_GB2312" w:hAnsi="仿宋_GB2312" w:eastAsia="仿宋_GB2312" w:cs="仿宋_GB2312"/>
          <w:color w:val="000000"/>
          <w:kern w:val="0"/>
          <w:sz w:val="32"/>
          <w:szCs w:val="32"/>
          <w:highlight w:val="none"/>
        </w:rPr>
        <w:t>重要科研对外委托业务；</w:t>
      </w:r>
    </w:p>
    <w:p w14:paraId="5A7C87B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.院党政领导班子认为应当集体研究决定的其他重大项目安排事项。</w:t>
      </w:r>
    </w:p>
    <w:p w14:paraId="5D260BAD">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color w:val="000000"/>
          <w:kern w:val="0"/>
          <w:sz w:val="32"/>
        </w:rPr>
      </w:pPr>
      <w:r>
        <w:rPr>
          <w:rFonts w:hint="eastAsia" w:ascii="仿宋_GB2312" w:hAnsi="仿宋_GB2312" w:eastAsia="仿宋_GB2312" w:cs="仿宋_GB2312"/>
          <w:b/>
          <w:bCs/>
          <w:color w:val="000000"/>
          <w:kern w:val="0"/>
          <w:sz w:val="32"/>
          <w:szCs w:val="32"/>
          <w:lang w:val="en-US" w:eastAsia="zh-CN" w:bidi="ar-SA"/>
        </w:rPr>
        <w:t xml:space="preserve">第六条 </w:t>
      </w:r>
      <w:r>
        <w:rPr>
          <w:rFonts w:hint="eastAsia" w:ascii="仿宋_GB2312" w:hAnsi="仿宋_GB2312" w:eastAsia="仿宋_GB2312" w:cs="仿宋_GB2312"/>
          <w:color w:val="000000"/>
          <w:kern w:val="0"/>
          <w:sz w:val="32"/>
          <w:szCs w:val="32"/>
        </w:rPr>
        <w:t>学院大额度资金运作事项，是指超过学院所规定的院领导班子成员有权调动、使用的资金限额的资金调动和使用。主要包括：</w:t>
      </w:r>
      <w:r>
        <w:rPr>
          <w:rFonts w:hint="eastAsia" w:ascii="仿宋_GB2312" w:hAnsi="仿宋_GB2312" w:eastAsia="仿宋_GB2312" w:cs="仿宋_GB2312"/>
          <w:color w:val="000000"/>
          <w:kern w:val="0"/>
          <w:sz w:val="32"/>
          <w:szCs w:val="32"/>
          <w:highlight w:val="none"/>
        </w:rPr>
        <w:t>学院年度预算内大额度资金调动使用、</w:t>
      </w:r>
      <w:r>
        <w:rPr>
          <w:rFonts w:hint="eastAsia" w:ascii="仿宋_GB2312" w:hAnsi="仿宋_GB2312" w:eastAsia="仿宋_GB2312" w:cs="仿宋_GB2312"/>
          <w:color w:val="000000"/>
          <w:kern w:val="0"/>
          <w:sz w:val="32"/>
          <w:szCs w:val="32"/>
        </w:rPr>
        <w:t>未列入学院年度预算的</w:t>
      </w:r>
      <w:r>
        <w:rPr>
          <w:rFonts w:hint="eastAsia" w:ascii="仿宋_GB2312" w:hAnsi="仿宋_GB2312" w:eastAsia="仿宋_GB2312" w:cs="仿宋_GB2312"/>
          <w:color w:val="000000"/>
          <w:kern w:val="0"/>
          <w:sz w:val="32"/>
          <w:szCs w:val="32"/>
          <w:highlight w:val="none"/>
        </w:rPr>
        <w:t>追加单笔</w:t>
      </w:r>
      <w:r>
        <w:rPr>
          <w:rFonts w:hint="eastAsia" w:ascii="仿宋_GB2312" w:hAnsi="仿宋_GB2312" w:eastAsia="仿宋_GB2312" w:cs="仿宋_GB2312"/>
          <w:color w:val="000000"/>
          <w:kern w:val="0"/>
          <w:sz w:val="32"/>
          <w:szCs w:val="32"/>
          <w:highlight w:val="none"/>
          <w:lang w:eastAsia="zh"/>
          <w:woUserID w:val="2"/>
        </w:rPr>
        <w:t>大额资金支出</w:t>
      </w:r>
      <w:r>
        <w:rPr>
          <w:rFonts w:hint="eastAsia" w:ascii="仿宋_GB2312" w:hAnsi="仿宋_GB2312" w:eastAsia="仿宋_GB2312" w:cs="仿宋_GB2312"/>
          <w:color w:val="000000"/>
          <w:kern w:val="0"/>
          <w:sz w:val="32"/>
          <w:szCs w:val="32"/>
          <w:highlight w:val="none"/>
        </w:rPr>
        <w:t>；重</w:t>
      </w:r>
      <w:r>
        <w:rPr>
          <w:rFonts w:hint="eastAsia" w:ascii="仿宋_GB2312" w:hAnsi="仿宋_GB2312" w:eastAsia="仿宋_GB2312" w:cs="仿宋_GB2312"/>
          <w:color w:val="000000"/>
          <w:kern w:val="0"/>
          <w:sz w:val="32"/>
          <w:szCs w:val="32"/>
        </w:rPr>
        <w:t>大捐赠及其他大额度资金运作事项。</w:t>
      </w:r>
    </w:p>
    <w:p w14:paraId="519A6ACC">
      <w:pPr>
        <w:keepNext w:val="0"/>
        <w:keepLines w:val="0"/>
        <w:pageBreakBefore w:val="0"/>
        <w:widowControl w:val="0"/>
        <w:kinsoku/>
        <w:wordWrap/>
        <w:overflowPunct/>
        <w:topLinePunct w:val="0"/>
        <w:autoSpaceDE/>
        <w:autoSpaceDN/>
        <w:bidi w:val="0"/>
        <w:adjustRightInd/>
        <w:spacing w:line="560" w:lineRule="exact"/>
        <w:ind w:firstLine="3"/>
        <w:jc w:val="center"/>
        <w:textAlignment w:val="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第三章 “三重一大”事项决策的基本程序</w:t>
      </w:r>
    </w:p>
    <w:p w14:paraId="4029B7CC">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left"/>
        <w:textAlignment w:val="auto"/>
        <w:rPr>
          <w:rFonts w:hint="eastAsia" w:ascii="仿宋_GB2312" w:hAnsi="仿宋_GB2312" w:eastAsia="仿宋_GB2312" w:cs="仿宋_GB2312"/>
          <w:color w:val="000000"/>
          <w:kern w:val="0"/>
          <w:sz w:val="32"/>
        </w:rPr>
      </w:pPr>
      <w:r>
        <w:rPr>
          <w:rFonts w:hint="eastAsia" w:ascii="仿宋_GB2312" w:hAnsi="仿宋_GB2312" w:eastAsia="仿宋_GB2312" w:cs="仿宋_GB2312"/>
          <w:b/>
          <w:bCs/>
          <w:color w:val="000000"/>
          <w:kern w:val="0"/>
          <w:sz w:val="32"/>
          <w:szCs w:val="32"/>
          <w:lang w:val="en-US" w:eastAsia="zh-CN" w:bidi="ar-SA"/>
        </w:rPr>
        <w:t xml:space="preserve">第七条 </w:t>
      </w:r>
      <w:r>
        <w:rPr>
          <w:rFonts w:hint="eastAsia" w:ascii="仿宋_GB2312" w:hAnsi="仿宋_GB2312" w:eastAsia="仿宋_GB2312" w:cs="仿宋_GB2312"/>
          <w:color w:val="000000"/>
          <w:kern w:val="0"/>
          <w:sz w:val="32"/>
          <w:szCs w:val="32"/>
        </w:rPr>
        <w:t>学院“三重一大”事项的决策，应当坚持“集体领导、民主集中、个别酝酿、会议决定”的原则进行。建立健全师生参与、专家咨询、调研论证、合法性审查和集体决策相结合的决策机制。</w:t>
      </w:r>
    </w:p>
    <w:p w14:paraId="4991E701">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left"/>
        <w:textAlignment w:val="auto"/>
        <w:rPr>
          <w:rFonts w:hint="eastAsia" w:ascii="仿宋_GB2312" w:hAnsi="仿宋_GB2312" w:eastAsia="仿宋_GB2312" w:cs="仿宋_GB2312"/>
          <w:color w:val="000000"/>
          <w:kern w:val="0"/>
          <w:sz w:val="32"/>
        </w:rPr>
      </w:pPr>
      <w:r>
        <w:rPr>
          <w:rFonts w:hint="eastAsia" w:ascii="仿宋_GB2312" w:hAnsi="仿宋_GB2312" w:eastAsia="仿宋_GB2312" w:cs="仿宋_GB2312"/>
          <w:b/>
          <w:bCs/>
          <w:color w:val="000000"/>
          <w:kern w:val="0"/>
          <w:sz w:val="32"/>
          <w:szCs w:val="32"/>
          <w:lang w:val="en-US" w:eastAsia="zh-CN" w:bidi="ar-SA"/>
        </w:rPr>
        <w:t xml:space="preserve">第八条 </w:t>
      </w:r>
      <w:r>
        <w:rPr>
          <w:rFonts w:hint="eastAsia" w:ascii="仿宋_GB2312" w:hAnsi="仿宋_GB2312" w:eastAsia="仿宋_GB2312" w:cs="仿宋_GB2312"/>
          <w:color w:val="000000"/>
          <w:kern w:val="0"/>
          <w:sz w:val="32"/>
          <w:szCs w:val="32"/>
        </w:rPr>
        <w:t>“三重一大”事项提交集体决策前，应当进行深入细致的研究论证，充分听取各方面意见，涉及广大教职工切身利益的事项应当</w:t>
      </w:r>
      <w:r>
        <w:rPr>
          <w:rFonts w:hint="eastAsia" w:ascii="仿宋_GB2312" w:hAnsi="仿宋_GB2312" w:eastAsia="仿宋_GB2312" w:cs="仿宋_GB2312"/>
          <w:color w:val="000000"/>
          <w:kern w:val="0"/>
          <w:sz w:val="32"/>
          <w:szCs w:val="32"/>
          <w:lang w:val="en-US" w:eastAsia="zh-CN"/>
        </w:rPr>
        <w:t>广泛听取教职工的意见和建议</w:t>
      </w:r>
      <w:r>
        <w:rPr>
          <w:rFonts w:hint="eastAsia" w:ascii="仿宋_GB2312" w:hAnsi="仿宋_GB2312" w:eastAsia="仿宋_GB2312" w:cs="仿宋_GB2312"/>
          <w:color w:val="000000"/>
          <w:kern w:val="0"/>
          <w:sz w:val="32"/>
          <w:szCs w:val="32"/>
        </w:rPr>
        <w:t>，涉及学生切身利益的事项要通过研究生会听取学生的意见和建议。专业性、技术性较强的重要事项应当事先进行专家咨询论证、风险评估和合法合规性审查。</w:t>
      </w:r>
    </w:p>
    <w:p w14:paraId="6572A80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000000"/>
          <w:kern w:val="0"/>
          <w:sz w:val="32"/>
        </w:rPr>
      </w:pPr>
      <w:r>
        <w:rPr>
          <w:rFonts w:hint="eastAsia" w:ascii="仿宋_GB2312" w:hAnsi="仿宋_GB2312" w:eastAsia="仿宋_GB2312" w:cs="仿宋_GB2312"/>
          <w:b/>
          <w:bCs/>
          <w:color w:val="000000"/>
          <w:kern w:val="0"/>
          <w:sz w:val="32"/>
          <w:szCs w:val="32"/>
          <w:lang w:val="en-US" w:eastAsia="zh-CN" w:bidi="ar-SA"/>
        </w:rPr>
        <w:t xml:space="preserve">第九条 </w:t>
      </w:r>
      <w:r>
        <w:rPr>
          <w:rFonts w:hint="eastAsia" w:ascii="仿宋_GB2312" w:hAnsi="仿宋_GB2312" w:eastAsia="仿宋_GB2312" w:cs="仿宋_GB2312"/>
          <w:color w:val="000000"/>
          <w:kern w:val="0"/>
          <w:sz w:val="32"/>
          <w:szCs w:val="32"/>
        </w:rPr>
        <w:t>学院“三重一大”决策事项，由学院党委会</w:t>
      </w:r>
      <w:r>
        <w:rPr>
          <w:rFonts w:hint="eastAsia" w:ascii="仿宋_GB2312" w:hAnsi="仿宋_GB2312" w:eastAsia="仿宋_GB2312" w:cs="仿宋_GB2312"/>
          <w:color w:val="000000"/>
          <w:kern w:val="0"/>
          <w:sz w:val="32"/>
          <w:szCs w:val="32"/>
          <w:lang w:eastAsia="zh"/>
          <w:woUserID w:val="2"/>
        </w:rPr>
        <w:t>会</w:t>
      </w:r>
      <w:r>
        <w:rPr>
          <w:rFonts w:hint="eastAsia" w:ascii="仿宋_GB2312" w:hAnsi="仿宋_GB2312" w:eastAsia="仿宋_GB2312" w:cs="仿宋_GB2312"/>
          <w:color w:val="000000"/>
          <w:kern w:val="0"/>
          <w:sz w:val="32"/>
          <w:szCs w:val="32"/>
        </w:rPr>
        <w:t>议或</w:t>
      </w:r>
      <w:r>
        <w:rPr>
          <w:rFonts w:hint="eastAsia" w:ascii="仿宋_GB2312" w:hAnsi="仿宋_GB2312" w:eastAsia="仿宋_GB2312" w:cs="仿宋_GB2312"/>
          <w:color w:val="000000"/>
          <w:kern w:val="0"/>
          <w:sz w:val="32"/>
          <w:szCs w:val="32"/>
          <w:lang w:val="en-US" w:eastAsia="zh-CN"/>
        </w:rPr>
        <w:t>党政联席会议</w:t>
      </w:r>
      <w:r>
        <w:rPr>
          <w:rFonts w:hint="eastAsia" w:ascii="仿宋_GB2312" w:hAnsi="仿宋_GB2312" w:eastAsia="仿宋_GB2312" w:cs="仿宋_GB2312"/>
          <w:color w:val="000000"/>
          <w:kern w:val="0"/>
          <w:sz w:val="32"/>
          <w:szCs w:val="32"/>
        </w:rPr>
        <w:t>讨论决定。紧急情况下由个人或少数人临时决定的，决定人应对决策负责，事后应及时报告并按程序予以追认。</w:t>
      </w:r>
    </w:p>
    <w:p w14:paraId="37FAA7E0">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lang w:val="en-US" w:eastAsia="zh-CN" w:bidi="ar-SA"/>
        </w:rPr>
        <w:t xml:space="preserve">第十条 </w:t>
      </w:r>
      <w:r>
        <w:rPr>
          <w:rFonts w:hint="eastAsia" w:ascii="仿宋_GB2312" w:hAnsi="仿宋_GB2312" w:eastAsia="仿宋_GB2312" w:cs="仿宋_GB2312"/>
          <w:color w:val="000000"/>
          <w:kern w:val="0"/>
          <w:sz w:val="32"/>
          <w:szCs w:val="32"/>
        </w:rPr>
        <w:t>建立“三重一大”决策回避制度。如有涉及本人或亲属利害关系，或其他可能影响公正决策的情形，参与决策或列席人员应当回避。</w:t>
      </w:r>
    </w:p>
    <w:p w14:paraId="4CAA6CCA">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b/>
          <w:bCs/>
          <w:color w:val="000000"/>
          <w:kern w:val="0"/>
          <w:sz w:val="32"/>
          <w:szCs w:val="32"/>
          <w:lang w:val="en-US" w:eastAsia="zh-CN" w:bidi="ar-SA"/>
        </w:rPr>
        <w:t xml:space="preserve">第十一条 </w:t>
      </w:r>
      <w:r>
        <w:rPr>
          <w:rFonts w:hint="eastAsia" w:ascii="仿宋_GB2312" w:hAnsi="仿宋_GB2312" w:eastAsia="仿宋_GB2312" w:cs="仿宋_GB2312"/>
          <w:color w:val="000000"/>
          <w:kern w:val="0"/>
          <w:sz w:val="32"/>
          <w:szCs w:val="32"/>
        </w:rPr>
        <w:t>学院重要人事任免事项，严格执行干部任免的工作程序和干部管理权限规定。</w:t>
      </w:r>
      <w:r>
        <w:rPr>
          <w:rFonts w:hint="eastAsia" w:ascii="仿宋_GB2312" w:hAnsi="仿宋_GB2312" w:eastAsia="仿宋_GB2312" w:cs="仿宋_GB2312"/>
          <w:color w:val="000000"/>
          <w:kern w:val="0"/>
          <w:sz w:val="32"/>
          <w:szCs w:val="32"/>
          <w:highlight w:val="none"/>
        </w:rPr>
        <w:t>表决干部任免事项应当采用无记名投票的方式进行；决定</w:t>
      </w:r>
      <w:r>
        <w:rPr>
          <w:rFonts w:hint="eastAsia" w:ascii="仿宋_GB2312" w:hAnsi="仿宋_GB2312" w:eastAsia="仿宋_GB2312" w:cs="仿宋_GB2312"/>
          <w:color w:val="000000"/>
          <w:kern w:val="0"/>
          <w:sz w:val="32"/>
          <w:szCs w:val="32"/>
        </w:rPr>
        <w:t>多名干部任免时，应当逐人表决。</w:t>
      </w:r>
    </w:p>
    <w:p w14:paraId="0620C4EE">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highlight w:val="none"/>
          <w:lang w:eastAsia="zh-CN"/>
        </w:rPr>
      </w:pPr>
      <w:r>
        <w:rPr>
          <w:rFonts w:hint="eastAsia" w:ascii="仿宋_GB2312" w:hAnsi="仿宋_GB2312" w:eastAsia="仿宋_GB2312" w:cs="仿宋_GB2312"/>
          <w:color w:val="000000"/>
          <w:kern w:val="0"/>
          <w:sz w:val="32"/>
          <w:szCs w:val="32"/>
        </w:rPr>
        <w:t>（一）院长助理，由学院党委会</w:t>
      </w:r>
      <w:r>
        <w:rPr>
          <w:rFonts w:hint="eastAsia" w:ascii="仿宋_GB2312" w:hAnsi="仿宋_GB2312" w:eastAsia="仿宋_GB2312" w:cs="仿宋_GB2312"/>
          <w:color w:val="000000"/>
          <w:kern w:val="0"/>
          <w:sz w:val="32"/>
          <w:szCs w:val="32"/>
          <w:lang w:eastAsia="zh"/>
          <w:woUserID w:val="2"/>
        </w:rPr>
        <w:t>会</w:t>
      </w:r>
      <w:r>
        <w:rPr>
          <w:rFonts w:hint="eastAsia" w:ascii="仿宋_GB2312" w:hAnsi="仿宋_GB2312" w:eastAsia="仿宋_GB2312" w:cs="仿宋_GB2312"/>
          <w:color w:val="000000"/>
          <w:kern w:val="0"/>
          <w:sz w:val="32"/>
          <w:szCs w:val="32"/>
        </w:rPr>
        <w:t>议任免并报上级组织备案</w:t>
      </w:r>
      <w:r>
        <w:rPr>
          <w:rFonts w:hint="eastAsia" w:ascii="仿宋_GB2312" w:hAnsi="仿宋_GB2312" w:eastAsia="仿宋_GB2312" w:cs="仿宋_GB2312"/>
          <w:color w:val="000000"/>
          <w:kern w:val="0"/>
          <w:sz w:val="32"/>
          <w:szCs w:val="32"/>
          <w:lang w:eastAsia="zh-CN"/>
        </w:rPr>
        <w:t>。</w:t>
      </w:r>
    </w:p>
    <w:p w14:paraId="3905281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rPr>
        <w:t>（二）</w:t>
      </w:r>
      <w:r>
        <w:rPr>
          <w:rFonts w:hint="eastAsia" w:ascii="仿宋_GB2312" w:hAnsi="仿宋_GB2312" w:eastAsia="仿宋_GB2312" w:cs="仿宋_GB2312"/>
          <w:color w:val="000000"/>
          <w:kern w:val="0"/>
          <w:sz w:val="32"/>
          <w:szCs w:val="32"/>
          <w:highlight w:val="none"/>
          <w:lang w:val="en-US" w:eastAsia="zh-CN"/>
        </w:rPr>
        <w:t>学院学术委员会主任、副主任，教学委员会主任、副主任，由学院党委会会议把关、党政联席会议任免，委员会组成人员名单按相关要求报学校备案；学位评定分委员会主席、副主席由学院党委会会议把关、党政联席会议提名，报学校学位评定委员会决定；其他有关专项工作领导小组组成人员，专门委员会主任、副主任，根据机构性质由学院党委会会议或党政联席会议任免。</w:t>
      </w:r>
    </w:p>
    <w:p w14:paraId="08FDB0E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kern w:val="0"/>
          <w:sz w:val="32"/>
        </w:rPr>
      </w:pPr>
      <w:r>
        <w:rPr>
          <w:rFonts w:hint="eastAsia" w:ascii="仿宋_GB2312" w:hAnsi="仿宋_GB2312" w:eastAsia="仿宋_GB2312" w:cs="仿宋_GB2312"/>
          <w:color w:val="000000"/>
          <w:kern w:val="0"/>
          <w:sz w:val="32"/>
          <w:szCs w:val="32"/>
        </w:rPr>
        <w:t>（三）院管干部和院内挂职干部由</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rPr>
        <w:t>党委</w:t>
      </w:r>
      <w:r>
        <w:rPr>
          <w:rFonts w:hint="eastAsia" w:ascii="仿宋_GB2312" w:hAnsi="仿宋_GB2312" w:eastAsia="仿宋_GB2312" w:cs="仿宋_GB2312"/>
          <w:color w:val="000000"/>
          <w:kern w:val="0"/>
          <w:sz w:val="32"/>
          <w:szCs w:val="32"/>
          <w:lang w:val="en-US" w:eastAsia="zh-CN"/>
        </w:rPr>
        <w:t>会</w:t>
      </w:r>
      <w:r>
        <w:rPr>
          <w:rFonts w:hint="eastAsia" w:ascii="仿宋_GB2312" w:hAnsi="仿宋_GB2312" w:eastAsia="仿宋_GB2312" w:cs="仿宋_GB2312"/>
          <w:color w:val="000000"/>
          <w:kern w:val="0"/>
          <w:sz w:val="32"/>
          <w:szCs w:val="32"/>
        </w:rPr>
        <w:t>会议任免</w:t>
      </w:r>
      <w:r>
        <w:rPr>
          <w:rFonts w:hint="eastAsia" w:ascii="仿宋_GB2312" w:hAnsi="仿宋_GB2312" w:eastAsia="仿宋_GB2312" w:cs="仿宋_GB2312"/>
          <w:color w:val="000000"/>
          <w:kern w:val="0"/>
          <w:sz w:val="32"/>
          <w:szCs w:val="32"/>
          <w:lang w:eastAsia="zh"/>
          <w:woUserID w:val="2"/>
        </w:rPr>
        <w:t>。</w:t>
      </w:r>
    </w:p>
    <w:p w14:paraId="2BDFAA61">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rPr>
      </w:pPr>
      <w:r>
        <w:rPr>
          <w:rFonts w:hint="eastAsia" w:ascii="仿宋_GB2312" w:hAnsi="仿宋_GB2312" w:eastAsia="仿宋_GB2312" w:cs="仿宋_GB2312"/>
          <w:color w:val="000000"/>
          <w:kern w:val="0"/>
          <w:sz w:val="32"/>
          <w:szCs w:val="32"/>
        </w:rPr>
        <w:t>（四）学院</w:t>
      </w:r>
      <w:r>
        <w:rPr>
          <w:rFonts w:hint="eastAsia" w:ascii="仿宋_GB2312" w:hAnsi="仿宋_GB2312" w:eastAsia="仿宋_GB2312" w:cs="仿宋_GB2312"/>
          <w:kern w:val="0"/>
          <w:sz w:val="32"/>
        </w:rPr>
        <w:t>出席上级党代会代表、人大代表、政协委员等的候选人，由</w:t>
      </w:r>
      <w:r>
        <w:rPr>
          <w:rFonts w:hint="eastAsia" w:ascii="仿宋_GB2312" w:hAnsi="仿宋_GB2312" w:eastAsia="仿宋_GB2312" w:cs="仿宋_GB2312"/>
          <w:kern w:val="0"/>
          <w:sz w:val="32"/>
          <w:szCs w:val="32"/>
        </w:rPr>
        <w:t>学院党委会</w:t>
      </w:r>
      <w:r>
        <w:rPr>
          <w:rFonts w:hint="eastAsia" w:ascii="仿宋_GB2312" w:hAnsi="仿宋_GB2312" w:eastAsia="仿宋_GB2312" w:cs="仿宋_GB2312"/>
          <w:kern w:val="0"/>
          <w:sz w:val="32"/>
          <w:szCs w:val="32"/>
          <w:lang w:val="en-US" w:eastAsia="zh-CN"/>
        </w:rPr>
        <w:t>会议</w:t>
      </w:r>
      <w:r>
        <w:rPr>
          <w:rFonts w:hint="eastAsia" w:ascii="仿宋_GB2312" w:hAnsi="仿宋_GB2312" w:eastAsia="仿宋_GB2312" w:cs="仿宋_GB2312"/>
          <w:kern w:val="0"/>
          <w:sz w:val="32"/>
        </w:rPr>
        <w:t>提出建议人选，报上级党组织考察。</w:t>
      </w:r>
    </w:p>
    <w:p w14:paraId="37C34DE0">
      <w:pPr>
        <w:pStyle w:val="2"/>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kern w:val="0"/>
          <w:sz w:val="32"/>
        </w:rPr>
      </w:pPr>
      <w:r>
        <w:rPr>
          <w:rFonts w:hint="eastAsia" w:ascii="仿宋_GB2312" w:hAnsi="仿宋_GB2312" w:eastAsia="仿宋_GB2312" w:cs="仿宋_GB2312"/>
          <w:b/>
          <w:bCs/>
          <w:color w:val="000000"/>
          <w:kern w:val="0"/>
          <w:sz w:val="32"/>
          <w:szCs w:val="32"/>
          <w:lang w:val="en-US" w:eastAsia="zh-CN" w:bidi="ar-SA"/>
        </w:rPr>
        <w:t>第十二条</w:t>
      </w:r>
      <w:r>
        <w:rPr>
          <w:rFonts w:hint="eastAsia" w:ascii="仿宋_GB2312" w:hAnsi="仿宋_GB2312" w:eastAsia="仿宋_GB2312" w:cs="仿宋_GB2312"/>
          <w:kern w:val="0"/>
          <w:sz w:val="32"/>
        </w:rPr>
        <w:t xml:space="preserve"> </w:t>
      </w:r>
      <w:r>
        <w:rPr>
          <w:rFonts w:hint="eastAsia" w:ascii="仿宋_GB2312" w:hAnsi="仿宋_GB2312" w:eastAsia="仿宋_GB2312" w:cs="仿宋_GB2312"/>
          <w:kern w:val="0"/>
          <w:sz w:val="32"/>
          <w:szCs w:val="32"/>
        </w:rPr>
        <w:t>学院</w:t>
      </w:r>
      <w:r>
        <w:rPr>
          <w:rFonts w:hint="eastAsia" w:ascii="仿宋_GB2312" w:hAnsi="仿宋_GB2312" w:eastAsia="仿宋_GB2312" w:cs="仿宋_GB2312"/>
          <w:kern w:val="0"/>
          <w:sz w:val="32"/>
        </w:rPr>
        <w:t>重大项目安排的立项、资金筹集、建设标准、经费使用控制等重要事项，由</w:t>
      </w:r>
      <w:r>
        <w:rPr>
          <w:rFonts w:hint="eastAsia" w:ascii="仿宋_GB2312" w:hAnsi="仿宋_GB2312" w:eastAsia="仿宋_GB2312" w:cs="仿宋_GB2312"/>
          <w:kern w:val="0"/>
          <w:sz w:val="32"/>
          <w:szCs w:val="32"/>
        </w:rPr>
        <w:t>学院</w:t>
      </w:r>
      <w:r>
        <w:rPr>
          <w:rFonts w:hint="eastAsia" w:ascii="仿宋_GB2312" w:hAnsi="仿宋_GB2312" w:eastAsia="仿宋_GB2312" w:cs="仿宋_GB2312"/>
          <w:kern w:val="0"/>
          <w:sz w:val="32"/>
          <w:szCs w:val="32"/>
          <w:lang w:val="en-US" w:eastAsia="zh-CN"/>
        </w:rPr>
        <w:t>党政联席会议</w:t>
      </w:r>
      <w:r>
        <w:rPr>
          <w:rFonts w:hint="eastAsia" w:ascii="仿宋_GB2312" w:hAnsi="仿宋_GB2312" w:eastAsia="仿宋_GB2312" w:cs="仿宋_GB2312"/>
          <w:kern w:val="0"/>
          <w:sz w:val="32"/>
        </w:rPr>
        <w:t>讨论决定。</w:t>
      </w:r>
    </w:p>
    <w:p w14:paraId="16DC2023">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color w:val="000000"/>
          <w:kern w:val="0"/>
          <w:sz w:val="32"/>
        </w:rPr>
      </w:pPr>
      <w:r>
        <w:rPr>
          <w:rFonts w:hint="eastAsia" w:ascii="仿宋_GB2312" w:hAnsi="仿宋_GB2312" w:eastAsia="仿宋_GB2312" w:cs="仿宋_GB2312"/>
          <w:b/>
          <w:bCs/>
          <w:color w:val="000000"/>
          <w:kern w:val="0"/>
          <w:sz w:val="32"/>
          <w:szCs w:val="32"/>
        </w:rPr>
        <w:t xml:space="preserve">第十三条 </w:t>
      </w:r>
      <w:r>
        <w:rPr>
          <w:rFonts w:hint="eastAsia" w:ascii="仿宋_GB2312" w:hAnsi="仿宋_GB2312" w:eastAsia="仿宋_GB2312" w:cs="仿宋_GB2312"/>
          <w:color w:val="000000"/>
          <w:kern w:val="0"/>
          <w:sz w:val="32"/>
          <w:szCs w:val="32"/>
        </w:rPr>
        <w:t>学院大额度资金运作事项的审批根据工作实际分类进行。</w:t>
      </w:r>
    </w:p>
    <w:p w14:paraId="73E3E50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一</w:t>
      </w:r>
      <w:r>
        <w:rPr>
          <w:rFonts w:hint="eastAsia" w:ascii="仿宋_GB2312" w:hAnsi="仿宋_GB2312" w:eastAsia="仿宋_GB2312" w:cs="仿宋_GB2312"/>
          <w:color w:val="000000"/>
          <w:kern w:val="0"/>
          <w:sz w:val="32"/>
          <w:szCs w:val="32"/>
        </w:rPr>
        <w:t>）对学院统筹的经费</w:t>
      </w:r>
    </w:p>
    <w:p w14:paraId="23E2CFB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kern w:val="0"/>
          <w:sz w:val="32"/>
          <w:szCs w:val="32"/>
          <w:highlight w:val="none"/>
          <w:lang w:eastAsia="zh"/>
          <w:woUserID w:val="2"/>
        </w:rPr>
      </w:pPr>
      <w:r>
        <w:rPr>
          <w:rFonts w:hint="default" w:ascii="仿宋_GB2312" w:hAnsi="Times New Roman" w:eastAsia="仿宋_GB2312" w:cs="仿宋_GB2312"/>
          <w:color w:val="000000"/>
          <w:kern w:val="0"/>
          <w:sz w:val="32"/>
          <w:szCs w:val="32"/>
          <w:lang w:val="en-US" w:eastAsia="zh-CN" w:bidi="ar"/>
          <w:woUserID w:val="2"/>
        </w:rPr>
        <w:t>学院年度预算、预算调整重要事项，由财务办公室组织编制预算方案经</w:t>
      </w:r>
      <w:r>
        <w:rPr>
          <w:rFonts w:hint="default" w:ascii="仿宋_GB2312" w:hAnsi="Times New Roman" w:eastAsia="仿宋_GB2312" w:cs="仿宋_GB2312"/>
          <w:color w:val="000000"/>
          <w:kern w:val="0"/>
          <w:sz w:val="32"/>
          <w:szCs w:val="32"/>
          <w:highlight w:val="none"/>
          <w:lang w:val="en-US" w:eastAsia="zh-CN" w:bidi="ar"/>
          <w:woUserID w:val="2"/>
        </w:rPr>
        <w:t>学院计划</w:t>
      </w:r>
      <w:r>
        <w:rPr>
          <w:rFonts w:hint="eastAsia" w:ascii="仿宋_GB2312" w:eastAsia="仿宋_GB2312" w:cs="仿宋_GB2312"/>
          <w:color w:val="000000"/>
          <w:kern w:val="0"/>
          <w:sz w:val="32"/>
          <w:szCs w:val="32"/>
          <w:highlight w:val="none"/>
          <w:lang w:val="en-US" w:eastAsia="zh" w:bidi="ar"/>
          <w:woUserID w:val="2"/>
        </w:rPr>
        <w:t>与</w:t>
      </w:r>
      <w:r>
        <w:rPr>
          <w:rFonts w:hint="default" w:ascii="仿宋_GB2312" w:hAnsi="Times New Roman" w:eastAsia="仿宋_GB2312" w:cs="仿宋_GB2312"/>
          <w:color w:val="000000"/>
          <w:kern w:val="0"/>
          <w:sz w:val="32"/>
          <w:szCs w:val="32"/>
          <w:highlight w:val="none"/>
          <w:lang w:val="en-US" w:eastAsia="zh-CN" w:bidi="ar"/>
          <w:woUserID w:val="2"/>
        </w:rPr>
        <w:t>财经管理领导小组审议后，报</w:t>
      </w:r>
      <w:r>
        <w:rPr>
          <w:rFonts w:hint="eastAsia" w:ascii="仿宋_GB2312" w:eastAsia="仿宋_GB2312" w:cs="仿宋_GB2312"/>
          <w:color w:val="000000"/>
          <w:kern w:val="0"/>
          <w:sz w:val="32"/>
          <w:szCs w:val="32"/>
          <w:highlight w:val="none"/>
          <w:lang w:val="en-US" w:eastAsia="zh-CN" w:bidi="ar"/>
          <w:woUserID w:val="2"/>
        </w:rPr>
        <w:t>学院</w:t>
      </w:r>
      <w:r>
        <w:rPr>
          <w:rFonts w:hint="default" w:ascii="仿宋_GB2312" w:hAnsi="Times New Roman" w:eastAsia="仿宋_GB2312" w:cs="仿宋_GB2312"/>
          <w:color w:val="000000"/>
          <w:kern w:val="0"/>
          <w:sz w:val="32"/>
          <w:szCs w:val="32"/>
          <w:highlight w:val="none"/>
          <w:lang w:val="en-US" w:eastAsia="zh-CN" w:bidi="ar"/>
          <w:woUserID w:val="2"/>
        </w:rPr>
        <w:t>党政联席会议审批。预算方案审批通过后由财务办公室严格组织执行，</w:t>
      </w:r>
      <w:r>
        <w:rPr>
          <w:rFonts w:hint="eastAsia" w:ascii="仿宋_GB2312" w:hAnsi="仿宋_GB2312" w:eastAsia="仿宋_GB2312" w:cs="仿宋_GB2312"/>
          <w:color w:val="000000"/>
          <w:kern w:val="0"/>
          <w:sz w:val="32"/>
          <w:szCs w:val="32"/>
          <w:highlight w:val="none"/>
          <w:lang w:eastAsia="zh"/>
          <w:woUserID w:val="2"/>
        </w:rPr>
        <w:t>学院</w:t>
      </w:r>
      <w:r>
        <w:rPr>
          <w:rFonts w:hint="eastAsia" w:ascii="仿宋_GB2312" w:hAnsi="仿宋_GB2312" w:eastAsia="仿宋_GB2312" w:cs="仿宋_GB2312"/>
          <w:color w:val="000000"/>
          <w:kern w:val="0"/>
          <w:sz w:val="32"/>
          <w:szCs w:val="32"/>
          <w:highlight w:val="none"/>
        </w:rPr>
        <w:t>各</w:t>
      </w:r>
      <w:r>
        <w:rPr>
          <w:rFonts w:hint="eastAsia" w:ascii="仿宋_GB2312" w:hAnsi="仿宋_GB2312" w:eastAsia="仿宋_GB2312" w:cs="仿宋_GB2312"/>
          <w:color w:val="000000"/>
          <w:kern w:val="0"/>
          <w:sz w:val="32"/>
          <w:szCs w:val="32"/>
          <w:highlight w:val="none"/>
          <w:lang w:eastAsia="zh"/>
          <w:woUserID w:val="2"/>
        </w:rPr>
        <w:t>二级</w:t>
      </w:r>
      <w:r>
        <w:rPr>
          <w:rFonts w:hint="eastAsia" w:ascii="仿宋_GB2312" w:hAnsi="仿宋_GB2312" w:eastAsia="仿宋_GB2312" w:cs="仿宋_GB2312"/>
          <w:color w:val="000000"/>
          <w:kern w:val="0"/>
          <w:sz w:val="32"/>
          <w:szCs w:val="32"/>
          <w:highlight w:val="none"/>
        </w:rPr>
        <w:t>单位应按</w:t>
      </w:r>
      <w:r>
        <w:rPr>
          <w:rFonts w:hint="eastAsia" w:ascii="仿宋_GB2312" w:hAnsi="仿宋_GB2312" w:eastAsia="仿宋_GB2312" w:cs="仿宋_GB2312"/>
          <w:color w:val="000000"/>
          <w:kern w:val="0"/>
          <w:sz w:val="32"/>
          <w:szCs w:val="32"/>
          <w:highlight w:val="none"/>
          <w:lang w:eastAsia="zh"/>
          <w:woUserID w:val="2"/>
        </w:rPr>
        <w:t>审批后</w:t>
      </w:r>
      <w:r>
        <w:rPr>
          <w:rFonts w:hint="eastAsia" w:ascii="仿宋_GB2312" w:hAnsi="仿宋_GB2312" w:eastAsia="仿宋_GB2312" w:cs="仿宋_GB2312"/>
          <w:color w:val="000000"/>
          <w:kern w:val="0"/>
          <w:sz w:val="32"/>
          <w:szCs w:val="32"/>
          <w:highlight w:val="none"/>
        </w:rPr>
        <w:t>的预算方案严格使用经费。</w:t>
      </w:r>
    </w:p>
    <w:p w14:paraId="328E41A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woUserID w:val="2"/>
        </w:rPr>
        <w:t>学院预算调整单笔</w:t>
      </w:r>
      <w:r>
        <w:rPr>
          <w:rFonts w:hint="eastAsia" w:ascii="仿宋_GB2312" w:hAnsi="仿宋_GB2312" w:eastAsia="仿宋_GB2312" w:cs="仿宋_GB2312"/>
          <w:color w:val="000000"/>
          <w:kern w:val="0"/>
          <w:sz w:val="32"/>
          <w:szCs w:val="32"/>
          <w:highlight w:val="none"/>
        </w:rPr>
        <w:t>20万元以内</w:t>
      </w:r>
      <w:r>
        <w:rPr>
          <w:rFonts w:hint="eastAsia" w:ascii="仿宋_GB2312" w:hAnsi="仿宋_GB2312" w:eastAsia="仿宋_GB2312" w:cs="仿宋_GB2312"/>
          <w:color w:val="000000"/>
          <w:kern w:val="0"/>
          <w:sz w:val="32"/>
          <w:szCs w:val="32"/>
          <w:highlight w:val="none"/>
          <w:lang w:val="en-US" w:eastAsia="zh-CN"/>
        </w:rPr>
        <w:t>的</w:t>
      </w:r>
      <w:r>
        <w:rPr>
          <w:rFonts w:hint="eastAsia" w:ascii="仿宋_GB2312" w:hAnsi="仿宋_GB2312" w:eastAsia="仿宋_GB2312" w:cs="仿宋_GB2312"/>
          <w:color w:val="000000"/>
          <w:kern w:val="0"/>
          <w:sz w:val="32"/>
          <w:szCs w:val="32"/>
          <w:highlight w:val="none"/>
          <w:lang w:eastAsia="zh"/>
          <w:woUserID w:val="2"/>
        </w:rPr>
        <w:t>，</w:t>
      </w:r>
      <w:r>
        <w:rPr>
          <w:rFonts w:hint="eastAsia" w:ascii="仿宋_GB2312" w:hAnsi="仿宋_GB2312" w:eastAsia="仿宋_GB2312" w:cs="仿宋_GB2312"/>
          <w:color w:val="000000"/>
          <w:kern w:val="0"/>
          <w:sz w:val="32"/>
          <w:szCs w:val="32"/>
          <w:highlight w:val="none"/>
        </w:rPr>
        <w:t>由</w:t>
      </w:r>
      <w:r>
        <w:rPr>
          <w:rFonts w:hint="eastAsia" w:ascii="仿宋_GB2312" w:hAnsi="仿宋_GB2312" w:eastAsia="仿宋_GB2312" w:cs="仿宋_GB2312"/>
          <w:color w:val="000000"/>
          <w:kern w:val="0"/>
          <w:sz w:val="32"/>
          <w:szCs w:val="32"/>
          <w:highlight w:val="none"/>
          <w:lang w:eastAsia="zh"/>
          <w:woUserID w:val="2"/>
        </w:rPr>
        <w:t>申请部门</w:t>
      </w:r>
      <w:r>
        <w:rPr>
          <w:rFonts w:hint="eastAsia" w:ascii="仿宋_GB2312" w:hAnsi="仿宋_GB2312" w:eastAsia="仿宋_GB2312" w:cs="仿宋_GB2312"/>
          <w:color w:val="000000"/>
          <w:kern w:val="0"/>
          <w:sz w:val="32"/>
          <w:szCs w:val="32"/>
          <w:highlight w:val="none"/>
          <w:lang w:val="en-US" w:eastAsia="zh-CN"/>
        </w:rPr>
        <w:t>分</w:t>
      </w:r>
      <w:r>
        <w:rPr>
          <w:rFonts w:hint="eastAsia" w:ascii="仿宋_GB2312" w:hAnsi="仿宋_GB2312" w:eastAsia="仿宋_GB2312" w:cs="仿宋_GB2312"/>
          <w:color w:val="000000"/>
          <w:kern w:val="0"/>
          <w:sz w:val="32"/>
          <w:szCs w:val="32"/>
          <w:highlight w:val="none"/>
        </w:rPr>
        <w:t>管院领导与</w:t>
      </w:r>
      <w:r>
        <w:rPr>
          <w:rFonts w:hint="eastAsia" w:ascii="仿宋_GB2312" w:hAnsi="仿宋_GB2312" w:eastAsia="仿宋_GB2312" w:cs="仿宋_GB2312"/>
          <w:color w:val="000000"/>
          <w:kern w:val="0"/>
          <w:sz w:val="32"/>
          <w:szCs w:val="32"/>
          <w:highlight w:val="none"/>
          <w:lang w:eastAsia="zh"/>
          <w:woUserID w:val="2"/>
        </w:rPr>
        <w:t>分管</w:t>
      </w:r>
      <w:r>
        <w:rPr>
          <w:rFonts w:hint="eastAsia" w:ascii="仿宋_GB2312" w:hAnsi="仿宋_GB2312" w:eastAsia="仿宋_GB2312" w:cs="仿宋_GB2312"/>
          <w:color w:val="000000"/>
          <w:kern w:val="0"/>
          <w:sz w:val="32"/>
          <w:szCs w:val="32"/>
          <w:highlight w:val="none"/>
        </w:rPr>
        <w:t>财务</w:t>
      </w:r>
      <w:r>
        <w:rPr>
          <w:rFonts w:hint="eastAsia" w:ascii="仿宋_GB2312" w:hAnsi="仿宋_GB2312" w:eastAsia="仿宋_GB2312" w:cs="仿宋_GB2312"/>
          <w:color w:val="000000"/>
          <w:kern w:val="0"/>
          <w:sz w:val="32"/>
          <w:szCs w:val="32"/>
          <w:highlight w:val="none"/>
          <w:lang w:eastAsia="zh"/>
          <w:woUserID w:val="2"/>
        </w:rPr>
        <w:t>工作院领导</w:t>
      </w:r>
      <w:r>
        <w:rPr>
          <w:rFonts w:hint="eastAsia" w:ascii="仿宋_GB2312" w:hAnsi="仿宋_GB2312" w:eastAsia="仿宋_GB2312" w:cs="仿宋_GB2312"/>
          <w:color w:val="000000"/>
          <w:kern w:val="0"/>
          <w:sz w:val="32"/>
          <w:szCs w:val="32"/>
          <w:highlight w:val="none"/>
        </w:rPr>
        <w:t>商议后决定；</w:t>
      </w:r>
      <w:r>
        <w:rPr>
          <w:rFonts w:hint="eastAsia" w:ascii="仿宋_GB2312" w:hAnsi="仿宋_GB2312" w:eastAsia="仿宋_GB2312" w:cs="仿宋_GB2312"/>
          <w:color w:val="000000"/>
          <w:kern w:val="0"/>
          <w:sz w:val="32"/>
          <w:szCs w:val="32"/>
          <w:highlight w:val="none"/>
          <w:lang w:val="en-US" w:eastAsia="zh-CN"/>
        </w:rPr>
        <w:t>单笔</w:t>
      </w:r>
      <w:r>
        <w:rPr>
          <w:rFonts w:hint="eastAsia" w:ascii="仿宋_GB2312" w:hAnsi="仿宋_GB2312" w:eastAsia="仿宋_GB2312" w:cs="仿宋_GB2312"/>
          <w:color w:val="000000"/>
          <w:kern w:val="0"/>
          <w:sz w:val="32"/>
          <w:szCs w:val="32"/>
          <w:highlight w:val="none"/>
        </w:rPr>
        <w:t>20万元及以上</w:t>
      </w:r>
      <w:r>
        <w:rPr>
          <w:rFonts w:hint="eastAsia" w:ascii="仿宋_GB2312" w:hAnsi="仿宋_GB2312" w:eastAsia="仿宋_GB2312" w:cs="仿宋_GB2312"/>
          <w:color w:val="000000"/>
          <w:kern w:val="0"/>
          <w:sz w:val="32"/>
          <w:szCs w:val="32"/>
          <w:highlight w:val="none"/>
          <w:lang w:val="en-US" w:eastAsia="zh-CN"/>
        </w:rPr>
        <w:t>的，</w:t>
      </w:r>
      <w:r>
        <w:rPr>
          <w:rFonts w:hint="eastAsia" w:ascii="仿宋_GB2312" w:hAnsi="仿宋_GB2312" w:eastAsia="仿宋_GB2312" w:cs="仿宋_GB2312"/>
          <w:color w:val="000000"/>
          <w:kern w:val="0"/>
          <w:sz w:val="32"/>
          <w:szCs w:val="32"/>
          <w:highlight w:val="none"/>
        </w:rPr>
        <w:t>由</w:t>
      </w:r>
      <w:r>
        <w:rPr>
          <w:rFonts w:hint="eastAsia" w:ascii="仿宋_GB2312" w:hAnsi="仿宋_GB2312" w:eastAsia="仿宋_GB2312" w:cs="仿宋_GB2312"/>
          <w:color w:val="000000"/>
          <w:kern w:val="0"/>
          <w:sz w:val="32"/>
          <w:szCs w:val="32"/>
          <w:highlight w:val="none"/>
          <w:lang w:val="en-US" w:eastAsia="zh-CN"/>
        </w:rPr>
        <w:t>学院党政联席</w:t>
      </w:r>
      <w:r>
        <w:rPr>
          <w:rFonts w:hint="eastAsia" w:ascii="仿宋_GB2312" w:hAnsi="仿宋_GB2312" w:eastAsia="仿宋_GB2312" w:cs="仿宋_GB2312"/>
          <w:color w:val="000000"/>
          <w:kern w:val="0"/>
          <w:sz w:val="32"/>
          <w:szCs w:val="32"/>
          <w:highlight w:val="none"/>
        </w:rPr>
        <w:t>会议审议决定。</w:t>
      </w:r>
    </w:p>
    <w:p w14:paraId="533CEB4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对于专项经费，涉及院内再分配的，根据经费使用要求和发展需要，由</w:t>
      </w:r>
      <w:r>
        <w:rPr>
          <w:rFonts w:hint="eastAsia" w:ascii="仿宋_GB2312" w:hAnsi="仿宋_GB2312" w:eastAsia="仿宋_GB2312" w:cs="仿宋_GB2312"/>
          <w:color w:val="000000"/>
          <w:kern w:val="0"/>
          <w:sz w:val="32"/>
          <w:szCs w:val="32"/>
          <w:highlight w:val="none"/>
          <w:lang w:val="en-US" w:eastAsia="zh-CN"/>
        </w:rPr>
        <w:t>学院党政联席</w:t>
      </w:r>
      <w:r>
        <w:rPr>
          <w:rFonts w:hint="eastAsia" w:ascii="仿宋_GB2312" w:hAnsi="仿宋_GB2312" w:eastAsia="仿宋_GB2312" w:cs="仿宋_GB2312"/>
          <w:color w:val="000000"/>
          <w:kern w:val="0"/>
          <w:sz w:val="32"/>
          <w:szCs w:val="32"/>
          <w:highlight w:val="none"/>
        </w:rPr>
        <w:t>会议</w:t>
      </w:r>
      <w:r>
        <w:rPr>
          <w:rFonts w:hint="eastAsia" w:ascii="仿宋_GB2312" w:hAnsi="仿宋_GB2312" w:eastAsia="仿宋_GB2312" w:cs="仿宋_GB2312"/>
          <w:color w:val="000000"/>
          <w:kern w:val="0"/>
          <w:sz w:val="32"/>
          <w:szCs w:val="32"/>
          <w:highlight w:val="none"/>
          <w:lang w:val="en-US" w:eastAsia="zh-CN"/>
        </w:rPr>
        <w:t>审议决定</w:t>
      </w:r>
      <w:r>
        <w:rPr>
          <w:rFonts w:hint="eastAsia" w:ascii="仿宋_GB2312" w:hAnsi="仿宋_GB2312" w:eastAsia="仿宋_GB2312" w:cs="仿宋_GB2312"/>
          <w:color w:val="000000"/>
          <w:kern w:val="0"/>
          <w:sz w:val="32"/>
          <w:szCs w:val="32"/>
          <w:highlight w:val="none"/>
          <w:lang w:val="en-US" w:eastAsia="zh"/>
          <w:woUserID w:val="2"/>
        </w:rPr>
        <w:t>经费</w:t>
      </w:r>
      <w:r>
        <w:rPr>
          <w:rFonts w:hint="eastAsia" w:ascii="仿宋_GB2312" w:hAnsi="仿宋_GB2312" w:eastAsia="仿宋_GB2312" w:cs="仿宋_GB2312"/>
          <w:color w:val="000000"/>
          <w:kern w:val="0"/>
          <w:sz w:val="32"/>
          <w:szCs w:val="32"/>
          <w:highlight w:val="none"/>
        </w:rPr>
        <w:t>分配方案、经费使用办法和经费拨付</w:t>
      </w:r>
      <w:r>
        <w:rPr>
          <w:rFonts w:hint="eastAsia" w:ascii="仿宋_GB2312" w:hAnsi="仿宋_GB2312" w:eastAsia="仿宋_GB2312" w:cs="仿宋_GB2312"/>
          <w:color w:val="000000"/>
          <w:kern w:val="0"/>
          <w:sz w:val="32"/>
          <w:szCs w:val="32"/>
          <w:highlight w:val="none"/>
          <w:lang w:val="en-US" w:eastAsia="zh-CN"/>
        </w:rPr>
        <w:t>申请</w:t>
      </w:r>
      <w:r>
        <w:rPr>
          <w:rFonts w:hint="eastAsia" w:ascii="仿宋_GB2312" w:hAnsi="仿宋_GB2312" w:eastAsia="仿宋_GB2312" w:cs="仿宋_GB2312"/>
          <w:color w:val="000000"/>
          <w:kern w:val="0"/>
          <w:sz w:val="32"/>
          <w:szCs w:val="32"/>
          <w:highlight w:val="none"/>
        </w:rPr>
        <w:t>。</w:t>
      </w:r>
    </w:p>
    <w:p w14:paraId="094B6346">
      <w:pPr>
        <w:widowControl w:val="0"/>
        <w:numPr>
          <w:ilvl w:val="-1"/>
          <w:numId w:val="0"/>
        </w:numPr>
        <w:snapToGrid w:val="0"/>
        <w:spacing w:line="560" w:lineRule="exact"/>
        <w:ind w:firstLine="640" w:firstLineChars="200"/>
        <w:jc w:val="left"/>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w:t>
      </w:r>
      <w:r>
        <w:rPr>
          <w:rFonts w:hint="eastAsia" w:ascii="仿宋_GB2312" w:hAnsi="仿宋_GB2312" w:eastAsia="仿宋_GB2312" w:cs="仿宋_GB2312"/>
          <w:color w:val="000000"/>
          <w:kern w:val="0"/>
          <w:sz w:val="32"/>
          <w:szCs w:val="32"/>
          <w:highlight w:val="none"/>
          <w:lang w:val="en-US" w:eastAsia="zh-CN"/>
        </w:rPr>
        <w:t>二</w:t>
      </w:r>
      <w:r>
        <w:rPr>
          <w:rFonts w:hint="eastAsia" w:ascii="仿宋_GB2312" w:hAnsi="仿宋_GB2312" w:eastAsia="仿宋_GB2312" w:cs="仿宋_GB2312"/>
          <w:color w:val="000000"/>
          <w:kern w:val="0"/>
          <w:sz w:val="32"/>
          <w:szCs w:val="32"/>
          <w:highlight w:val="none"/>
        </w:rPr>
        <w:t>）对单项预算金额在500万</w:t>
      </w:r>
      <w:r>
        <w:rPr>
          <w:rFonts w:hint="eastAsia" w:ascii="仿宋_GB2312" w:hAnsi="仿宋_GB2312" w:eastAsia="仿宋_GB2312" w:cs="仿宋_GB2312"/>
          <w:color w:val="000000"/>
          <w:kern w:val="0"/>
          <w:sz w:val="32"/>
          <w:szCs w:val="32"/>
          <w:highlight w:val="none"/>
          <w:lang w:val="en-US" w:eastAsia="zh-CN"/>
        </w:rPr>
        <w:t>元</w:t>
      </w:r>
      <w:r>
        <w:rPr>
          <w:rFonts w:hint="eastAsia" w:ascii="仿宋_GB2312" w:hAnsi="仿宋_GB2312" w:eastAsia="仿宋_GB2312" w:cs="仿宋_GB2312"/>
          <w:color w:val="000000"/>
          <w:kern w:val="0"/>
          <w:sz w:val="32"/>
          <w:szCs w:val="32"/>
          <w:highlight w:val="none"/>
        </w:rPr>
        <w:t>（含）以上的重大基建工程、修缮工程、大宗物资、设备、软件、服务采购，</w:t>
      </w:r>
      <w:r>
        <w:rPr>
          <w:rFonts w:hint="eastAsia" w:ascii="仿宋_GB2312" w:hAnsi="仿宋_GB2312" w:eastAsia="仿宋_GB2312" w:cs="仿宋_GB2312"/>
          <w:color w:val="000000"/>
          <w:kern w:val="0"/>
          <w:sz w:val="32"/>
          <w:szCs w:val="32"/>
          <w:highlight w:val="none"/>
          <w:lang w:val="en-US" w:eastAsia="zh-CN"/>
        </w:rPr>
        <w:t>经学院党政联席</w:t>
      </w:r>
      <w:r>
        <w:rPr>
          <w:rFonts w:hint="eastAsia" w:ascii="仿宋_GB2312" w:hAnsi="仿宋_GB2312" w:eastAsia="仿宋_GB2312" w:cs="仿宋_GB2312"/>
          <w:color w:val="000000"/>
          <w:kern w:val="0"/>
          <w:sz w:val="32"/>
          <w:szCs w:val="32"/>
          <w:highlight w:val="none"/>
        </w:rPr>
        <w:t>会议</w:t>
      </w:r>
      <w:r>
        <w:rPr>
          <w:rFonts w:hint="default" w:ascii="仿宋_GB2312" w:hAnsi="仿宋_GB2312" w:eastAsia="仿宋_GB2312" w:cs="仿宋_GB2312"/>
          <w:color w:val="000000"/>
          <w:kern w:val="0"/>
          <w:sz w:val="32"/>
          <w:szCs w:val="32"/>
          <w:highlight w:val="none"/>
          <w:lang w:val="en-US"/>
        </w:rPr>
        <w:t>审批</w:t>
      </w:r>
      <w:r>
        <w:rPr>
          <w:rFonts w:hint="eastAsia" w:ascii="仿宋_GB2312" w:hAnsi="仿宋_GB2312" w:eastAsia="仿宋_GB2312" w:cs="仿宋_GB2312"/>
          <w:color w:val="000000"/>
          <w:kern w:val="0"/>
          <w:sz w:val="32"/>
          <w:szCs w:val="32"/>
          <w:highlight w:val="none"/>
          <w:lang w:val="en-US" w:eastAsia="zh-CN"/>
        </w:rPr>
        <w:t>后</w:t>
      </w:r>
      <w:r>
        <w:rPr>
          <w:rFonts w:hint="eastAsia" w:ascii="仿宋_GB2312" w:hAnsi="仿宋_GB2312" w:eastAsia="仿宋_GB2312" w:cs="仿宋_GB2312"/>
          <w:color w:val="000000"/>
          <w:kern w:val="0"/>
          <w:sz w:val="32"/>
          <w:szCs w:val="32"/>
          <w:highlight w:val="none"/>
        </w:rPr>
        <w:t>，按深圳市相关要求实施采购。</w:t>
      </w:r>
    </w:p>
    <w:p w14:paraId="569DF9DE">
      <w:pPr>
        <w:widowControl w:val="0"/>
        <w:numPr>
          <w:ilvl w:val="-1"/>
          <w:numId w:val="0"/>
        </w:numPr>
        <w:snapToGrid w:val="0"/>
        <w:spacing w:line="560" w:lineRule="exact"/>
        <w:ind w:firstLine="640" w:firstLineChars="200"/>
        <w:jc w:val="left"/>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woUserID w:val="2"/>
        </w:rPr>
        <w:t>（三）对支出金额在500万元（含）以上的科研对外委托项目，由学院党政联席会议审批。</w:t>
      </w:r>
    </w:p>
    <w:p w14:paraId="224C790B">
      <w:pPr>
        <w:widowControl w:val="0"/>
        <w:numPr>
          <w:ilvl w:val="-1"/>
          <w:numId w:val="0"/>
        </w:numPr>
        <w:snapToGrid w:val="0"/>
        <w:spacing w:line="560" w:lineRule="exact"/>
        <w:ind w:firstLine="640" w:firstLineChars="20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eastAsia="zh"/>
          <w:woUserID w:val="2"/>
        </w:rPr>
        <w:t>四</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对</w:t>
      </w:r>
      <w:r>
        <w:rPr>
          <w:rFonts w:hint="eastAsia" w:ascii="仿宋_GB2312" w:hAnsi="仿宋_GB2312" w:eastAsia="仿宋_GB2312" w:cs="仿宋_GB2312"/>
          <w:color w:val="000000"/>
          <w:kern w:val="0"/>
          <w:sz w:val="32"/>
          <w:szCs w:val="32"/>
        </w:rPr>
        <w:t>科技成果资产处置交易价格</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00万元</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含）</w:t>
      </w:r>
      <w:r>
        <w:rPr>
          <w:rFonts w:hint="eastAsia" w:ascii="仿宋_GB2312" w:hAnsi="仿宋_GB2312" w:eastAsia="仿宋_GB2312" w:cs="仿宋_GB2312"/>
          <w:color w:val="000000"/>
          <w:kern w:val="0"/>
          <w:sz w:val="32"/>
          <w:szCs w:val="32"/>
        </w:rPr>
        <w:t>以上的</w:t>
      </w:r>
      <w:r>
        <w:rPr>
          <w:rFonts w:hint="eastAsia" w:ascii="仿宋_GB2312" w:hAnsi="仿宋_GB2312" w:eastAsia="仿宋_GB2312" w:cs="仿宋_GB2312"/>
          <w:color w:val="000000"/>
          <w:kern w:val="0"/>
          <w:sz w:val="32"/>
          <w:szCs w:val="32"/>
          <w:lang w:val="en-US" w:eastAsia="zh-CN"/>
        </w:rPr>
        <w:t>项目</w:t>
      </w:r>
      <w:r>
        <w:rPr>
          <w:rFonts w:hint="eastAsia" w:ascii="仿宋_GB2312" w:hAnsi="仿宋_GB2312" w:eastAsia="仿宋_GB2312" w:cs="仿宋_GB2312"/>
          <w:color w:val="000000"/>
          <w:kern w:val="0"/>
          <w:sz w:val="32"/>
          <w:szCs w:val="32"/>
        </w:rPr>
        <w:t>，经</w:t>
      </w:r>
      <w:r>
        <w:rPr>
          <w:rFonts w:hint="eastAsia" w:ascii="仿宋_GB2312" w:hAnsi="仿宋_GB2312" w:eastAsia="仿宋_GB2312" w:cs="仿宋_GB2312"/>
          <w:color w:val="000000"/>
          <w:kern w:val="0"/>
          <w:sz w:val="32"/>
          <w:szCs w:val="32"/>
          <w:lang w:val="en-US" w:eastAsia="zh-CN"/>
        </w:rPr>
        <w:t>学</w:t>
      </w:r>
      <w:r>
        <w:rPr>
          <w:rFonts w:hint="eastAsia" w:ascii="仿宋_GB2312" w:hAnsi="仿宋_GB2312" w:eastAsia="仿宋_GB2312" w:cs="仿宋_GB2312"/>
          <w:sz w:val="32"/>
          <w:szCs w:val="32"/>
          <w:lang w:eastAsia="zh-Hans"/>
        </w:rPr>
        <w:t>院</w:t>
      </w:r>
      <w:r>
        <w:rPr>
          <w:rFonts w:hint="eastAsia" w:ascii="仿宋_GB2312" w:hAnsi="仿宋_GB2312" w:eastAsia="仿宋_GB2312" w:cs="仿宋_GB2312"/>
          <w:sz w:val="32"/>
          <w:szCs w:val="32"/>
        </w:rPr>
        <w:t>科技成果转化管理领导小组</w:t>
      </w:r>
      <w:r>
        <w:rPr>
          <w:rFonts w:hint="eastAsia" w:ascii="仿宋_GB2312" w:hAnsi="仿宋_GB2312" w:eastAsia="仿宋_GB2312" w:cs="仿宋_GB2312"/>
          <w:color w:val="000000"/>
          <w:kern w:val="0"/>
          <w:sz w:val="32"/>
          <w:szCs w:val="32"/>
        </w:rPr>
        <w:t>审议通过后，</w:t>
      </w:r>
      <w:r>
        <w:rPr>
          <w:rFonts w:hint="eastAsia" w:ascii="仿宋_GB2312" w:hAnsi="仿宋_GB2312" w:eastAsia="仿宋_GB2312" w:cs="仿宋_GB2312"/>
          <w:color w:val="000000"/>
          <w:kern w:val="0"/>
          <w:sz w:val="32"/>
          <w:szCs w:val="32"/>
          <w:lang w:val="en-US" w:eastAsia="zh-CN"/>
        </w:rPr>
        <w:t>由学院党政联席会议</w:t>
      </w:r>
      <w:r>
        <w:rPr>
          <w:rFonts w:hint="eastAsia" w:ascii="仿宋_GB2312" w:hAnsi="仿宋_GB2312" w:eastAsia="仿宋_GB2312" w:cs="仿宋_GB2312"/>
          <w:color w:val="000000"/>
          <w:kern w:val="0"/>
          <w:sz w:val="32"/>
          <w:szCs w:val="32"/>
        </w:rPr>
        <w:t>审批。</w:t>
      </w:r>
    </w:p>
    <w:p w14:paraId="1719C2E9">
      <w:pPr>
        <w:widowControl w:val="0"/>
        <w:numPr>
          <w:ilvl w:val="-1"/>
          <w:numId w:val="0"/>
        </w:numPr>
        <w:snapToGrid w:val="0"/>
        <w:spacing w:line="560" w:lineRule="exact"/>
        <w:ind w:firstLine="640" w:firstLineChars="200"/>
        <w:jc w:val="left"/>
        <w:rPr>
          <w:rFonts w:hint="default"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
          <w:woUserID w:val="2"/>
        </w:rPr>
        <w:t>五</w:t>
      </w:r>
      <w:r>
        <w:rPr>
          <w:rFonts w:hint="eastAsia" w:ascii="仿宋_GB2312" w:hAnsi="仿宋_GB2312" w:eastAsia="仿宋_GB2312" w:cs="仿宋_GB2312"/>
          <w:color w:val="000000"/>
          <w:kern w:val="0"/>
          <w:sz w:val="32"/>
          <w:szCs w:val="32"/>
        </w:rPr>
        <w:t>）金额500万元</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含</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以上的捐赠协议，</w:t>
      </w:r>
      <w:r>
        <w:rPr>
          <w:rFonts w:hint="eastAsia" w:ascii="仿宋_GB2312" w:hAnsi="仿宋_GB2312" w:eastAsia="仿宋_GB2312" w:cs="仿宋_GB2312"/>
          <w:color w:val="000000"/>
          <w:kern w:val="0"/>
          <w:sz w:val="32"/>
          <w:szCs w:val="32"/>
          <w:lang w:val="en-US" w:eastAsia="zh-CN"/>
        </w:rPr>
        <w:t>由学院党政联席</w:t>
      </w:r>
      <w:r>
        <w:rPr>
          <w:rFonts w:hint="eastAsia" w:ascii="仿宋_GB2312" w:hAnsi="仿宋_GB2312" w:eastAsia="仿宋_GB2312" w:cs="仿宋_GB2312"/>
          <w:color w:val="000000"/>
          <w:kern w:val="0"/>
          <w:sz w:val="32"/>
          <w:szCs w:val="32"/>
        </w:rPr>
        <w:t>会议审批。</w:t>
      </w:r>
    </w:p>
    <w:p w14:paraId="2D69A994">
      <w:pPr>
        <w:widowControl w:val="0"/>
        <w:numPr>
          <w:ilvl w:val="0"/>
          <w:numId w:val="0"/>
        </w:numPr>
        <w:snapToGrid w:val="0"/>
        <w:spacing w:line="560" w:lineRule="exact"/>
        <w:ind w:firstLine="640" w:firstLineChars="200"/>
        <w:jc w:val="left"/>
        <w:rPr>
          <w:rFonts w:hint="eastAsia" w:ascii="仿宋_GB2312" w:hAnsi="仿宋_GB2312" w:eastAsia="仿宋_GB2312" w:cs="仿宋_GB2312"/>
          <w:color w:val="000000"/>
          <w:kern w:val="0"/>
          <w:sz w:val="32"/>
          <w:highlight w:val="none"/>
        </w:rPr>
      </w:pPr>
      <w:r>
        <w:rPr>
          <w:rFonts w:hint="eastAsia" w:ascii="仿宋_GB2312" w:hAnsi="仿宋_GB2312" w:eastAsia="仿宋_GB2312" w:cs="仿宋_GB2312"/>
          <w:color w:val="000000"/>
          <w:kern w:val="0"/>
          <w:sz w:val="32"/>
          <w:szCs w:val="32"/>
          <w:highlight w:val="none"/>
        </w:rPr>
        <w:t>（</w:t>
      </w:r>
      <w:r>
        <w:rPr>
          <w:rFonts w:hint="eastAsia" w:ascii="仿宋_GB2312" w:hAnsi="仿宋_GB2312" w:eastAsia="仿宋_GB2312" w:cs="仿宋_GB2312"/>
          <w:color w:val="000000"/>
          <w:kern w:val="0"/>
          <w:sz w:val="32"/>
          <w:szCs w:val="32"/>
          <w:highlight w:val="none"/>
          <w:lang w:val="en-US" w:eastAsia="zh-CN"/>
        </w:rPr>
        <w:t>六</w:t>
      </w:r>
      <w:r>
        <w:rPr>
          <w:rFonts w:hint="eastAsia" w:ascii="仿宋_GB2312" w:hAnsi="仿宋_GB2312" w:eastAsia="仿宋_GB2312" w:cs="仿宋_GB2312"/>
          <w:color w:val="000000"/>
          <w:kern w:val="0"/>
          <w:sz w:val="32"/>
          <w:szCs w:val="32"/>
          <w:highlight w:val="none"/>
        </w:rPr>
        <w:t>）车辆、船舶及房屋构筑物等特殊资产处置，国有资产出租、出借需要报主管部门、财政部门审批的，200万元（含）以上申请无偿划转、对外捐赠、有偿转让、置换的方式处置资产的，资产未计提完折旧（摊销）且单位价值或批量价值高于200万元（含）申请报废的，单笔金额高于200万元（含）的损失核销（含盘亏）的，经学院国有资产管理委员会审议通过后，由学院党政联席会议审批，再依规报上级主管部门、财政部门备案或审批。</w:t>
      </w:r>
    </w:p>
    <w:p w14:paraId="18EB964F">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第四章 “三重一大”决策制度落实情况的检查与考核</w:t>
      </w:r>
    </w:p>
    <w:p w14:paraId="1F8E50F8">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color w:val="000000"/>
          <w:kern w:val="0"/>
          <w:sz w:val="32"/>
        </w:rPr>
      </w:pPr>
      <w:r>
        <w:rPr>
          <w:rFonts w:hint="eastAsia" w:ascii="仿宋_GB2312" w:hAnsi="仿宋_GB2312" w:eastAsia="仿宋_GB2312" w:cs="仿宋_GB2312"/>
          <w:b/>
          <w:bCs/>
          <w:color w:val="000000"/>
          <w:kern w:val="0"/>
          <w:sz w:val="32"/>
          <w:szCs w:val="32"/>
        </w:rPr>
        <w:t xml:space="preserve">第十四条 </w:t>
      </w:r>
      <w:r>
        <w:rPr>
          <w:rFonts w:hint="eastAsia" w:ascii="仿宋_GB2312" w:hAnsi="仿宋_GB2312" w:eastAsia="仿宋_GB2312" w:cs="仿宋_GB2312"/>
          <w:color w:val="000000"/>
          <w:kern w:val="0"/>
          <w:sz w:val="32"/>
          <w:szCs w:val="32"/>
        </w:rPr>
        <w:t>学院领导班子及其成员应当将“三重一大”决策制度执行情况列为民主生活会和述职述廉的重要内容。</w:t>
      </w:r>
    </w:p>
    <w:p w14:paraId="3CA3D212">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b/>
          <w:bCs/>
          <w:color w:val="000000"/>
          <w:kern w:val="0"/>
          <w:sz w:val="32"/>
          <w:szCs w:val="32"/>
        </w:rPr>
        <w:t>第十五条</w:t>
      </w:r>
      <w:r>
        <w:rPr>
          <w:rFonts w:hint="eastAsia" w:ascii="仿宋_GB2312" w:hAnsi="仿宋_GB2312" w:eastAsia="仿宋_GB2312" w:cs="仿宋_GB2312"/>
          <w:color w:val="000000"/>
          <w:kern w:val="0"/>
          <w:sz w:val="32"/>
          <w:szCs w:val="32"/>
        </w:rPr>
        <w:t xml:space="preserve"> 党政办公室、</w:t>
      </w:r>
      <w:r>
        <w:rPr>
          <w:rFonts w:hint="eastAsia" w:ascii="仿宋_GB2312" w:hAnsi="仿宋_GB2312" w:eastAsia="仿宋_GB2312" w:cs="仿宋_GB2312"/>
          <w:color w:val="000000"/>
          <w:kern w:val="0"/>
          <w:sz w:val="32"/>
          <w:szCs w:val="32"/>
          <w:lang w:val="en-US" w:eastAsia="zh-CN"/>
        </w:rPr>
        <w:t>党委组织</w:t>
      </w:r>
      <w:r>
        <w:rPr>
          <w:rFonts w:hint="eastAsia" w:ascii="仿宋_GB2312" w:hAnsi="仿宋_GB2312" w:eastAsia="仿宋_GB2312" w:cs="仿宋_GB2312"/>
          <w:color w:val="000000"/>
          <w:kern w:val="0"/>
          <w:sz w:val="32"/>
          <w:szCs w:val="32"/>
        </w:rPr>
        <w:t>办公室、宣传办公室、</w:t>
      </w:r>
      <w:r>
        <w:rPr>
          <w:rFonts w:hint="eastAsia" w:ascii="仿宋_GB2312" w:hAnsi="仿宋_GB2312" w:eastAsia="仿宋_GB2312" w:cs="仿宋_GB2312"/>
          <w:color w:val="000000"/>
          <w:kern w:val="0"/>
          <w:sz w:val="32"/>
          <w:szCs w:val="32"/>
          <w:lang w:val="en-US" w:eastAsia="zh-CN"/>
        </w:rPr>
        <w:t>纪委</w:t>
      </w:r>
      <w:r>
        <w:rPr>
          <w:rFonts w:hint="eastAsia" w:ascii="仿宋_GB2312" w:hAnsi="仿宋_GB2312" w:eastAsia="仿宋_GB2312" w:cs="仿宋_GB2312"/>
          <w:color w:val="000000"/>
          <w:kern w:val="0"/>
          <w:sz w:val="32"/>
          <w:szCs w:val="32"/>
        </w:rPr>
        <w:t>办公室、人事</w:t>
      </w:r>
      <w:r>
        <w:rPr>
          <w:rFonts w:hint="eastAsia" w:ascii="仿宋_GB2312" w:hAnsi="仿宋_GB2312" w:eastAsia="仿宋_GB2312" w:cs="仿宋_GB2312"/>
          <w:color w:val="000000"/>
          <w:kern w:val="0"/>
          <w:sz w:val="32"/>
          <w:szCs w:val="32"/>
          <w:lang w:val="en-US" w:eastAsia="zh-CN"/>
        </w:rPr>
        <w:t>办公室</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审计办公室、</w:t>
      </w:r>
      <w:r>
        <w:rPr>
          <w:rFonts w:hint="eastAsia" w:ascii="仿宋_GB2312" w:hAnsi="仿宋_GB2312" w:eastAsia="仿宋_GB2312" w:cs="仿宋_GB2312"/>
          <w:color w:val="000000"/>
          <w:kern w:val="0"/>
          <w:sz w:val="32"/>
          <w:szCs w:val="32"/>
        </w:rPr>
        <w:t>院工会等部门在职责范围内具体负责对“三重一大”决策制度落实情况开展监督检查。</w:t>
      </w:r>
    </w:p>
    <w:p w14:paraId="5286AEF4">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b/>
          <w:bCs/>
          <w:color w:val="000000"/>
          <w:kern w:val="0"/>
          <w:sz w:val="32"/>
          <w:szCs w:val="32"/>
        </w:rPr>
        <w:t>第十六条</w:t>
      </w:r>
      <w:r>
        <w:rPr>
          <w:rFonts w:hint="eastAsia" w:ascii="仿宋_GB2312" w:hAnsi="仿宋_GB2312" w:eastAsia="仿宋_GB2312" w:cs="仿宋_GB2312"/>
          <w:color w:val="000000"/>
          <w:kern w:val="0"/>
          <w:sz w:val="32"/>
          <w:szCs w:val="32"/>
        </w:rPr>
        <w:t xml:space="preserve"> 建立“三重一大”决策公开制度。按照党务公开、信息公开</w:t>
      </w:r>
      <w:r>
        <w:rPr>
          <w:rFonts w:hint="eastAsia" w:ascii="仿宋_GB2312" w:hAnsi="仿宋_GB2312" w:eastAsia="仿宋_GB2312" w:cs="仿宋_GB2312"/>
          <w:color w:val="000000"/>
          <w:kern w:val="0"/>
          <w:sz w:val="32"/>
          <w:szCs w:val="32"/>
          <w:lang w:val="en-US" w:eastAsia="zh-CN"/>
        </w:rPr>
        <w:t>有</w:t>
      </w:r>
      <w:r>
        <w:rPr>
          <w:rFonts w:hint="eastAsia" w:ascii="仿宋_GB2312" w:hAnsi="仿宋_GB2312" w:eastAsia="仿宋_GB2312" w:cs="仿宋_GB2312"/>
          <w:color w:val="000000"/>
          <w:kern w:val="0"/>
          <w:sz w:val="32"/>
          <w:szCs w:val="32"/>
        </w:rPr>
        <w:t>关规定，除涉密事项外，公开贯彻落实“三重一大”决策制度的情况。</w:t>
      </w:r>
    </w:p>
    <w:p w14:paraId="12917CA9">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仿宋_GB2312" w:hAnsi="仿宋_GB2312" w:eastAsia="仿宋_GB2312" w:cs="仿宋_GB2312"/>
          <w:color w:val="000000"/>
          <w:kern w:val="0"/>
          <w:sz w:val="24"/>
          <w:szCs w:val="24"/>
        </w:rPr>
      </w:pPr>
      <w:r>
        <w:rPr>
          <w:rFonts w:hint="eastAsia" w:ascii="黑体" w:hAnsi="黑体" w:eastAsia="黑体" w:cs="黑体"/>
          <w:color w:val="000000"/>
          <w:kern w:val="0"/>
          <w:sz w:val="32"/>
          <w:szCs w:val="32"/>
        </w:rPr>
        <w:t>第五章</w:t>
      </w:r>
      <w:r>
        <w:rPr>
          <w:rFonts w:hint="eastAsia" w:ascii="黑体" w:hAnsi="黑体" w:eastAsia="黑体" w:cs="黑体"/>
          <w:color w:val="000000"/>
          <w:kern w:val="0"/>
          <w:sz w:val="32"/>
          <w:szCs w:val="32"/>
          <w:lang w:val="en-US" w:eastAsia="zh-CN"/>
        </w:rPr>
        <w:t xml:space="preserve"> </w:t>
      </w:r>
      <w:r>
        <w:rPr>
          <w:rFonts w:hint="eastAsia" w:ascii="黑体" w:hAnsi="黑体" w:eastAsia="黑体" w:cs="黑体"/>
          <w:color w:val="000000"/>
          <w:kern w:val="0"/>
          <w:sz w:val="32"/>
          <w:szCs w:val="32"/>
        </w:rPr>
        <w:t>违反“三重一大”决策制度的责任追究</w:t>
      </w:r>
    </w:p>
    <w:p w14:paraId="622AF4A1">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第十七条 </w:t>
      </w:r>
      <w:r>
        <w:rPr>
          <w:rFonts w:hint="eastAsia" w:ascii="仿宋_GB2312" w:hAnsi="仿宋_GB2312" w:eastAsia="仿宋_GB2312" w:cs="仿宋_GB2312"/>
          <w:color w:val="000000"/>
          <w:kern w:val="0"/>
          <w:sz w:val="32"/>
          <w:szCs w:val="32"/>
        </w:rPr>
        <w:t>学院领导班子成员违反本办法相关规定，不履行或不正确履行“三重一大”决策制度；不执行或擅自改变集体决定；未经集体讨论而个人决策；未提供全面真实情况而直接造成决策失误；执行决策后发现可能造成失误或损失而不及时采取措施纠正，造成重大损失或恶劣影响的，依纪依法依规分别追究相关责任。</w:t>
      </w:r>
    </w:p>
    <w:p w14:paraId="697359AE">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lang w:val="en-US" w:eastAsia="zh-CN"/>
        </w:rPr>
        <w:t>第十八条</w:t>
      </w:r>
      <w:r>
        <w:rPr>
          <w:rFonts w:hint="eastAsia" w:ascii="仿宋_GB2312" w:hAnsi="仿宋_GB2312" w:eastAsia="仿宋_GB2312" w:cs="仿宋_GB2312"/>
          <w:color w:val="000000"/>
          <w:kern w:val="0"/>
          <w:sz w:val="32"/>
          <w:szCs w:val="32"/>
          <w:lang w:val="en-US" w:eastAsia="zh-CN"/>
        </w:rPr>
        <w:t xml:space="preserve"> 具备条件的学院二级单位应当根据本办法，结合工作实际制定本单位“三重一大”事项决策制度实施办法。</w:t>
      </w:r>
    </w:p>
    <w:p w14:paraId="10FA5EA5">
      <w:pPr>
        <w:keepNext w:val="0"/>
        <w:keepLines w:val="0"/>
        <w:pageBreakBefore w:val="0"/>
        <w:widowControl w:val="0"/>
        <w:kinsoku/>
        <w:wordWrap/>
        <w:overflowPunct/>
        <w:topLinePunct w:val="0"/>
        <w:autoSpaceDE/>
        <w:autoSpaceDN/>
        <w:bidi w:val="0"/>
        <w:adjustRightInd/>
        <w:spacing w:line="560" w:lineRule="exact"/>
        <w:ind w:firstLine="3"/>
        <w:jc w:val="center"/>
        <w:textAlignment w:val="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第六章</w:t>
      </w:r>
      <w:r>
        <w:rPr>
          <w:rFonts w:hint="eastAsia" w:ascii="黑体" w:hAnsi="黑体" w:eastAsia="黑体" w:cs="黑体"/>
          <w:color w:val="000000"/>
          <w:kern w:val="0"/>
          <w:sz w:val="32"/>
          <w:szCs w:val="32"/>
          <w:lang w:val="en-US" w:eastAsia="zh-CN"/>
        </w:rPr>
        <w:t xml:space="preserve"> </w:t>
      </w:r>
      <w:r>
        <w:rPr>
          <w:rFonts w:hint="eastAsia" w:ascii="黑体" w:hAnsi="黑体" w:eastAsia="黑体" w:cs="黑体"/>
          <w:color w:val="000000"/>
          <w:kern w:val="0"/>
          <w:sz w:val="32"/>
          <w:szCs w:val="32"/>
        </w:rPr>
        <w:t>附则</w:t>
      </w:r>
    </w:p>
    <w:p w14:paraId="52800372">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b/>
          <w:bCs/>
          <w:color w:val="000000"/>
          <w:kern w:val="0"/>
          <w:sz w:val="32"/>
          <w:szCs w:val="32"/>
        </w:rPr>
        <w:t>第十</w:t>
      </w:r>
      <w:r>
        <w:rPr>
          <w:rFonts w:hint="eastAsia" w:ascii="仿宋_GB2312" w:hAnsi="仿宋_GB2312" w:eastAsia="仿宋_GB2312" w:cs="仿宋_GB2312"/>
          <w:b/>
          <w:bCs/>
          <w:color w:val="000000"/>
          <w:kern w:val="0"/>
          <w:sz w:val="32"/>
          <w:szCs w:val="32"/>
          <w:lang w:val="en-US" w:eastAsia="zh-CN"/>
        </w:rPr>
        <w:t>九</w:t>
      </w:r>
      <w:r>
        <w:rPr>
          <w:rFonts w:hint="eastAsia" w:ascii="仿宋_GB2312" w:hAnsi="仿宋_GB2312" w:eastAsia="仿宋_GB2312" w:cs="仿宋_GB2312"/>
          <w:b/>
          <w:bCs/>
          <w:color w:val="000000"/>
          <w:kern w:val="0"/>
          <w:sz w:val="32"/>
          <w:szCs w:val="32"/>
        </w:rPr>
        <w:t>条</w:t>
      </w:r>
      <w:r>
        <w:rPr>
          <w:rFonts w:hint="eastAsia" w:ascii="仿宋_GB2312" w:hAnsi="仿宋_GB2312" w:eastAsia="仿宋_GB2312" w:cs="仿宋_GB2312"/>
          <w:color w:val="000000"/>
          <w:kern w:val="0"/>
          <w:sz w:val="32"/>
          <w:szCs w:val="32"/>
        </w:rPr>
        <w:t xml:space="preserve"> 本办法由党政办公室负责解释。</w:t>
      </w:r>
    </w:p>
    <w:p w14:paraId="24D52308">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rPr>
      </w:pPr>
      <w:r>
        <w:rPr>
          <w:rFonts w:hint="eastAsia" w:ascii="仿宋_GB2312" w:hAnsi="仿宋_GB2312" w:eastAsia="仿宋_GB2312" w:cs="仿宋_GB2312"/>
          <w:b/>
          <w:bCs/>
          <w:color w:val="000000"/>
          <w:kern w:val="0"/>
          <w:sz w:val="32"/>
          <w:szCs w:val="32"/>
        </w:rPr>
        <w:t>第</w:t>
      </w:r>
      <w:r>
        <w:rPr>
          <w:rFonts w:hint="eastAsia" w:ascii="仿宋_GB2312" w:hAnsi="仿宋_GB2312" w:eastAsia="仿宋_GB2312" w:cs="仿宋_GB2312"/>
          <w:b/>
          <w:bCs/>
          <w:color w:val="000000"/>
          <w:kern w:val="0"/>
          <w:sz w:val="32"/>
          <w:szCs w:val="32"/>
          <w:lang w:val="en-US" w:eastAsia="zh-CN"/>
        </w:rPr>
        <w:t>二十</w:t>
      </w:r>
      <w:r>
        <w:rPr>
          <w:rFonts w:hint="eastAsia" w:ascii="仿宋_GB2312" w:hAnsi="仿宋_GB2312" w:eastAsia="仿宋_GB2312" w:cs="仿宋_GB2312"/>
          <w:b/>
          <w:bCs/>
          <w:color w:val="000000"/>
          <w:kern w:val="0"/>
          <w:sz w:val="32"/>
          <w:szCs w:val="32"/>
        </w:rPr>
        <w:t>条</w:t>
      </w:r>
      <w:r>
        <w:rPr>
          <w:rFonts w:hint="eastAsia" w:ascii="仿宋_GB2312" w:hAnsi="仿宋_GB2312" w:eastAsia="仿宋_GB2312" w:cs="仿宋_GB2312"/>
          <w:color w:val="000000"/>
          <w:kern w:val="0"/>
          <w:sz w:val="32"/>
          <w:szCs w:val="32"/>
        </w:rPr>
        <w:t xml:space="preserve"> 本办法自公布之日起施行。原《清华大学深圳研究生院关于落实“三重一大”决策制度的实施办法》（清深院规〔2018〕5号）同时废止。</w:t>
      </w:r>
    </w:p>
    <w:sectPr>
      <w:headerReference r:id="rId3" w:type="default"/>
      <w:footerReference r:id="rId5" w:type="default"/>
      <w:headerReference r:id="rId4" w:type="even"/>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1170F">
    <w:pPr>
      <w:pStyle w:val="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09C49F">
                          <w:pPr>
                            <w:pStyle w:val="5"/>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D09C49F">
                    <w:pPr>
                      <w:pStyle w:val="5"/>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FD00A">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1A54F">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VkNzA4ZWM1YmJkZjk2NTk5ZDUzY2ViZGVlNDNjODIifQ=="/>
  </w:docVars>
  <w:rsids>
    <w:rsidRoot w:val="000E509D"/>
    <w:rsid w:val="00005314"/>
    <w:rsid w:val="00020BFC"/>
    <w:rsid w:val="0002446E"/>
    <w:rsid w:val="00030668"/>
    <w:rsid w:val="000377D0"/>
    <w:rsid w:val="000436B4"/>
    <w:rsid w:val="0007504C"/>
    <w:rsid w:val="00084303"/>
    <w:rsid w:val="000A42CD"/>
    <w:rsid w:val="000C2405"/>
    <w:rsid w:val="000D21AD"/>
    <w:rsid w:val="000D5D8F"/>
    <w:rsid w:val="000E1152"/>
    <w:rsid w:val="000E509D"/>
    <w:rsid w:val="00111728"/>
    <w:rsid w:val="001279FA"/>
    <w:rsid w:val="0014255A"/>
    <w:rsid w:val="00142645"/>
    <w:rsid w:val="001471D6"/>
    <w:rsid w:val="00172F95"/>
    <w:rsid w:val="001C3AB7"/>
    <w:rsid w:val="001C4EA7"/>
    <w:rsid w:val="001F7890"/>
    <w:rsid w:val="002029D1"/>
    <w:rsid w:val="00230E35"/>
    <w:rsid w:val="002356E9"/>
    <w:rsid w:val="00241554"/>
    <w:rsid w:val="002501EB"/>
    <w:rsid w:val="0026375A"/>
    <w:rsid w:val="00284394"/>
    <w:rsid w:val="002870F1"/>
    <w:rsid w:val="002C1667"/>
    <w:rsid w:val="002C3BD6"/>
    <w:rsid w:val="002C5D18"/>
    <w:rsid w:val="002D16D1"/>
    <w:rsid w:val="003066C9"/>
    <w:rsid w:val="00312835"/>
    <w:rsid w:val="00313A7C"/>
    <w:rsid w:val="00317E1B"/>
    <w:rsid w:val="00351722"/>
    <w:rsid w:val="003640B8"/>
    <w:rsid w:val="00364FCA"/>
    <w:rsid w:val="003654B5"/>
    <w:rsid w:val="00367D29"/>
    <w:rsid w:val="00376DCF"/>
    <w:rsid w:val="00381FA5"/>
    <w:rsid w:val="003831B4"/>
    <w:rsid w:val="00384870"/>
    <w:rsid w:val="003A030D"/>
    <w:rsid w:val="003A5A62"/>
    <w:rsid w:val="003C18CB"/>
    <w:rsid w:val="003D50AF"/>
    <w:rsid w:val="003D5E12"/>
    <w:rsid w:val="003D67BB"/>
    <w:rsid w:val="003E451D"/>
    <w:rsid w:val="003E74BE"/>
    <w:rsid w:val="003F3AD4"/>
    <w:rsid w:val="00407C76"/>
    <w:rsid w:val="00430D89"/>
    <w:rsid w:val="00435EAE"/>
    <w:rsid w:val="00462B62"/>
    <w:rsid w:val="00481C77"/>
    <w:rsid w:val="00496D4D"/>
    <w:rsid w:val="004E0454"/>
    <w:rsid w:val="004E4123"/>
    <w:rsid w:val="004F11EA"/>
    <w:rsid w:val="004F2D00"/>
    <w:rsid w:val="00505BAD"/>
    <w:rsid w:val="00512813"/>
    <w:rsid w:val="005165C5"/>
    <w:rsid w:val="005255D5"/>
    <w:rsid w:val="00573EF4"/>
    <w:rsid w:val="00574966"/>
    <w:rsid w:val="0058173A"/>
    <w:rsid w:val="005828BF"/>
    <w:rsid w:val="00587CE6"/>
    <w:rsid w:val="00591CF1"/>
    <w:rsid w:val="00594893"/>
    <w:rsid w:val="00594CAB"/>
    <w:rsid w:val="005A6DF3"/>
    <w:rsid w:val="005B3BCF"/>
    <w:rsid w:val="005D45D0"/>
    <w:rsid w:val="005F2DF1"/>
    <w:rsid w:val="00614899"/>
    <w:rsid w:val="00617F97"/>
    <w:rsid w:val="00630E52"/>
    <w:rsid w:val="0063476B"/>
    <w:rsid w:val="006411A6"/>
    <w:rsid w:val="00647164"/>
    <w:rsid w:val="00655E1E"/>
    <w:rsid w:val="00666708"/>
    <w:rsid w:val="0067678F"/>
    <w:rsid w:val="00680439"/>
    <w:rsid w:val="0068610A"/>
    <w:rsid w:val="006959A5"/>
    <w:rsid w:val="00696A3A"/>
    <w:rsid w:val="006A1C5C"/>
    <w:rsid w:val="006A546E"/>
    <w:rsid w:val="006A6E54"/>
    <w:rsid w:val="006B1276"/>
    <w:rsid w:val="00703369"/>
    <w:rsid w:val="00712C77"/>
    <w:rsid w:val="00713692"/>
    <w:rsid w:val="007158D2"/>
    <w:rsid w:val="00720053"/>
    <w:rsid w:val="00721150"/>
    <w:rsid w:val="007505E2"/>
    <w:rsid w:val="00761B41"/>
    <w:rsid w:val="007D5C91"/>
    <w:rsid w:val="007E5330"/>
    <w:rsid w:val="007E78E5"/>
    <w:rsid w:val="007F3C1E"/>
    <w:rsid w:val="007F3F46"/>
    <w:rsid w:val="00800174"/>
    <w:rsid w:val="00802F57"/>
    <w:rsid w:val="00810E78"/>
    <w:rsid w:val="00821E47"/>
    <w:rsid w:val="00835A91"/>
    <w:rsid w:val="00843863"/>
    <w:rsid w:val="00853B6F"/>
    <w:rsid w:val="008545D6"/>
    <w:rsid w:val="00857D5C"/>
    <w:rsid w:val="00880CB2"/>
    <w:rsid w:val="0088425E"/>
    <w:rsid w:val="00891C26"/>
    <w:rsid w:val="00897C19"/>
    <w:rsid w:val="008B02B0"/>
    <w:rsid w:val="008D06FC"/>
    <w:rsid w:val="008D7D53"/>
    <w:rsid w:val="00902748"/>
    <w:rsid w:val="00910EDD"/>
    <w:rsid w:val="00911D99"/>
    <w:rsid w:val="00912E91"/>
    <w:rsid w:val="0092495E"/>
    <w:rsid w:val="00930462"/>
    <w:rsid w:val="009334DC"/>
    <w:rsid w:val="0093776C"/>
    <w:rsid w:val="00953DCE"/>
    <w:rsid w:val="0095473B"/>
    <w:rsid w:val="00955F78"/>
    <w:rsid w:val="00977D89"/>
    <w:rsid w:val="00982B74"/>
    <w:rsid w:val="00986705"/>
    <w:rsid w:val="009B02D0"/>
    <w:rsid w:val="009E3B59"/>
    <w:rsid w:val="00A2096E"/>
    <w:rsid w:val="00A47D51"/>
    <w:rsid w:val="00A47DAE"/>
    <w:rsid w:val="00A5441E"/>
    <w:rsid w:val="00A603FE"/>
    <w:rsid w:val="00A85454"/>
    <w:rsid w:val="00A9365C"/>
    <w:rsid w:val="00A95D80"/>
    <w:rsid w:val="00AA3754"/>
    <w:rsid w:val="00AA6783"/>
    <w:rsid w:val="00AB4C8F"/>
    <w:rsid w:val="00AB4DCE"/>
    <w:rsid w:val="00AB75BF"/>
    <w:rsid w:val="00AD3CBC"/>
    <w:rsid w:val="00AF15BE"/>
    <w:rsid w:val="00AF4D7C"/>
    <w:rsid w:val="00B05F70"/>
    <w:rsid w:val="00B35AE4"/>
    <w:rsid w:val="00B40A02"/>
    <w:rsid w:val="00B42C94"/>
    <w:rsid w:val="00B566EA"/>
    <w:rsid w:val="00B62F99"/>
    <w:rsid w:val="00B7209A"/>
    <w:rsid w:val="00B74DF1"/>
    <w:rsid w:val="00B96E4B"/>
    <w:rsid w:val="00BA0613"/>
    <w:rsid w:val="00BC6AFA"/>
    <w:rsid w:val="00BD0958"/>
    <w:rsid w:val="00BF202A"/>
    <w:rsid w:val="00C04967"/>
    <w:rsid w:val="00C11BD0"/>
    <w:rsid w:val="00C17575"/>
    <w:rsid w:val="00C35221"/>
    <w:rsid w:val="00C36687"/>
    <w:rsid w:val="00C406E7"/>
    <w:rsid w:val="00C57F7D"/>
    <w:rsid w:val="00C67DA4"/>
    <w:rsid w:val="00C95906"/>
    <w:rsid w:val="00C95C31"/>
    <w:rsid w:val="00CA26F7"/>
    <w:rsid w:val="00CB56DB"/>
    <w:rsid w:val="00CD0CE3"/>
    <w:rsid w:val="00CD126E"/>
    <w:rsid w:val="00CE28B9"/>
    <w:rsid w:val="00D063A6"/>
    <w:rsid w:val="00D159D2"/>
    <w:rsid w:val="00D16753"/>
    <w:rsid w:val="00D21D81"/>
    <w:rsid w:val="00D238F1"/>
    <w:rsid w:val="00D66AC9"/>
    <w:rsid w:val="00D673FA"/>
    <w:rsid w:val="00D75083"/>
    <w:rsid w:val="00D80E2D"/>
    <w:rsid w:val="00D92D50"/>
    <w:rsid w:val="00D94F25"/>
    <w:rsid w:val="00D9583C"/>
    <w:rsid w:val="00E20045"/>
    <w:rsid w:val="00E37F04"/>
    <w:rsid w:val="00E40273"/>
    <w:rsid w:val="00E46AF9"/>
    <w:rsid w:val="00E51663"/>
    <w:rsid w:val="00EB05DD"/>
    <w:rsid w:val="00EB3C64"/>
    <w:rsid w:val="00ED2561"/>
    <w:rsid w:val="00F06006"/>
    <w:rsid w:val="00F264D5"/>
    <w:rsid w:val="00F40121"/>
    <w:rsid w:val="00F444EA"/>
    <w:rsid w:val="00F51C29"/>
    <w:rsid w:val="00F574A4"/>
    <w:rsid w:val="00F60590"/>
    <w:rsid w:val="00F65B79"/>
    <w:rsid w:val="00F707DD"/>
    <w:rsid w:val="00F7669A"/>
    <w:rsid w:val="00F77463"/>
    <w:rsid w:val="00F81A63"/>
    <w:rsid w:val="00F90D48"/>
    <w:rsid w:val="00F916B1"/>
    <w:rsid w:val="00FA6AEB"/>
    <w:rsid w:val="00FA6AF4"/>
    <w:rsid w:val="00FB7165"/>
    <w:rsid w:val="00FC41E6"/>
    <w:rsid w:val="00FC493C"/>
    <w:rsid w:val="00FC5EC2"/>
    <w:rsid w:val="00FF2382"/>
    <w:rsid w:val="01F77A89"/>
    <w:rsid w:val="02704AC1"/>
    <w:rsid w:val="03483348"/>
    <w:rsid w:val="046C7A14"/>
    <w:rsid w:val="04D728EB"/>
    <w:rsid w:val="04EA4C81"/>
    <w:rsid w:val="085B3B1D"/>
    <w:rsid w:val="085D7896"/>
    <w:rsid w:val="08C6368D"/>
    <w:rsid w:val="09016473"/>
    <w:rsid w:val="097529BD"/>
    <w:rsid w:val="09BE25B6"/>
    <w:rsid w:val="0ABB79A6"/>
    <w:rsid w:val="0AC44DE6"/>
    <w:rsid w:val="0B3C7C36"/>
    <w:rsid w:val="0BAD4690"/>
    <w:rsid w:val="0CFF716D"/>
    <w:rsid w:val="0DEF362D"/>
    <w:rsid w:val="0E7B6CC7"/>
    <w:rsid w:val="0FAA26C5"/>
    <w:rsid w:val="10F90377"/>
    <w:rsid w:val="11172A7A"/>
    <w:rsid w:val="11477335"/>
    <w:rsid w:val="11B756A0"/>
    <w:rsid w:val="1229594D"/>
    <w:rsid w:val="129A7F1B"/>
    <w:rsid w:val="12A85BB1"/>
    <w:rsid w:val="12FE18B5"/>
    <w:rsid w:val="137B5074"/>
    <w:rsid w:val="13A4281C"/>
    <w:rsid w:val="150C0825"/>
    <w:rsid w:val="15A703A2"/>
    <w:rsid w:val="15D66E83"/>
    <w:rsid w:val="16D16C85"/>
    <w:rsid w:val="17035549"/>
    <w:rsid w:val="1768755B"/>
    <w:rsid w:val="17FA6EAF"/>
    <w:rsid w:val="19F65454"/>
    <w:rsid w:val="1A3B37AF"/>
    <w:rsid w:val="1A69031C"/>
    <w:rsid w:val="1A7867B1"/>
    <w:rsid w:val="1B28275B"/>
    <w:rsid w:val="1C3E504A"/>
    <w:rsid w:val="1CC74AED"/>
    <w:rsid w:val="1D291FE4"/>
    <w:rsid w:val="1D622D51"/>
    <w:rsid w:val="1DFE0D7B"/>
    <w:rsid w:val="1E285DF8"/>
    <w:rsid w:val="1E4A2212"/>
    <w:rsid w:val="1EA75EED"/>
    <w:rsid w:val="1F6E461D"/>
    <w:rsid w:val="1FD71884"/>
    <w:rsid w:val="21C9204F"/>
    <w:rsid w:val="22D8603F"/>
    <w:rsid w:val="2335523F"/>
    <w:rsid w:val="25072C0B"/>
    <w:rsid w:val="25E1345C"/>
    <w:rsid w:val="25FF820D"/>
    <w:rsid w:val="27257379"/>
    <w:rsid w:val="280478D6"/>
    <w:rsid w:val="285C7F19"/>
    <w:rsid w:val="2B4D3342"/>
    <w:rsid w:val="2B8B753A"/>
    <w:rsid w:val="2BE75544"/>
    <w:rsid w:val="2D095047"/>
    <w:rsid w:val="2D264551"/>
    <w:rsid w:val="2EC00E33"/>
    <w:rsid w:val="2EE779B0"/>
    <w:rsid w:val="2EEBE384"/>
    <w:rsid w:val="2F1F4A01"/>
    <w:rsid w:val="2F7FEFA8"/>
    <w:rsid w:val="30D53BBD"/>
    <w:rsid w:val="31B859B9"/>
    <w:rsid w:val="31F7043D"/>
    <w:rsid w:val="328C29A2"/>
    <w:rsid w:val="331C1F78"/>
    <w:rsid w:val="335D3EC6"/>
    <w:rsid w:val="33AB50A9"/>
    <w:rsid w:val="33D267D7"/>
    <w:rsid w:val="342553F4"/>
    <w:rsid w:val="343155AF"/>
    <w:rsid w:val="34A55F9D"/>
    <w:rsid w:val="34F65839"/>
    <w:rsid w:val="354814C2"/>
    <w:rsid w:val="355754E9"/>
    <w:rsid w:val="355FB7C5"/>
    <w:rsid w:val="3619454C"/>
    <w:rsid w:val="36D546CB"/>
    <w:rsid w:val="378B76CC"/>
    <w:rsid w:val="378F6E97"/>
    <w:rsid w:val="37CD65B4"/>
    <w:rsid w:val="37DDBCF0"/>
    <w:rsid w:val="381E409C"/>
    <w:rsid w:val="387C3E84"/>
    <w:rsid w:val="39513FFD"/>
    <w:rsid w:val="39F236BE"/>
    <w:rsid w:val="3A3AF1E5"/>
    <w:rsid w:val="3A5A7F9C"/>
    <w:rsid w:val="3ADA77F4"/>
    <w:rsid w:val="3B143534"/>
    <w:rsid w:val="3B563B4D"/>
    <w:rsid w:val="3B5953EB"/>
    <w:rsid w:val="3BD80A06"/>
    <w:rsid w:val="3C4C47BA"/>
    <w:rsid w:val="3C7626F9"/>
    <w:rsid w:val="3D0C6BB9"/>
    <w:rsid w:val="3D6F0BC2"/>
    <w:rsid w:val="3DDEBD0B"/>
    <w:rsid w:val="3E1021C8"/>
    <w:rsid w:val="3F2B50B0"/>
    <w:rsid w:val="3F3C080B"/>
    <w:rsid w:val="3F5BBA9F"/>
    <w:rsid w:val="3F696545"/>
    <w:rsid w:val="3F7EB340"/>
    <w:rsid w:val="3F85083A"/>
    <w:rsid w:val="3FBAF2F3"/>
    <w:rsid w:val="3FDBEB3D"/>
    <w:rsid w:val="3FED209D"/>
    <w:rsid w:val="3FFDD056"/>
    <w:rsid w:val="3FFF0496"/>
    <w:rsid w:val="3FFF7161"/>
    <w:rsid w:val="401A783F"/>
    <w:rsid w:val="404B3E9C"/>
    <w:rsid w:val="40883AFF"/>
    <w:rsid w:val="41175B2C"/>
    <w:rsid w:val="412344D1"/>
    <w:rsid w:val="41B01B14"/>
    <w:rsid w:val="42417305"/>
    <w:rsid w:val="42F04887"/>
    <w:rsid w:val="43291B47"/>
    <w:rsid w:val="438576C5"/>
    <w:rsid w:val="43B34232"/>
    <w:rsid w:val="43D525E6"/>
    <w:rsid w:val="446A15C0"/>
    <w:rsid w:val="44F53383"/>
    <w:rsid w:val="455A248C"/>
    <w:rsid w:val="465B470D"/>
    <w:rsid w:val="46893028"/>
    <w:rsid w:val="469D0882"/>
    <w:rsid w:val="46D33704"/>
    <w:rsid w:val="46FB74E4"/>
    <w:rsid w:val="4759D64F"/>
    <w:rsid w:val="47622144"/>
    <w:rsid w:val="477BE6CF"/>
    <w:rsid w:val="48775510"/>
    <w:rsid w:val="488C32A4"/>
    <w:rsid w:val="495B760C"/>
    <w:rsid w:val="49603FAB"/>
    <w:rsid w:val="4A147A52"/>
    <w:rsid w:val="4A7CC381"/>
    <w:rsid w:val="4AB62115"/>
    <w:rsid w:val="4B824F2D"/>
    <w:rsid w:val="4B89052C"/>
    <w:rsid w:val="4BC13264"/>
    <w:rsid w:val="4C0C7C78"/>
    <w:rsid w:val="4CCF6B77"/>
    <w:rsid w:val="4CFF6F48"/>
    <w:rsid w:val="4D217099"/>
    <w:rsid w:val="4D8D78A2"/>
    <w:rsid w:val="4DB72B71"/>
    <w:rsid w:val="4DBEC59F"/>
    <w:rsid w:val="4DDF1AB8"/>
    <w:rsid w:val="4F3B1580"/>
    <w:rsid w:val="4F751A46"/>
    <w:rsid w:val="4F7D74A2"/>
    <w:rsid w:val="4FFA794A"/>
    <w:rsid w:val="4FFDBDE2"/>
    <w:rsid w:val="5006393C"/>
    <w:rsid w:val="50081462"/>
    <w:rsid w:val="503F6096"/>
    <w:rsid w:val="5151737F"/>
    <w:rsid w:val="52691F60"/>
    <w:rsid w:val="52834D6E"/>
    <w:rsid w:val="52A631B4"/>
    <w:rsid w:val="52FD1026"/>
    <w:rsid w:val="534F1156"/>
    <w:rsid w:val="538E1C7E"/>
    <w:rsid w:val="53B813F1"/>
    <w:rsid w:val="54085651"/>
    <w:rsid w:val="540B1521"/>
    <w:rsid w:val="54820051"/>
    <w:rsid w:val="54E12281"/>
    <w:rsid w:val="559253C0"/>
    <w:rsid w:val="559341D4"/>
    <w:rsid w:val="55B47996"/>
    <w:rsid w:val="55F10BEA"/>
    <w:rsid w:val="56226FF5"/>
    <w:rsid w:val="56705FB3"/>
    <w:rsid w:val="56832684"/>
    <w:rsid w:val="56AB0D99"/>
    <w:rsid w:val="56F5FE13"/>
    <w:rsid w:val="57070BE9"/>
    <w:rsid w:val="57715B3F"/>
    <w:rsid w:val="598A2EE8"/>
    <w:rsid w:val="5A4E660B"/>
    <w:rsid w:val="5AEB20AC"/>
    <w:rsid w:val="5B3C4F9A"/>
    <w:rsid w:val="5BDB2DDA"/>
    <w:rsid w:val="5BEE98B8"/>
    <w:rsid w:val="5C965F81"/>
    <w:rsid w:val="5CF80AB0"/>
    <w:rsid w:val="5D543F38"/>
    <w:rsid w:val="5D6121B1"/>
    <w:rsid w:val="5D7243BE"/>
    <w:rsid w:val="5DE352BC"/>
    <w:rsid w:val="5E1B3D5C"/>
    <w:rsid w:val="5E6A32E8"/>
    <w:rsid w:val="5F385194"/>
    <w:rsid w:val="5FA5E333"/>
    <w:rsid w:val="5FDE5C06"/>
    <w:rsid w:val="5FF11F12"/>
    <w:rsid w:val="60121E89"/>
    <w:rsid w:val="60207C28"/>
    <w:rsid w:val="6110461A"/>
    <w:rsid w:val="612C2AD6"/>
    <w:rsid w:val="6180451F"/>
    <w:rsid w:val="61AE798F"/>
    <w:rsid w:val="61B431F8"/>
    <w:rsid w:val="62BC7E8A"/>
    <w:rsid w:val="62CB71C3"/>
    <w:rsid w:val="632223E3"/>
    <w:rsid w:val="638C3D00"/>
    <w:rsid w:val="6393508F"/>
    <w:rsid w:val="63CC234F"/>
    <w:rsid w:val="64395C36"/>
    <w:rsid w:val="64520AA6"/>
    <w:rsid w:val="649D4417"/>
    <w:rsid w:val="64BB10DB"/>
    <w:rsid w:val="655D1FC7"/>
    <w:rsid w:val="663468E9"/>
    <w:rsid w:val="66E82759"/>
    <w:rsid w:val="66F3DFD0"/>
    <w:rsid w:val="66F75934"/>
    <w:rsid w:val="672D1356"/>
    <w:rsid w:val="67ABAB6F"/>
    <w:rsid w:val="67B53825"/>
    <w:rsid w:val="67F24A7A"/>
    <w:rsid w:val="67FFAD34"/>
    <w:rsid w:val="69136E5F"/>
    <w:rsid w:val="695B5393"/>
    <w:rsid w:val="69B73AC0"/>
    <w:rsid w:val="69D02B99"/>
    <w:rsid w:val="6AD7C40D"/>
    <w:rsid w:val="6B225676"/>
    <w:rsid w:val="6B7C3539"/>
    <w:rsid w:val="6B9E6837"/>
    <w:rsid w:val="6BDB165E"/>
    <w:rsid w:val="6BFD8C68"/>
    <w:rsid w:val="6BFFC274"/>
    <w:rsid w:val="6C3B62C3"/>
    <w:rsid w:val="6CB00A5F"/>
    <w:rsid w:val="6D163CCF"/>
    <w:rsid w:val="6D474252"/>
    <w:rsid w:val="6DF332FA"/>
    <w:rsid w:val="6E34121C"/>
    <w:rsid w:val="6E934195"/>
    <w:rsid w:val="6E9F2B3A"/>
    <w:rsid w:val="6EA0E8FD"/>
    <w:rsid w:val="6EBB20ED"/>
    <w:rsid w:val="6EE8812B"/>
    <w:rsid w:val="6EF3B52A"/>
    <w:rsid w:val="6EF966EE"/>
    <w:rsid w:val="6F035829"/>
    <w:rsid w:val="6F6F69B0"/>
    <w:rsid w:val="6F8F593A"/>
    <w:rsid w:val="6FBE2763"/>
    <w:rsid w:val="6FBF1452"/>
    <w:rsid w:val="6FEC242C"/>
    <w:rsid w:val="6FFA0AF1"/>
    <w:rsid w:val="6FFE8132"/>
    <w:rsid w:val="703D085C"/>
    <w:rsid w:val="70F7553D"/>
    <w:rsid w:val="723E08BB"/>
    <w:rsid w:val="72C54B39"/>
    <w:rsid w:val="73224E34"/>
    <w:rsid w:val="73775827"/>
    <w:rsid w:val="73A86934"/>
    <w:rsid w:val="73CFF240"/>
    <w:rsid w:val="73FB66BA"/>
    <w:rsid w:val="73FFC2F8"/>
    <w:rsid w:val="74657304"/>
    <w:rsid w:val="74FF6055"/>
    <w:rsid w:val="756D573F"/>
    <w:rsid w:val="75914347"/>
    <w:rsid w:val="75F1A2C9"/>
    <w:rsid w:val="76FF6E6C"/>
    <w:rsid w:val="76FFF282"/>
    <w:rsid w:val="77258AFF"/>
    <w:rsid w:val="77502AC7"/>
    <w:rsid w:val="777F6AA9"/>
    <w:rsid w:val="779DBE16"/>
    <w:rsid w:val="779FBE38"/>
    <w:rsid w:val="77BAC698"/>
    <w:rsid w:val="77D6B9E9"/>
    <w:rsid w:val="77EEEFB8"/>
    <w:rsid w:val="77FA8003"/>
    <w:rsid w:val="77FD7D28"/>
    <w:rsid w:val="78FE2B52"/>
    <w:rsid w:val="7910F3FD"/>
    <w:rsid w:val="79BF34D0"/>
    <w:rsid w:val="79D70AE4"/>
    <w:rsid w:val="7ABF1169"/>
    <w:rsid w:val="7AF10BC1"/>
    <w:rsid w:val="7AF34939"/>
    <w:rsid w:val="7B1D3764"/>
    <w:rsid w:val="7B4909FD"/>
    <w:rsid w:val="7B7805CE"/>
    <w:rsid w:val="7B811F45"/>
    <w:rsid w:val="7B8B2DC3"/>
    <w:rsid w:val="7BAE6AB2"/>
    <w:rsid w:val="7BD701A6"/>
    <w:rsid w:val="7BEF27C2"/>
    <w:rsid w:val="7BF7FC56"/>
    <w:rsid w:val="7BFE3FE6"/>
    <w:rsid w:val="7BFFAE36"/>
    <w:rsid w:val="7C0B7A60"/>
    <w:rsid w:val="7C267368"/>
    <w:rsid w:val="7C945CA8"/>
    <w:rsid w:val="7D7E1AD2"/>
    <w:rsid w:val="7DB77420"/>
    <w:rsid w:val="7DD614C3"/>
    <w:rsid w:val="7DE52B00"/>
    <w:rsid w:val="7E6BA6C6"/>
    <w:rsid w:val="7EB9F94C"/>
    <w:rsid w:val="7EBD4949"/>
    <w:rsid w:val="7EE70C01"/>
    <w:rsid w:val="7EEEE5F2"/>
    <w:rsid w:val="7F1B7FBA"/>
    <w:rsid w:val="7F3B387A"/>
    <w:rsid w:val="7F7764D7"/>
    <w:rsid w:val="7F7A4FC0"/>
    <w:rsid w:val="7F8C301B"/>
    <w:rsid w:val="7FABACAF"/>
    <w:rsid w:val="7FBFA4C6"/>
    <w:rsid w:val="7FBFB1B2"/>
    <w:rsid w:val="7FD50AB1"/>
    <w:rsid w:val="7FE5D585"/>
    <w:rsid w:val="7FE69947"/>
    <w:rsid w:val="7FEC5D70"/>
    <w:rsid w:val="7FF22541"/>
    <w:rsid w:val="7FF7CE44"/>
    <w:rsid w:val="7FFDC7C3"/>
    <w:rsid w:val="7FFF1F7B"/>
    <w:rsid w:val="83775338"/>
    <w:rsid w:val="87F79190"/>
    <w:rsid w:val="8CE757ED"/>
    <w:rsid w:val="8D6E06CE"/>
    <w:rsid w:val="8FB239F7"/>
    <w:rsid w:val="94FED4DF"/>
    <w:rsid w:val="957CA177"/>
    <w:rsid w:val="9B9EFFDB"/>
    <w:rsid w:val="9BFF572E"/>
    <w:rsid w:val="9ED7C3FF"/>
    <w:rsid w:val="9FDD27A0"/>
    <w:rsid w:val="9FDF05EF"/>
    <w:rsid w:val="A3EF58EE"/>
    <w:rsid w:val="A4CE2BD8"/>
    <w:rsid w:val="A8E72DD3"/>
    <w:rsid w:val="AEBD7060"/>
    <w:rsid w:val="AFFFF81E"/>
    <w:rsid w:val="B2FFEBD8"/>
    <w:rsid w:val="B3FF3F4D"/>
    <w:rsid w:val="BAF53ABA"/>
    <w:rsid w:val="BB3F6A6B"/>
    <w:rsid w:val="BB7E133F"/>
    <w:rsid w:val="BBDF026C"/>
    <w:rsid w:val="BBDFB5A2"/>
    <w:rsid w:val="BEBF6101"/>
    <w:rsid w:val="BEDF5334"/>
    <w:rsid w:val="BEEB280A"/>
    <w:rsid w:val="BEEDE29D"/>
    <w:rsid w:val="BEFB5350"/>
    <w:rsid w:val="BEFF299B"/>
    <w:rsid w:val="BF5B8F0D"/>
    <w:rsid w:val="BF6FDCB0"/>
    <w:rsid w:val="BFDFCD84"/>
    <w:rsid w:val="BFF99B7B"/>
    <w:rsid w:val="BFFCBEAD"/>
    <w:rsid w:val="C1C73E09"/>
    <w:rsid w:val="C7FFAB6E"/>
    <w:rsid w:val="CDC903E2"/>
    <w:rsid w:val="CEDFA0B5"/>
    <w:rsid w:val="CEF586F9"/>
    <w:rsid w:val="CFADD7D7"/>
    <w:rsid w:val="CFFF3CEA"/>
    <w:rsid w:val="D37F34CA"/>
    <w:rsid w:val="D4BF1FD1"/>
    <w:rsid w:val="D53F4065"/>
    <w:rsid w:val="D6FB1F36"/>
    <w:rsid w:val="D8AE663B"/>
    <w:rsid w:val="D9FDCD0C"/>
    <w:rsid w:val="DBEEEF3C"/>
    <w:rsid w:val="DBFF316C"/>
    <w:rsid w:val="DDD3D6C4"/>
    <w:rsid w:val="DDD7D358"/>
    <w:rsid w:val="DDFF0732"/>
    <w:rsid w:val="DECD9650"/>
    <w:rsid w:val="DEEE188F"/>
    <w:rsid w:val="DF7E4748"/>
    <w:rsid w:val="DF877AD3"/>
    <w:rsid w:val="DFAE768B"/>
    <w:rsid w:val="DFAF41B9"/>
    <w:rsid w:val="DFB779CA"/>
    <w:rsid w:val="DFCF5F66"/>
    <w:rsid w:val="DFD7CF8F"/>
    <w:rsid w:val="DFFD1BA8"/>
    <w:rsid w:val="DFFD948C"/>
    <w:rsid w:val="E2BFF75F"/>
    <w:rsid w:val="E7BD56EF"/>
    <w:rsid w:val="E7FD2975"/>
    <w:rsid w:val="E7FF821E"/>
    <w:rsid w:val="E8DD229A"/>
    <w:rsid w:val="EAFCA6BF"/>
    <w:rsid w:val="EBB7E6CA"/>
    <w:rsid w:val="EBF8C6F2"/>
    <w:rsid w:val="EBFEEF50"/>
    <w:rsid w:val="ECAF8C10"/>
    <w:rsid w:val="ED775925"/>
    <w:rsid w:val="EDDA32F2"/>
    <w:rsid w:val="EE37FD09"/>
    <w:rsid w:val="EEBF507A"/>
    <w:rsid w:val="EF1FA7C6"/>
    <w:rsid w:val="EF3ACBF7"/>
    <w:rsid w:val="EF5F1DB7"/>
    <w:rsid w:val="EF6F6BC7"/>
    <w:rsid w:val="EF75BFE2"/>
    <w:rsid w:val="EF7E52B1"/>
    <w:rsid w:val="EFC779CE"/>
    <w:rsid w:val="EFF30661"/>
    <w:rsid w:val="EFF86B2E"/>
    <w:rsid w:val="EFFF5B6F"/>
    <w:rsid w:val="F13BCBE0"/>
    <w:rsid w:val="F1FE428E"/>
    <w:rsid w:val="F2FEA07F"/>
    <w:rsid w:val="F36FAC6E"/>
    <w:rsid w:val="F3F78ABA"/>
    <w:rsid w:val="F545E303"/>
    <w:rsid w:val="F5778369"/>
    <w:rsid w:val="F5F6AE8E"/>
    <w:rsid w:val="F5FF1B47"/>
    <w:rsid w:val="F6D8FB4A"/>
    <w:rsid w:val="F6F91868"/>
    <w:rsid w:val="F73B0B22"/>
    <w:rsid w:val="F77FF301"/>
    <w:rsid w:val="F7AFD1B1"/>
    <w:rsid w:val="F7D8ABB6"/>
    <w:rsid w:val="F7FA33D7"/>
    <w:rsid w:val="F8DA2317"/>
    <w:rsid w:val="F99E37E5"/>
    <w:rsid w:val="FB5A3265"/>
    <w:rsid w:val="FB7B2587"/>
    <w:rsid w:val="FBAACE2D"/>
    <w:rsid w:val="FBAB2C0F"/>
    <w:rsid w:val="FBEDED2B"/>
    <w:rsid w:val="FBFB4B48"/>
    <w:rsid w:val="FBFC39C4"/>
    <w:rsid w:val="FBFD38C6"/>
    <w:rsid w:val="FCBFE22B"/>
    <w:rsid w:val="FCFF36C9"/>
    <w:rsid w:val="FD6B7231"/>
    <w:rsid w:val="FD7CC00D"/>
    <w:rsid w:val="FDBD8E72"/>
    <w:rsid w:val="FDEFEED4"/>
    <w:rsid w:val="FDFD84B9"/>
    <w:rsid w:val="FE79A115"/>
    <w:rsid w:val="FE7F0CBE"/>
    <w:rsid w:val="FE7FACF7"/>
    <w:rsid w:val="FE9B64CB"/>
    <w:rsid w:val="FEBFB456"/>
    <w:rsid w:val="FECD2C85"/>
    <w:rsid w:val="FEFFD7CA"/>
    <w:rsid w:val="FF354063"/>
    <w:rsid w:val="FF3E4D5F"/>
    <w:rsid w:val="FF7F8607"/>
    <w:rsid w:val="FF99BD30"/>
    <w:rsid w:val="FFBB1FE8"/>
    <w:rsid w:val="FFBEAB1D"/>
    <w:rsid w:val="FFE79455"/>
    <w:rsid w:val="FFEDB342"/>
    <w:rsid w:val="FFF52BEC"/>
    <w:rsid w:val="FFFB771F"/>
    <w:rsid w:val="FFFF1EB3"/>
    <w:rsid w:val="FFFFFEF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3"/>
    <w:unhideWhenUsed/>
    <w:qFormat/>
    <w:uiPriority w:val="99"/>
    <w:pPr>
      <w:jc w:val="left"/>
    </w:pPr>
  </w:style>
  <w:style w:type="paragraph" w:styleId="3">
    <w:name w:val="Date"/>
    <w:basedOn w:val="1"/>
    <w:next w:val="1"/>
    <w:link w:val="19"/>
    <w:semiHidden/>
    <w:unhideWhenUsed/>
    <w:qFormat/>
    <w:uiPriority w:val="99"/>
    <w:pPr>
      <w:widowControl/>
      <w:spacing w:before="100" w:beforeAutospacing="1" w:after="100" w:afterAutospacing="1"/>
      <w:jc w:val="left"/>
    </w:pPr>
    <w:rPr>
      <w:rFonts w:ascii="宋体" w:hAnsi="宋体" w:cs="宋体"/>
      <w:kern w:val="0"/>
      <w:sz w:val="24"/>
      <w:szCs w:val="24"/>
    </w:rPr>
  </w:style>
  <w:style w:type="paragraph" w:styleId="4">
    <w:name w:val="Balloon Text"/>
    <w:basedOn w:val="1"/>
    <w:link w:val="14"/>
    <w:unhideWhenUsed/>
    <w:qFormat/>
    <w:uiPriority w:val="99"/>
    <w:rPr>
      <w:kern w:val="0"/>
      <w:sz w:val="18"/>
      <w:szCs w:val="18"/>
    </w:rPr>
  </w:style>
  <w:style w:type="paragraph" w:styleId="5">
    <w:name w:val="footer"/>
    <w:basedOn w:val="1"/>
    <w:link w:val="15"/>
    <w:unhideWhenUsed/>
    <w:qFormat/>
    <w:uiPriority w:val="99"/>
    <w:pPr>
      <w:tabs>
        <w:tab w:val="center" w:pos="4153"/>
        <w:tab w:val="right" w:pos="8306"/>
      </w:tabs>
      <w:snapToGrid w:val="0"/>
      <w:jc w:val="left"/>
    </w:pPr>
    <w:rPr>
      <w:kern w:val="0"/>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paragraph" w:styleId="8">
    <w:name w:val="annotation subject"/>
    <w:basedOn w:val="2"/>
    <w:next w:val="2"/>
    <w:link w:val="17"/>
    <w:unhideWhenUsed/>
    <w:qFormat/>
    <w:uiPriority w:val="99"/>
    <w:rPr>
      <w:b/>
      <w:bCs/>
    </w:rPr>
  </w:style>
  <w:style w:type="character" w:styleId="11">
    <w:name w:val="Hyperlink"/>
    <w:unhideWhenUsed/>
    <w:qFormat/>
    <w:uiPriority w:val="99"/>
    <w:rPr>
      <w:color w:val="0000FF"/>
      <w:u w:val="single"/>
    </w:rPr>
  </w:style>
  <w:style w:type="character" w:styleId="12">
    <w:name w:val="annotation reference"/>
    <w:unhideWhenUsed/>
    <w:qFormat/>
    <w:uiPriority w:val="99"/>
    <w:rPr>
      <w:sz w:val="21"/>
      <w:szCs w:val="21"/>
    </w:rPr>
  </w:style>
  <w:style w:type="character" w:customStyle="1" w:styleId="13">
    <w:name w:val="批注文字 字符"/>
    <w:link w:val="2"/>
    <w:qFormat/>
    <w:uiPriority w:val="99"/>
    <w:rPr>
      <w:kern w:val="2"/>
      <w:sz w:val="21"/>
      <w:szCs w:val="22"/>
    </w:rPr>
  </w:style>
  <w:style w:type="character" w:customStyle="1" w:styleId="14">
    <w:name w:val="批注框文本 字符"/>
    <w:link w:val="4"/>
    <w:qFormat/>
    <w:uiPriority w:val="99"/>
    <w:rPr>
      <w:sz w:val="18"/>
      <w:szCs w:val="18"/>
    </w:rPr>
  </w:style>
  <w:style w:type="character" w:customStyle="1" w:styleId="15">
    <w:name w:val="页脚 字符"/>
    <w:link w:val="5"/>
    <w:qFormat/>
    <w:uiPriority w:val="99"/>
    <w:rPr>
      <w:sz w:val="18"/>
      <w:szCs w:val="18"/>
    </w:rPr>
  </w:style>
  <w:style w:type="character" w:customStyle="1" w:styleId="16">
    <w:name w:val="页眉 字符"/>
    <w:link w:val="6"/>
    <w:qFormat/>
    <w:uiPriority w:val="99"/>
    <w:rPr>
      <w:sz w:val="18"/>
      <w:szCs w:val="18"/>
    </w:rPr>
  </w:style>
  <w:style w:type="character" w:customStyle="1" w:styleId="17">
    <w:name w:val="批注主题 字符"/>
    <w:link w:val="8"/>
    <w:semiHidden/>
    <w:qFormat/>
    <w:uiPriority w:val="99"/>
    <w:rPr>
      <w:b/>
      <w:bCs/>
      <w:kern w:val="2"/>
      <w:sz w:val="21"/>
      <w:szCs w:val="22"/>
    </w:rPr>
  </w:style>
  <w:style w:type="paragraph" w:customStyle="1" w:styleId="18">
    <w:name w:val="修订1"/>
    <w:unhideWhenUsed/>
    <w:qFormat/>
    <w:uiPriority w:val="99"/>
    <w:rPr>
      <w:rFonts w:ascii="Times New Roman" w:hAnsi="Times New Roman" w:eastAsia="宋体" w:cs="Times New Roman"/>
      <w:kern w:val="2"/>
      <w:sz w:val="21"/>
      <w:szCs w:val="22"/>
      <w:lang w:val="en-US" w:eastAsia="zh-CN" w:bidi="ar-SA"/>
    </w:rPr>
  </w:style>
  <w:style w:type="character" w:customStyle="1" w:styleId="19">
    <w:name w:val="日期 字符"/>
    <w:basedOn w:val="10"/>
    <w:link w:val="3"/>
    <w:semiHidden/>
    <w:qFormat/>
    <w:uiPriority w:val="99"/>
    <w:rPr>
      <w:rFonts w:ascii="宋体" w:hAnsi="宋体" w:cs="宋体"/>
      <w:sz w:val="24"/>
      <w:szCs w:val="24"/>
    </w:rPr>
  </w:style>
  <w:style w:type="paragraph" w:styleId="20">
    <w:name w:val="List Paragraph"/>
    <w:basedOn w:val="1"/>
    <w:qFormat/>
    <w:uiPriority w:val="34"/>
    <w:pPr>
      <w:widowControl/>
      <w:spacing w:before="100" w:beforeAutospacing="1" w:after="100" w:afterAutospacing="1"/>
      <w:jc w:val="left"/>
    </w:pPr>
    <w:rPr>
      <w:rFonts w:ascii="宋体" w:hAnsi="宋体" w:cs="宋体"/>
      <w:kern w:val="0"/>
      <w:sz w:val="24"/>
      <w:szCs w:val="24"/>
    </w:rPr>
  </w:style>
  <w:style w:type="character" w:customStyle="1" w:styleId="21">
    <w:name w:val="fontstyle11"/>
    <w:basedOn w:val="10"/>
    <w:qFormat/>
    <w:uiPriority w:val="0"/>
    <w:rPr>
      <w:rFonts w:ascii="仿宋" w:hAnsi="仿宋" w:eastAsia="仿宋" w:cs="仿宋"/>
      <w:color w:val="00000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Lenovo</Company>
  <Pages>8</Pages>
  <Words>3757</Words>
  <Characters>3826</Characters>
  <Lines>1</Lines>
  <Paragraphs>1</Paragraphs>
  <TotalTime>342</TotalTime>
  <ScaleCrop>false</ScaleCrop>
  <LinksUpToDate>false</LinksUpToDate>
  <CharactersWithSpaces>3854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2018-05-30T01:29:00Z</dcterms:created>
  <dc:creator>lenovo</dc:creator>
  <cp:lastModifiedBy>马静宜</cp:lastModifiedBy>
  <cp:lastPrinted>2022-11-14T03:39:00Z</cp:lastPrinted>
  <dcterms:modified xsi:type="dcterms:W3CDTF">2025-09-12T09:11:48Z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3046BF303FB8FF18DC8EC268829C255A_43</vt:lpwstr>
  </property>
  <property fmtid="{D5CDD505-2E9C-101B-9397-08002B2CF9AE}" pid="4" name="KSOTemplateDocerSaveRecord">
    <vt:lpwstr>eyJoZGlkIjoiMWM3MGU3NGJkOWRlNWZiYzYwMmNiZjNlZDY1MjgzNDEiLCJ1c2VySWQiOiI0MzU5MzMxMzAifQ==</vt:lpwstr>
  </property>
</Properties>
</file>