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CF3F2E">
      <w:pPr>
        <w:spacing w:line="560" w:lineRule="exact"/>
        <w:ind w:firstLine="640" w:firstLineChars="20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清深国院规〔2025〕13号</w:t>
      </w:r>
    </w:p>
    <w:p w14:paraId="57E6FDBF">
      <w:pPr>
        <w:spacing w:line="560" w:lineRule="exact"/>
        <w:jc w:val="center"/>
        <w:rPr>
          <w:rFonts w:hint="eastAsia" w:ascii="方正小标宋简体" w:hAnsi="方正小标宋简体" w:eastAsia="方正小标宋简体" w:cs="方正小标宋简体"/>
          <w:sz w:val="36"/>
          <w:szCs w:val="36"/>
        </w:rPr>
      </w:pPr>
    </w:p>
    <w:p w14:paraId="50DC4EDB">
      <w:pPr>
        <w:spacing w:line="560"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清华大学深圳国际研究生院公务用车管理办法</w:t>
      </w:r>
    </w:p>
    <w:p w14:paraId="3DA2DF59">
      <w:pPr>
        <w:spacing w:line="560" w:lineRule="exact"/>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经二〇二五年第五十六次党政联席会议（2025年9月22日）</w:t>
      </w:r>
    </w:p>
    <w:p w14:paraId="14D88C6C">
      <w:pPr>
        <w:spacing w:line="560" w:lineRule="exact"/>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审议通过</w:t>
      </w:r>
    </w:p>
    <w:p w14:paraId="1D186417">
      <w:pPr>
        <w:spacing w:line="560" w:lineRule="exact"/>
        <w:jc w:val="center"/>
        <w:rPr>
          <w:rFonts w:hint="eastAsia" w:ascii="仿宋_GB2312" w:hAnsi="仿宋_GB2312" w:eastAsia="仿宋_GB2312" w:cs="仿宋_GB2312"/>
          <w:sz w:val="30"/>
          <w:szCs w:val="30"/>
        </w:rPr>
      </w:pPr>
    </w:p>
    <w:p w14:paraId="528FC574">
      <w:pPr>
        <w:spacing w:line="560" w:lineRule="exact"/>
        <w:jc w:val="center"/>
        <w:rPr>
          <w:rFonts w:hint="eastAsia" w:ascii="黑体" w:hAnsi="黑体" w:eastAsia="黑体" w:cs="黑体"/>
          <w:sz w:val="32"/>
          <w:szCs w:val="32"/>
        </w:rPr>
      </w:pPr>
      <w:r>
        <w:rPr>
          <w:rFonts w:hint="eastAsia" w:ascii="黑体" w:hAnsi="黑体" w:eastAsia="黑体" w:cs="黑体"/>
          <w:sz w:val="32"/>
          <w:szCs w:val="32"/>
        </w:rPr>
        <w:t>第一章  总则</w:t>
      </w:r>
    </w:p>
    <w:p w14:paraId="7096D226">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rPr>
        <w:t xml:space="preserve"> 为加强清华大学深圳国际研究生院（以下简称学院）公务用车管理，有效保障公务活动，实现公务用车使用高效、费用节约和管理规范，根据《党政机关公务用车管理办法》（中办发〔2017〕71号）、《深圳市行政事业单位公务用车管理暂行办法》（深管〔2025〕35号）和《清华大学公用车管理办法》（清校发</w:t>
      </w:r>
      <w:bookmarkStart w:id="0" w:name="_Hlk205973881"/>
      <w:r>
        <w:rPr>
          <w:rFonts w:hint="eastAsia" w:ascii="仿宋_GB2312" w:hAnsi="仿宋_GB2312" w:eastAsia="仿宋_GB2312" w:cs="仿宋_GB2312"/>
          <w:sz w:val="32"/>
          <w:szCs w:val="32"/>
        </w:rPr>
        <w:t>〔2021〕14号</w:t>
      </w:r>
      <w:bookmarkEnd w:id="0"/>
      <w:r>
        <w:rPr>
          <w:rFonts w:hint="eastAsia" w:ascii="仿宋_GB2312" w:hAnsi="仿宋_GB2312" w:eastAsia="仿宋_GB2312" w:cs="仿宋_GB2312"/>
          <w:sz w:val="32"/>
          <w:szCs w:val="32"/>
        </w:rPr>
        <w:t>）等相关规定，结合学院实际，制定本办法。</w:t>
      </w:r>
    </w:p>
    <w:p w14:paraId="6508E1EE">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rPr>
        <w:t xml:space="preserve"> 本办法所称公务用车，是指学院现有的各类用于定向保障公务活动的机动车辆，分为以下三类：</w:t>
      </w:r>
    </w:p>
    <w:p w14:paraId="20D0577B">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（一）机要通信用车：用于传递、运送机要文件和涉密载体的机动车辆；</w:t>
      </w:r>
    </w:p>
    <w:p w14:paraId="73B8D25C">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（二）定向化实物保障岗位用车：按照中央和省有关规定为允许以适当集中形式提供工作用车实物保障的相关岗位配备的工作用车；</w:t>
      </w:r>
    </w:p>
    <w:p w14:paraId="146B1AF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（三）综合保障业务用车：用于处理突发事件、应急服务或者其他公务的机动车辆。</w:t>
      </w:r>
    </w:p>
    <w:p w14:paraId="6BF66632">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第三条</w:t>
      </w:r>
      <w:r>
        <w:rPr>
          <w:rFonts w:hint="eastAsia" w:ascii="仿宋_GB2312" w:hAnsi="仿宋_GB2312" w:eastAsia="仿宋_GB2312" w:cs="仿宋_GB2312"/>
          <w:sz w:val="32"/>
          <w:szCs w:val="32"/>
        </w:rPr>
        <w:t xml:space="preserve"> 公务用车管理坚持统一管理、定向保障、经济适用、节能环保、实事求是的原则，从严从紧进行全过程管理。</w:t>
      </w:r>
    </w:p>
    <w:p w14:paraId="66BB7EA7">
      <w:pPr>
        <w:spacing w:line="560" w:lineRule="exact"/>
        <w:jc w:val="center"/>
        <w:rPr>
          <w:rFonts w:hint="eastAsia" w:ascii="黑体" w:hAnsi="黑体" w:eastAsia="黑体" w:cs="黑体"/>
          <w:sz w:val="32"/>
          <w:szCs w:val="32"/>
        </w:rPr>
      </w:pPr>
      <w:r>
        <w:rPr>
          <w:rFonts w:hint="eastAsia" w:ascii="黑体" w:hAnsi="黑体" w:eastAsia="黑体" w:cs="黑体"/>
          <w:sz w:val="32"/>
          <w:szCs w:val="32"/>
        </w:rPr>
        <w:t>第二章  配备和购置</w:t>
      </w:r>
    </w:p>
    <w:p w14:paraId="41F6BB7D">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rPr>
        <w:t xml:space="preserve"> 严格公务用车编制管理，车辆编制由深圳市机关事务管理局根据机构设置、人员编制、工作需要等因素确定。</w:t>
      </w:r>
    </w:p>
    <w:p w14:paraId="318376B0">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sz w:val="32"/>
          <w:szCs w:val="32"/>
        </w:rPr>
        <w:t xml:space="preserve"> 严格执行公务用车配置标准：</w:t>
      </w:r>
    </w:p>
    <w:p w14:paraId="1B6D1455">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（一）机要通信用车配备价格12万元以内、排气量1.6 升（含）以下的轿车或者其他小型客车。</w:t>
      </w:r>
    </w:p>
    <w:p w14:paraId="42B1C4EA">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（二）定向化实物保障岗位用车配备价格18万元以内、排气量1.8升（含）以下的轿车。</w:t>
      </w:r>
    </w:p>
    <w:p w14:paraId="38DC1C26">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综合保障业务用车和其他按照规定配备的公务用车配备价格18万元以内、排气量1.8升（含）以下的轿车或者其他小型客车。确因情况特殊，可适当配备价格25万元以内、排气量3.0升（含）以下的其他小型客车、中型客车，或者价格45万元以内的大型客车。</w:t>
      </w:r>
    </w:p>
    <w:p w14:paraId="6F30C12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公务用车配备新能源汽车的价格不得超过18万元，确因情 况特殊，配备价格及排气量不超过同类型燃油车的配备标准。</w:t>
      </w:r>
    </w:p>
    <w:p w14:paraId="3C6F1630">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以上配备标准根据上级部门有关要求适时调整。</w:t>
      </w:r>
    </w:p>
    <w:p w14:paraId="0CB3169E">
      <w:pPr>
        <w:widowControl/>
        <w:spacing w:line="560" w:lineRule="exact"/>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第六条</w:t>
      </w:r>
      <w:r>
        <w:rPr>
          <w:rFonts w:hint="eastAsia" w:ascii="仿宋_GB2312" w:hAnsi="仿宋_GB2312" w:eastAsia="仿宋_GB2312" w:cs="仿宋_GB2312"/>
          <w:sz w:val="32"/>
          <w:szCs w:val="32"/>
        </w:rPr>
        <w:t xml:space="preserve"> 公务用车应当及时完成资产建账，不得账外滞留，做到账账相符、账实相符。</w:t>
      </w:r>
    </w:p>
    <w:p w14:paraId="4D77637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第七条</w:t>
      </w:r>
      <w:r>
        <w:rPr>
          <w:rFonts w:hint="eastAsia" w:ascii="仿宋_GB2312" w:hAnsi="仿宋_GB2312" w:eastAsia="仿宋_GB2312" w:cs="仿宋_GB2312"/>
          <w:sz w:val="32"/>
          <w:szCs w:val="32"/>
        </w:rPr>
        <w:t xml:space="preserve"> 接收车辆捐赠，应当符合《中华人民共和国公益事业捐赠法》《行政事业性国有资产管理条例》等法律法规，不得突破学院公务用车编制，不得接收超标准的捐赠车辆，不得作为领导干部固定用车。</w:t>
      </w:r>
    </w:p>
    <w:p w14:paraId="782EE128">
      <w:pPr>
        <w:spacing w:line="560" w:lineRule="exact"/>
        <w:jc w:val="center"/>
        <w:rPr>
          <w:rFonts w:hint="eastAsia" w:ascii="黑体" w:hAnsi="黑体" w:eastAsia="黑体" w:cs="黑体"/>
          <w:sz w:val="32"/>
          <w:szCs w:val="32"/>
        </w:rPr>
      </w:pPr>
      <w:r>
        <w:rPr>
          <w:rFonts w:hint="eastAsia" w:ascii="黑体" w:hAnsi="黑体" w:eastAsia="黑体" w:cs="黑体"/>
          <w:sz w:val="32"/>
          <w:szCs w:val="32"/>
        </w:rPr>
        <w:t>第三章  使用管理</w:t>
      </w:r>
    </w:p>
    <w:p w14:paraId="3980A614">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第八条</w:t>
      </w:r>
      <w:r>
        <w:rPr>
          <w:rFonts w:hint="eastAsia" w:ascii="仿宋_GB2312" w:hAnsi="仿宋_GB2312" w:eastAsia="仿宋_GB2312" w:cs="仿宋_GB2312"/>
          <w:sz w:val="32"/>
          <w:szCs w:val="32"/>
        </w:rPr>
        <w:t xml:space="preserve"> 公务用车主要用于机要通信、定向化实物保障岗位用车，以及学院和二级单位的综合保障等用途。二级单位使用公务用车实行收费机制（详见附件）。</w:t>
      </w:r>
    </w:p>
    <w:p w14:paraId="1770327F">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第九条</w:t>
      </w:r>
      <w:r>
        <w:rPr>
          <w:rFonts w:hint="eastAsia" w:ascii="仿宋_GB2312" w:hAnsi="仿宋_GB2312" w:eastAsia="仿宋_GB2312" w:cs="仿宋_GB2312"/>
          <w:sz w:val="32"/>
          <w:szCs w:val="32"/>
        </w:rPr>
        <w:t xml:space="preserve"> 公务用车应当严格按照指定用途使用，倡导绿色出行，一般性公务出行应尽量选择公共交通。严禁公车私用、私车公养，严禁为公务用车增加高档配置或者豪华内饰。</w:t>
      </w:r>
    </w:p>
    <w:p w14:paraId="464DF4D3">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第十条</w:t>
      </w:r>
      <w:r>
        <w:rPr>
          <w:rFonts w:hint="eastAsia" w:ascii="仿宋_GB2312" w:hAnsi="仿宋_GB2312" w:eastAsia="仿宋_GB2312" w:cs="仿宋_GB2312"/>
          <w:sz w:val="32"/>
          <w:szCs w:val="32"/>
        </w:rPr>
        <w:t xml:space="preserve"> 学院公务用车的外观统一喷涂“清华大学深圳国际研究生院”标识。公务用车一律安装车载卫星定位终端纳入公务用车管理平台监管，严格按照平台管理服务规范进行管理。</w:t>
      </w:r>
    </w:p>
    <w:p w14:paraId="37B60F74">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第十一条</w:t>
      </w:r>
      <w:r>
        <w:rPr>
          <w:rFonts w:hint="eastAsia" w:ascii="仿宋_GB2312" w:hAnsi="仿宋_GB2312" w:eastAsia="仿宋_GB2312" w:cs="仿宋_GB2312"/>
          <w:sz w:val="32"/>
          <w:szCs w:val="32"/>
        </w:rPr>
        <w:t xml:space="preserve"> 总务办公室统一管理公务用车，负责公务用车日常调度、保养维修、车检考核、费用缴纳等工作；负责公务用车相关证照档案管理，并按要求编报公务用车统计报告，真实、全面、准确反映公务用车配备、使用、处置和管理有关情况。</w:t>
      </w:r>
    </w:p>
    <w:p w14:paraId="5E7BB5F2">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第十二条</w:t>
      </w:r>
      <w:r>
        <w:rPr>
          <w:rFonts w:hint="eastAsia" w:ascii="仿宋_GB2312" w:hAnsi="仿宋_GB2312" w:eastAsia="仿宋_GB2312" w:cs="仿宋_GB2312"/>
          <w:sz w:val="32"/>
          <w:szCs w:val="32"/>
        </w:rPr>
        <w:t xml:space="preserve"> 使用公务用车应履行审批手续，经用车需求部门负责人审批后出车。用车结束后及时驶回单位停放。</w:t>
      </w:r>
    </w:p>
    <w:p w14:paraId="4AFFF8D4">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第十三条</w:t>
      </w:r>
      <w:r>
        <w:rPr>
          <w:rFonts w:hint="eastAsia" w:ascii="仿宋_GB2312" w:hAnsi="仿宋_GB2312" w:eastAsia="仿宋_GB2312" w:cs="仿宋_GB2312"/>
          <w:sz w:val="32"/>
          <w:szCs w:val="32"/>
        </w:rPr>
        <w:t xml:space="preserve"> 严格执行公务用车使用时间、事由、地点、里程、油耗（电耗）、费用等信息登记制度。</w:t>
      </w:r>
    </w:p>
    <w:p w14:paraId="58F9B6C7">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第十四条</w:t>
      </w:r>
      <w:r>
        <w:rPr>
          <w:rFonts w:hint="eastAsia" w:ascii="仿宋_GB2312" w:hAnsi="仿宋_GB2312" w:eastAsia="仿宋_GB2312" w:cs="仿宋_GB2312"/>
          <w:sz w:val="32"/>
          <w:szCs w:val="32"/>
        </w:rPr>
        <w:t xml:space="preserve"> 严格执行公务油卡、电卡“一车一卡、对号加油、充电”制度，严禁“公卡私用”。所有公务用车在深圳市内原则上须在定点油站通过公务油卡加油，新能源车应在学院指定充电桩充电。</w:t>
      </w:r>
    </w:p>
    <w:p w14:paraId="7EE5E15B">
      <w:pPr>
        <w:spacing w:line="560" w:lineRule="exact"/>
        <w:jc w:val="center"/>
        <w:rPr>
          <w:rFonts w:hint="eastAsia" w:ascii="黑体" w:hAnsi="黑体" w:eastAsia="黑体" w:cs="黑体"/>
          <w:sz w:val="32"/>
          <w:szCs w:val="32"/>
        </w:rPr>
      </w:pPr>
      <w:r>
        <w:rPr>
          <w:rFonts w:hint="eastAsia" w:ascii="黑体" w:hAnsi="黑体" w:eastAsia="黑体" w:cs="黑体"/>
          <w:sz w:val="32"/>
          <w:szCs w:val="32"/>
        </w:rPr>
        <w:t>第四章 维修保养与处置更新</w:t>
      </w:r>
    </w:p>
    <w:p w14:paraId="540363EE">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sz w:val="32"/>
          <w:szCs w:val="32"/>
        </w:rPr>
        <w:t xml:space="preserve"> 严格执行公务用车定点保险、定点维修、定点加油管理制度。维修结束后，送修人应对维修的车辆进行检验，核定维修费用的合理、准确性。</w:t>
      </w:r>
    </w:p>
    <w:p w14:paraId="211D95AD">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sz w:val="32"/>
          <w:szCs w:val="32"/>
        </w:rPr>
        <w:t xml:space="preserve"> 公务用车使用年限超过8年的可以更新，除特定用途车辆，以及超过“三包”有效期且电池自然衰减率达到20%以上的纯电动汽车外，原则上行驶里程不低于20万公里；达到更新条件仍能继续使用的，应当继续使用。因安全等原因确需提前更新的，严格履行审批手续。公务用车更新严格执行“先处置、后更新”的原则。</w:t>
      </w:r>
    </w:p>
    <w:p w14:paraId="0703DD20">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第十七条</w:t>
      </w:r>
      <w:r>
        <w:rPr>
          <w:rFonts w:hint="eastAsia" w:ascii="仿宋_GB2312" w:hAnsi="仿宋_GB2312" w:eastAsia="仿宋_GB2312" w:cs="仿宋_GB2312"/>
          <w:sz w:val="32"/>
          <w:szCs w:val="32"/>
        </w:rPr>
        <w:t xml:space="preserve"> 公务用车处置严格按照鉴定评估、申报审批、公开处置、收入上缴等程序进行，未按审批权限报经市机关事务管理部门、财政部门批准，学院不得擅自处置车辆。处置收入按规定扣除相关税费后，按照非税收入有关规定管理。处置结果报市教育主管部门备案。</w:t>
      </w:r>
    </w:p>
    <w:p w14:paraId="3A46CED8">
      <w:pPr>
        <w:spacing w:line="560" w:lineRule="exact"/>
        <w:ind w:firstLine="640" w:firstLineChars="200"/>
        <w:jc w:val="left"/>
        <w:rPr>
          <w:rFonts w:hint="eastAsia" w:ascii="黑体" w:hAnsi="黑体" w:eastAsia="黑体" w:cs="黑体"/>
          <w:sz w:val="32"/>
          <w:szCs w:val="32"/>
        </w:rPr>
      </w:pPr>
      <w:r>
        <w:rPr>
          <w:rFonts w:hint="eastAsia" w:ascii="仿宋_GB2312" w:hAnsi="仿宋_GB2312" w:eastAsia="仿宋_GB2312" w:cs="仿宋_GB2312"/>
          <w:sz w:val="32"/>
          <w:szCs w:val="32"/>
        </w:rPr>
        <w:t>鉴定评估机构应当具备机动车鉴定评估资质。</w:t>
      </w:r>
    </w:p>
    <w:p w14:paraId="497A137A">
      <w:pPr>
        <w:spacing w:line="560" w:lineRule="exact"/>
        <w:jc w:val="center"/>
        <w:rPr>
          <w:rFonts w:hint="eastAsia" w:ascii="黑体" w:hAnsi="黑体" w:eastAsia="黑体" w:cs="黑体"/>
          <w:sz w:val="32"/>
          <w:szCs w:val="32"/>
        </w:rPr>
      </w:pPr>
      <w:r>
        <w:rPr>
          <w:rFonts w:hint="eastAsia" w:ascii="黑体" w:hAnsi="黑体" w:eastAsia="黑体" w:cs="黑体"/>
          <w:sz w:val="32"/>
          <w:szCs w:val="32"/>
        </w:rPr>
        <w:t>第五章 附则</w:t>
      </w:r>
    </w:p>
    <w:p w14:paraId="6B4A1572">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第十八条</w:t>
      </w:r>
      <w:r>
        <w:rPr>
          <w:rFonts w:hint="eastAsia" w:ascii="仿宋_GB2312" w:hAnsi="仿宋_GB2312" w:eastAsia="仿宋_GB2312" w:cs="仿宋_GB2312"/>
          <w:sz w:val="32"/>
          <w:szCs w:val="32"/>
        </w:rPr>
        <w:t xml:space="preserve"> 本办法由总务办公室负责解释。</w:t>
      </w:r>
    </w:p>
    <w:p w14:paraId="4B1CB07A">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第十九条</w:t>
      </w:r>
      <w:r>
        <w:rPr>
          <w:rFonts w:hint="eastAsia" w:ascii="仿宋_GB2312" w:hAnsi="仿宋_GB2312" w:eastAsia="仿宋_GB2312" w:cs="仿宋_GB2312"/>
          <w:sz w:val="32"/>
          <w:szCs w:val="32"/>
        </w:rPr>
        <w:t xml:space="preserve"> 本办法自公布之日起施行，《清华大学深圳研究生院公务用车使用管理办法》（二〇一八年第六次院务会讨论通过）同时废止。</w:t>
      </w:r>
    </w:p>
    <w:p w14:paraId="3CB2122A">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5B7B9265">
      <w:pPr>
        <w:spacing w:line="560" w:lineRule="exact"/>
        <w:rPr>
          <w:rFonts w:hint="eastAsia" w:ascii="仿宋_GB2312" w:hAnsi="仿宋_GB2312" w:eastAsia="仿宋_GB2312" w:cs="仿宋_GB2312"/>
          <w:sz w:val="32"/>
          <w:szCs w:val="32"/>
        </w:rPr>
      </w:pPr>
      <w:bookmarkStart w:id="1" w:name="_GoBack"/>
      <w:bookmarkEnd w:id="1"/>
      <w:r>
        <w:rPr>
          <w:rFonts w:hint="eastAsia" w:ascii="仿宋_GB2312" w:hAnsi="仿宋_GB2312" w:eastAsia="仿宋_GB2312" w:cs="仿宋_GB2312"/>
          <w:sz w:val="32"/>
          <w:szCs w:val="32"/>
        </w:rPr>
        <w:t xml:space="preserve">附件：      </w:t>
      </w:r>
    </w:p>
    <w:p w14:paraId="2EAC1478">
      <w:pPr>
        <w:spacing w:line="560" w:lineRule="exact"/>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二级单位使用公务用车收费标准</w:t>
      </w:r>
    </w:p>
    <w:p w14:paraId="1A9A0907">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二级单位使用公务用车实行收费机制，采用两种计费方式：</w:t>
      </w:r>
    </w:p>
    <w:p w14:paraId="2259055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1．按往返里程收费标准：每公里3元（高速公路费另计）；</w:t>
      </w:r>
    </w:p>
    <w:p w14:paraId="4C2DE1F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2．按固定线路往返收费标准：深圳机场收费150元，深圳北站收费50元，市民中心收费100元，市委收费120元。</w:t>
      </w:r>
    </w:p>
    <w:p w14:paraId="1742D65D">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使用公务用车产生的费用，由总务办公室统计核对后，由财务办公室从用车部门经费中划扣。</w:t>
      </w:r>
    </w:p>
    <w:sectPr>
      <w:footerReference r:id="rId3" w:type="default"/>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Light">
    <w:altName w:val="汉仪中等线KW"/>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Times New Roman Regular">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宋体-简">
    <w:panose1 w:val="02010800040101010101"/>
    <w:charset w:val="86"/>
    <w:family w:val="auto"/>
    <w:pitch w:val="default"/>
    <w:sig w:usb0="00000001" w:usb1="080F0000" w:usb2="00000000" w:usb3="00000000" w:csb0="00040000" w:csb1="00000000"/>
  </w:font>
  <w:font w:name="等线 Light">
    <w:altName w:val="汉仪中等线KW"/>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17AB5">
    <w:pPr>
      <w:pStyle w:val="12"/>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F0F1FD">
                          <w:pPr>
                            <w:pStyle w:val="12"/>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 </w:t>
                          </w:r>
                          <w:r>
                            <w:rPr>
                              <w:rFonts w:ascii="Times New Roman Regular" w:hAnsi="Times New Roman Regular" w:cs="Times New Roman Regular"/>
                              <w:sz w:val="24"/>
                              <w:szCs w:val="24"/>
                            </w:rPr>
                            <w:fldChar w:fldCharType="begin"/>
                          </w:r>
                          <w:r>
                            <w:rPr>
                              <w:rFonts w:ascii="Times New Roman Regular" w:hAnsi="Times New Roman Regular" w:cs="Times New Roman Regular"/>
                              <w:sz w:val="24"/>
                              <w:szCs w:val="24"/>
                            </w:rPr>
                            <w:instrText xml:space="preserve"> PAGE  \* MERGEFORMAT </w:instrText>
                          </w:r>
                          <w:r>
                            <w:rPr>
                              <w:rFonts w:ascii="Times New Roman Regular" w:hAnsi="Times New Roman Regular" w:cs="Times New Roman Regular"/>
                              <w:sz w:val="24"/>
                              <w:szCs w:val="24"/>
                            </w:rPr>
                            <w:fldChar w:fldCharType="separate"/>
                          </w:r>
                          <w:r>
                            <w:rPr>
                              <w:rFonts w:ascii="Times New Roman Regular" w:hAnsi="Times New Roman Regular" w:cs="Times New Roman Regular"/>
                              <w:sz w:val="24"/>
                              <w:szCs w:val="24"/>
                            </w:rPr>
                            <w:t>1</w:t>
                          </w:r>
                          <w:r>
                            <w:rPr>
                              <w:rFonts w:ascii="Times New Roman Regular" w:hAnsi="Times New Roman Regular" w:cs="Times New Roman Regular"/>
                              <w:sz w:val="24"/>
                              <w:szCs w:val="24"/>
                            </w:rPr>
                            <w:fldChar w:fldCharType="end"/>
                          </w:r>
                          <w:r>
                            <w:rPr>
                              <w:rFonts w:ascii="Times New Roman Regular" w:hAnsi="Times New Roman Regular" w:cs="Times New Roman Regular"/>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2F0F1FD">
                    <w:pPr>
                      <w:pStyle w:val="12"/>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 </w:t>
                    </w:r>
                    <w:r>
                      <w:rPr>
                        <w:rFonts w:ascii="Times New Roman Regular" w:hAnsi="Times New Roman Regular" w:cs="Times New Roman Regular"/>
                        <w:sz w:val="24"/>
                        <w:szCs w:val="24"/>
                      </w:rPr>
                      <w:fldChar w:fldCharType="begin"/>
                    </w:r>
                    <w:r>
                      <w:rPr>
                        <w:rFonts w:ascii="Times New Roman Regular" w:hAnsi="Times New Roman Regular" w:cs="Times New Roman Regular"/>
                        <w:sz w:val="24"/>
                        <w:szCs w:val="24"/>
                      </w:rPr>
                      <w:instrText xml:space="preserve"> PAGE  \* MERGEFORMAT </w:instrText>
                    </w:r>
                    <w:r>
                      <w:rPr>
                        <w:rFonts w:ascii="Times New Roman Regular" w:hAnsi="Times New Roman Regular" w:cs="Times New Roman Regular"/>
                        <w:sz w:val="24"/>
                        <w:szCs w:val="24"/>
                      </w:rPr>
                      <w:fldChar w:fldCharType="separate"/>
                    </w:r>
                    <w:r>
                      <w:rPr>
                        <w:rFonts w:ascii="Times New Roman Regular" w:hAnsi="Times New Roman Regular" w:cs="Times New Roman Regular"/>
                        <w:sz w:val="24"/>
                        <w:szCs w:val="24"/>
                      </w:rPr>
                      <w:t>1</w:t>
                    </w:r>
                    <w:r>
                      <w:rPr>
                        <w:rFonts w:ascii="Times New Roman Regular" w:hAnsi="Times New Roman Regular" w:cs="Times New Roman Regular"/>
                        <w:sz w:val="24"/>
                        <w:szCs w:val="24"/>
                      </w:rPr>
                      <w:fldChar w:fldCharType="end"/>
                    </w:r>
                    <w:r>
                      <w:rPr>
                        <w:rFonts w:ascii="Times New Roman Regular" w:hAnsi="Times New Roman Regular" w:cs="Times New Roman Regular"/>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3F1"/>
    <w:rsid w:val="00004698"/>
    <w:rsid w:val="00005894"/>
    <w:rsid w:val="00005985"/>
    <w:rsid w:val="00011F16"/>
    <w:rsid w:val="000138E7"/>
    <w:rsid w:val="000273F7"/>
    <w:rsid w:val="00031EA9"/>
    <w:rsid w:val="00051AB0"/>
    <w:rsid w:val="00060664"/>
    <w:rsid w:val="0006085D"/>
    <w:rsid w:val="000933C2"/>
    <w:rsid w:val="000B3462"/>
    <w:rsid w:val="000B56F1"/>
    <w:rsid w:val="000B578E"/>
    <w:rsid w:val="000C38AD"/>
    <w:rsid w:val="000D031A"/>
    <w:rsid w:val="000E0733"/>
    <w:rsid w:val="000E0E58"/>
    <w:rsid w:val="000E524F"/>
    <w:rsid w:val="001033B9"/>
    <w:rsid w:val="0012565A"/>
    <w:rsid w:val="001336E5"/>
    <w:rsid w:val="001344B3"/>
    <w:rsid w:val="00155179"/>
    <w:rsid w:val="00161978"/>
    <w:rsid w:val="00167E53"/>
    <w:rsid w:val="00171528"/>
    <w:rsid w:val="001779E1"/>
    <w:rsid w:val="0019196A"/>
    <w:rsid w:val="001C0D19"/>
    <w:rsid w:val="001D03F5"/>
    <w:rsid w:val="001D49B0"/>
    <w:rsid w:val="001E5370"/>
    <w:rsid w:val="001E577F"/>
    <w:rsid w:val="00216E7F"/>
    <w:rsid w:val="002364B6"/>
    <w:rsid w:val="002607EA"/>
    <w:rsid w:val="002823CD"/>
    <w:rsid w:val="00292322"/>
    <w:rsid w:val="002A21F2"/>
    <w:rsid w:val="002A3627"/>
    <w:rsid w:val="002A63E8"/>
    <w:rsid w:val="002B0B64"/>
    <w:rsid w:val="002B2A63"/>
    <w:rsid w:val="002B2F43"/>
    <w:rsid w:val="002C2E8A"/>
    <w:rsid w:val="002E1754"/>
    <w:rsid w:val="002E3C14"/>
    <w:rsid w:val="002E742A"/>
    <w:rsid w:val="003012ED"/>
    <w:rsid w:val="00313FBA"/>
    <w:rsid w:val="00324AD4"/>
    <w:rsid w:val="00326787"/>
    <w:rsid w:val="003678FF"/>
    <w:rsid w:val="00373342"/>
    <w:rsid w:val="00386174"/>
    <w:rsid w:val="003A33D4"/>
    <w:rsid w:val="003A723A"/>
    <w:rsid w:val="003A7C25"/>
    <w:rsid w:val="003E50CD"/>
    <w:rsid w:val="003F2087"/>
    <w:rsid w:val="00405394"/>
    <w:rsid w:val="00423068"/>
    <w:rsid w:val="004267D6"/>
    <w:rsid w:val="004302D7"/>
    <w:rsid w:val="0043482D"/>
    <w:rsid w:val="00440E98"/>
    <w:rsid w:val="0045145C"/>
    <w:rsid w:val="0045678B"/>
    <w:rsid w:val="004639D3"/>
    <w:rsid w:val="00467B5E"/>
    <w:rsid w:val="00474A6F"/>
    <w:rsid w:val="004864D4"/>
    <w:rsid w:val="004B3625"/>
    <w:rsid w:val="004C26AE"/>
    <w:rsid w:val="004C422F"/>
    <w:rsid w:val="004D241D"/>
    <w:rsid w:val="004E25BA"/>
    <w:rsid w:val="004F1803"/>
    <w:rsid w:val="004F7953"/>
    <w:rsid w:val="00517AD9"/>
    <w:rsid w:val="00523B8D"/>
    <w:rsid w:val="005330A0"/>
    <w:rsid w:val="005444D2"/>
    <w:rsid w:val="00552053"/>
    <w:rsid w:val="00560D26"/>
    <w:rsid w:val="00566D9D"/>
    <w:rsid w:val="00572551"/>
    <w:rsid w:val="00583203"/>
    <w:rsid w:val="0058451A"/>
    <w:rsid w:val="005B3660"/>
    <w:rsid w:val="005D0B51"/>
    <w:rsid w:val="005D74C5"/>
    <w:rsid w:val="005D77B9"/>
    <w:rsid w:val="005F3BE4"/>
    <w:rsid w:val="00601B67"/>
    <w:rsid w:val="00615A8C"/>
    <w:rsid w:val="006170A2"/>
    <w:rsid w:val="00622E9C"/>
    <w:rsid w:val="00643BED"/>
    <w:rsid w:val="00662BB8"/>
    <w:rsid w:val="006641C1"/>
    <w:rsid w:val="006753E4"/>
    <w:rsid w:val="00676DB1"/>
    <w:rsid w:val="00683B2C"/>
    <w:rsid w:val="006A3297"/>
    <w:rsid w:val="006A47CE"/>
    <w:rsid w:val="006A7E1E"/>
    <w:rsid w:val="006C15DE"/>
    <w:rsid w:val="006E2900"/>
    <w:rsid w:val="006E6D8D"/>
    <w:rsid w:val="006E7094"/>
    <w:rsid w:val="006E744F"/>
    <w:rsid w:val="007239D5"/>
    <w:rsid w:val="00726BB0"/>
    <w:rsid w:val="007424CD"/>
    <w:rsid w:val="00745BE8"/>
    <w:rsid w:val="0076168F"/>
    <w:rsid w:val="00780D3A"/>
    <w:rsid w:val="0079300E"/>
    <w:rsid w:val="00793A81"/>
    <w:rsid w:val="00795E85"/>
    <w:rsid w:val="007A374D"/>
    <w:rsid w:val="007B1065"/>
    <w:rsid w:val="007D0888"/>
    <w:rsid w:val="007D21E6"/>
    <w:rsid w:val="007E4742"/>
    <w:rsid w:val="007F35D1"/>
    <w:rsid w:val="008019B1"/>
    <w:rsid w:val="0080722A"/>
    <w:rsid w:val="00817AF5"/>
    <w:rsid w:val="00857AC6"/>
    <w:rsid w:val="0086678A"/>
    <w:rsid w:val="00866C30"/>
    <w:rsid w:val="00877C40"/>
    <w:rsid w:val="00882B89"/>
    <w:rsid w:val="008B0F7D"/>
    <w:rsid w:val="008B1DA9"/>
    <w:rsid w:val="008B247D"/>
    <w:rsid w:val="008B4563"/>
    <w:rsid w:val="008B6118"/>
    <w:rsid w:val="008C7CE6"/>
    <w:rsid w:val="008D0023"/>
    <w:rsid w:val="008E00F8"/>
    <w:rsid w:val="008E0E2D"/>
    <w:rsid w:val="008E75B4"/>
    <w:rsid w:val="008F283F"/>
    <w:rsid w:val="008F67F0"/>
    <w:rsid w:val="009208F4"/>
    <w:rsid w:val="0093403F"/>
    <w:rsid w:val="00935B2E"/>
    <w:rsid w:val="00942940"/>
    <w:rsid w:val="00944F93"/>
    <w:rsid w:val="00962377"/>
    <w:rsid w:val="00967DCB"/>
    <w:rsid w:val="00974D7E"/>
    <w:rsid w:val="009825C6"/>
    <w:rsid w:val="009B2FFD"/>
    <w:rsid w:val="009B3D54"/>
    <w:rsid w:val="009F1B8B"/>
    <w:rsid w:val="009F6EBE"/>
    <w:rsid w:val="00A06996"/>
    <w:rsid w:val="00A127B1"/>
    <w:rsid w:val="00A317F2"/>
    <w:rsid w:val="00A33B0B"/>
    <w:rsid w:val="00A42FED"/>
    <w:rsid w:val="00A443F1"/>
    <w:rsid w:val="00A47D0B"/>
    <w:rsid w:val="00A549BF"/>
    <w:rsid w:val="00A945E7"/>
    <w:rsid w:val="00AC4154"/>
    <w:rsid w:val="00AC69B1"/>
    <w:rsid w:val="00AD2D1A"/>
    <w:rsid w:val="00AE3179"/>
    <w:rsid w:val="00AF3F60"/>
    <w:rsid w:val="00AF6DEF"/>
    <w:rsid w:val="00B03D43"/>
    <w:rsid w:val="00B06C80"/>
    <w:rsid w:val="00B25C8E"/>
    <w:rsid w:val="00B31E1F"/>
    <w:rsid w:val="00B32028"/>
    <w:rsid w:val="00B35966"/>
    <w:rsid w:val="00B52B28"/>
    <w:rsid w:val="00B6412E"/>
    <w:rsid w:val="00B7134A"/>
    <w:rsid w:val="00B94D6F"/>
    <w:rsid w:val="00BB274B"/>
    <w:rsid w:val="00BB3FE3"/>
    <w:rsid w:val="00BC7BBA"/>
    <w:rsid w:val="00BD3EEF"/>
    <w:rsid w:val="00BD6F04"/>
    <w:rsid w:val="00BE0EB7"/>
    <w:rsid w:val="00C00111"/>
    <w:rsid w:val="00C14105"/>
    <w:rsid w:val="00C251D6"/>
    <w:rsid w:val="00C34B99"/>
    <w:rsid w:val="00C46027"/>
    <w:rsid w:val="00C705F0"/>
    <w:rsid w:val="00C83620"/>
    <w:rsid w:val="00C947CE"/>
    <w:rsid w:val="00CA75DE"/>
    <w:rsid w:val="00CE0815"/>
    <w:rsid w:val="00CE1280"/>
    <w:rsid w:val="00CE2ABB"/>
    <w:rsid w:val="00CF4F91"/>
    <w:rsid w:val="00D11FA9"/>
    <w:rsid w:val="00D27F39"/>
    <w:rsid w:val="00D3225C"/>
    <w:rsid w:val="00D43887"/>
    <w:rsid w:val="00D46847"/>
    <w:rsid w:val="00D53460"/>
    <w:rsid w:val="00D71BD1"/>
    <w:rsid w:val="00D8738D"/>
    <w:rsid w:val="00DB24B6"/>
    <w:rsid w:val="00DC78A9"/>
    <w:rsid w:val="00DD4111"/>
    <w:rsid w:val="00DE3C94"/>
    <w:rsid w:val="00DE6BD2"/>
    <w:rsid w:val="00DF4D55"/>
    <w:rsid w:val="00DF74C0"/>
    <w:rsid w:val="00E02614"/>
    <w:rsid w:val="00E02D34"/>
    <w:rsid w:val="00E241DF"/>
    <w:rsid w:val="00E2496A"/>
    <w:rsid w:val="00E62540"/>
    <w:rsid w:val="00E755F1"/>
    <w:rsid w:val="00EB2349"/>
    <w:rsid w:val="00ED40C3"/>
    <w:rsid w:val="00ED766D"/>
    <w:rsid w:val="00F108E9"/>
    <w:rsid w:val="00F265DE"/>
    <w:rsid w:val="00F37C13"/>
    <w:rsid w:val="00F45497"/>
    <w:rsid w:val="00F70DC1"/>
    <w:rsid w:val="00F84B7F"/>
    <w:rsid w:val="00F97E01"/>
    <w:rsid w:val="00FA0E9C"/>
    <w:rsid w:val="00FB2330"/>
    <w:rsid w:val="00FB33AE"/>
    <w:rsid w:val="00FC1B7A"/>
    <w:rsid w:val="00FE7D98"/>
    <w:rsid w:val="00FF0AE1"/>
    <w:rsid w:val="00FF48D2"/>
    <w:rsid w:val="176E24F8"/>
    <w:rsid w:val="17FB3BD1"/>
    <w:rsid w:val="1FBF79EE"/>
    <w:rsid w:val="21DA7E30"/>
    <w:rsid w:val="21FF0337"/>
    <w:rsid w:val="31D6A100"/>
    <w:rsid w:val="3EFB3D5B"/>
    <w:rsid w:val="479DBF06"/>
    <w:rsid w:val="47FF210D"/>
    <w:rsid w:val="4D7A79B7"/>
    <w:rsid w:val="565E1CB7"/>
    <w:rsid w:val="56BFB16F"/>
    <w:rsid w:val="57F31680"/>
    <w:rsid w:val="6CCDED87"/>
    <w:rsid w:val="727EF2B0"/>
    <w:rsid w:val="776DD20C"/>
    <w:rsid w:val="7777A3B7"/>
    <w:rsid w:val="7C8067A4"/>
    <w:rsid w:val="7D5FA4A1"/>
    <w:rsid w:val="7FFC0764"/>
    <w:rsid w:val="9FA60188"/>
    <w:rsid w:val="AFDD48C5"/>
    <w:rsid w:val="B7FBC61D"/>
    <w:rsid w:val="BF7C445A"/>
    <w:rsid w:val="D7DB199A"/>
    <w:rsid w:val="D7DB6FD8"/>
    <w:rsid w:val="DBA6F9A1"/>
    <w:rsid w:val="DFD97D3E"/>
    <w:rsid w:val="EECFFD1E"/>
    <w:rsid w:val="EF3BB53D"/>
    <w:rsid w:val="EFF7FFC3"/>
    <w:rsid w:val="F3BF7355"/>
    <w:rsid w:val="F7FB0856"/>
    <w:rsid w:val="FBDB964D"/>
    <w:rsid w:val="FE7FFAE4"/>
    <w:rsid w:val="FECF4588"/>
    <w:rsid w:val="FEFBC21F"/>
    <w:rsid w:val="FFBC72D7"/>
    <w:rsid w:val="FFDF1082"/>
    <w:rsid w:val="FFFFA7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2"/>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6"/>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1"/>
    <w:unhideWhenUsed/>
    <w:qFormat/>
    <w:uiPriority w:val="99"/>
    <w:pPr>
      <w:jc w:val="left"/>
    </w:pPr>
  </w:style>
  <w:style w:type="paragraph" w:styleId="12">
    <w:name w:val="footer"/>
    <w:basedOn w:val="1"/>
    <w:link w:val="40"/>
    <w:unhideWhenUsed/>
    <w:qFormat/>
    <w:uiPriority w:val="99"/>
    <w:pPr>
      <w:tabs>
        <w:tab w:val="center" w:pos="4153"/>
        <w:tab w:val="right" w:pos="8306"/>
      </w:tabs>
      <w:snapToGrid w:val="0"/>
      <w:jc w:val="left"/>
    </w:pPr>
    <w:rPr>
      <w:sz w:val="18"/>
      <w:szCs w:val="18"/>
    </w:rPr>
  </w:style>
  <w:style w:type="paragraph" w:styleId="13">
    <w:name w:val="header"/>
    <w:basedOn w:val="1"/>
    <w:link w:val="39"/>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6">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7">
    <w:name w:val="annotation subject"/>
    <w:basedOn w:val="11"/>
    <w:next w:val="11"/>
    <w:link w:val="42"/>
    <w:semiHidden/>
    <w:unhideWhenUsed/>
    <w:qFormat/>
    <w:uiPriority w:val="99"/>
    <w:rPr>
      <w:b/>
      <w:bCs/>
    </w:rPr>
  </w:style>
  <w:style w:type="character" w:styleId="20">
    <w:name w:val="annotation reference"/>
    <w:basedOn w:val="19"/>
    <w:semiHidden/>
    <w:unhideWhenUsed/>
    <w:qFormat/>
    <w:uiPriority w:val="99"/>
    <w:rPr>
      <w:sz w:val="21"/>
      <w:szCs w:val="21"/>
    </w:rPr>
  </w:style>
  <w:style w:type="character" w:customStyle="1" w:styleId="21">
    <w:name w:val="标题 1 字符"/>
    <w:basedOn w:val="19"/>
    <w:link w:val="2"/>
    <w:qFormat/>
    <w:uiPriority w:val="9"/>
    <w:rPr>
      <w:rFonts w:asciiTheme="majorHAnsi" w:hAnsiTheme="majorHAnsi" w:eastAsiaTheme="majorEastAsia" w:cstheme="majorBidi"/>
      <w:color w:val="104862" w:themeColor="accent1" w:themeShade="BF"/>
      <w:sz w:val="48"/>
      <w:szCs w:val="48"/>
    </w:rPr>
  </w:style>
  <w:style w:type="character" w:customStyle="1" w:styleId="22">
    <w:name w:val="标题 2 字符"/>
    <w:basedOn w:val="19"/>
    <w:link w:val="3"/>
    <w:qFormat/>
    <w:uiPriority w:val="9"/>
    <w:rPr>
      <w:rFonts w:asciiTheme="majorHAnsi" w:hAnsiTheme="majorHAnsi" w:eastAsiaTheme="majorEastAsia" w:cstheme="majorBidi"/>
      <w:color w:val="104862" w:themeColor="accent1" w:themeShade="BF"/>
      <w:sz w:val="40"/>
      <w:szCs w:val="40"/>
    </w:rPr>
  </w:style>
  <w:style w:type="character" w:customStyle="1" w:styleId="23">
    <w:name w:val="标题 3 字符"/>
    <w:basedOn w:val="19"/>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4">
    <w:name w:val="标题 4 字符"/>
    <w:basedOn w:val="19"/>
    <w:link w:val="5"/>
    <w:semiHidden/>
    <w:qFormat/>
    <w:uiPriority w:val="9"/>
    <w:rPr>
      <w:rFonts w:cstheme="majorBidi"/>
      <w:color w:val="104862" w:themeColor="accent1" w:themeShade="BF"/>
      <w:sz w:val="28"/>
      <w:szCs w:val="28"/>
    </w:rPr>
  </w:style>
  <w:style w:type="character" w:customStyle="1" w:styleId="25">
    <w:name w:val="标题 5 字符"/>
    <w:basedOn w:val="19"/>
    <w:link w:val="6"/>
    <w:semiHidden/>
    <w:qFormat/>
    <w:uiPriority w:val="9"/>
    <w:rPr>
      <w:rFonts w:cstheme="majorBidi"/>
      <w:color w:val="104862" w:themeColor="accent1" w:themeShade="BF"/>
      <w:sz w:val="24"/>
      <w:szCs w:val="24"/>
    </w:rPr>
  </w:style>
  <w:style w:type="character" w:customStyle="1" w:styleId="26">
    <w:name w:val="标题 6 字符"/>
    <w:basedOn w:val="19"/>
    <w:link w:val="7"/>
    <w:semiHidden/>
    <w:qFormat/>
    <w:uiPriority w:val="9"/>
    <w:rPr>
      <w:rFonts w:cstheme="majorBidi"/>
      <w:b/>
      <w:bCs/>
      <w:color w:val="104862" w:themeColor="accent1" w:themeShade="BF"/>
    </w:rPr>
  </w:style>
  <w:style w:type="character" w:customStyle="1" w:styleId="27">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9"/>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明显强调1"/>
    <w:basedOn w:val="19"/>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19"/>
    <w:link w:val="36"/>
    <w:uiPriority w:val="30"/>
    <w:rPr>
      <w:i/>
      <w:iCs/>
      <w:color w:val="104862" w:themeColor="accent1" w:themeShade="BF"/>
    </w:rPr>
  </w:style>
  <w:style w:type="character" w:customStyle="1" w:styleId="38">
    <w:name w:val="明显参考1"/>
    <w:basedOn w:val="19"/>
    <w:qFormat/>
    <w:uiPriority w:val="32"/>
    <w:rPr>
      <w:b/>
      <w:bCs/>
      <w:smallCaps/>
      <w:color w:val="104862" w:themeColor="accent1" w:themeShade="BF"/>
      <w:spacing w:val="5"/>
    </w:rPr>
  </w:style>
  <w:style w:type="character" w:customStyle="1" w:styleId="39">
    <w:name w:val="页眉 字符"/>
    <w:basedOn w:val="19"/>
    <w:link w:val="13"/>
    <w:uiPriority w:val="99"/>
    <w:rPr>
      <w:sz w:val="18"/>
      <w:szCs w:val="18"/>
    </w:rPr>
  </w:style>
  <w:style w:type="character" w:customStyle="1" w:styleId="40">
    <w:name w:val="页脚 字符"/>
    <w:basedOn w:val="19"/>
    <w:link w:val="12"/>
    <w:qFormat/>
    <w:uiPriority w:val="99"/>
    <w:rPr>
      <w:sz w:val="18"/>
      <w:szCs w:val="18"/>
    </w:rPr>
  </w:style>
  <w:style w:type="character" w:customStyle="1" w:styleId="41">
    <w:name w:val="批注文字 字符"/>
    <w:basedOn w:val="19"/>
    <w:link w:val="11"/>
    <w:qFormat/>
    <w:uiPriority w:val="99"/>
  </w:style>
  <w:style w:type="character" w:customStyle="1" w:styleId="42">
    <w:name w:val="批注主题 字符"/>
    <w:basedOn w:val="41"/>
    <w:link w:val="17"/>
    <w:semiHidden/>
    <w:uiPriority w:val="99"/>
    <w:rPr>
      <w:b/>
      <w:bCs/>
    </w:rPr>
  </w:style>
  <w:style w:type="paragraph" w:customStyle="1" w:styleId="43">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4">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5">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6">
    <w:name w:val="修订4"/>
    <w:hidden/>
    <w:unhideWhenUsed/>
    <w:uiPriority w:val="99"/>
    <w:rPr>
      <w:rFonts w:asciiTheme="minorHAnsi" w:hAnsiTheme="minorHAnsi" w:eastAsiaTheme="minorEastAsia" w:cstheme="minorBidi"/>
      <w:kern w:val="2"/>
      <w:sz w:val="21"/>
      <w:szCs w:val="22"/>
      <w:lang w:val="en-US" w:eastAsia="zh-CN" w:bidi="ar-SA"/>
    </w:rPr>
  </w:style>
  <w:style w:type="paragraph" w:customStyle="1" w:styleId="47">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B9843E-20F6-4B8E-8BA1-3602A090B2D6}">
  <ds:schemaRefs/>
</ds:datastoreItem>
</file>

<file path=docProps/app.xml><?xml version="1.0" encoding="utf-8"?>
<Properties xmlns="http://schemas.openxmlformats.org/officeDocument/2006/extended-properties" xmlns:vt="http://schemas.openxmlformats.org/officeDocument/2006/docPropsVTypes">
  <Template>Normal</Template>
  <Pages>6</Pages>
  <Words>2026</Words>
  <Characters>2066</Characters>
  <Lines>51</Lines>
  <Paragraphs>42</Paragraphs>
  <TotalTime>66</TotalTime>
  <ScaleCrop>false</ScaleCrop>
  <LinksUpToDate>false</LinksUpToDate>
  <CharactersWithSpaces>2101</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2025-08-30T09:50:00Z</dcterms:created>
  <dc:creator>349338487@qq.com</dc:creator>
  <cp:lastModifiedBy>谭沙丽</cp:lastModifiedBy>
  <dcterms:modified xsi:type="dcterms:W3CDTF">2025-09-29T12:02:15Z</dcterms:modified>
  <cp:revision>115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1D10444DD926B8094A57CF68AE4E9788_43</vt:lpwstr>
  </property>
  <property fmtid="{D5CDD505-2E9C-101B-9397-08002B2CF9AE}" pid="4" name="KSOTemplateDocerSaveRecord">
    <vt:lpwstr>eyJoZGlkIjoiMWM3MGU3NGJkOWRlNWZiYzYwMmNiZjNlZDY1MjgzNDEiLCJ1c2VySWQiOiI0MzU5MzMxMzAifQ==</vt:lpwstr>
  </property>
</Properties>
</file>