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EF76F">
      <w:pPr>
        <w:widowControl w:val="0"/>
        <w:kinsoku/>
        <w:autoSpaceDE/>
        <w:autoSpaceDN/>
        <w:adjustRightInd/>
        <w:snapToGrid/>
        <w:spacing w:line="560" w:lineRule="exact"/>
        <w:jc w:val="right"/>
        <w:textAlignment w:val="auto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6DD00152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36"/>
          <w:szCs w:val="36"/>
          <w:lang w:eastAsia="zh-CN"/>
        </w:rPr>
        <w:t>清华大学深圳</w:t>
      </w:r>
      <w:r>
        <w:rPr>
          <w:rFonts w:hint="eastAsia" w:ascii="方正小标宋简体" w:hAnsi="方正小标宋简体" w:eastAsia="方正小标宋简体" w:cs="方正小标宋简体"/>
          <w:snapToGrid/>
          <w:spacing w:val="0"/>
          <w:sz w:val="36"/>
          <w:szCs w:val="36"/>
          <w:lang w:eastAsia="zh-CN"/>
        </w:rPr>
        <w:t>国际</w:t>
      </w:r>
      <w:r>
        <w:rPr>
          <w:rFonts w:hint="eastAsia" w:ascii="方正小标宋简体" w:hAnsi="方正小标宋简体" w:eastAsia="方正小标宋简体" w:cs="方正小标宋简体"/>
          <w:snapToGrid/>
          <w:sz w:val="36"/>
          <w:szCs w:val="36"/>
          <w:lang w:eastAsia="zh-CN"/>
        </w:rPr>
        <w:t>研究生院</w:t>
      </w:r>
    </w:p>
    <w:p w14:paraId="5FCF9C6D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sz w:val="36"/>
          <w:szCs w:val="36"/>
          <w:lang w:eastAsia="zh-CN"/>
        </w:rPr>
        <w:t>大型仪器设备维修基金管理办法</w:t>
      </w:r>
      <w:bookmarkStart w:id="0" w:name="_GoBack"/>
      <w:bookmarkEnd w:id="0"/>
    </w:p>
    <w:p w14:paraId="2EE79D76">
      <w:pPr>
        <w:widowControl w:val="0"/>
        <w:kinsoku/>
        <w:autoSpaceDE/>
        <w:autoSpaceDN/>
        <w:adjustRightInd/>
        <w:snapToGrid/>
        <w:spacing w:before="0" w:line="560" w:lineRule="exact"/>
        <w:ind w:left="0"/>
        <w:jc w:val="center"/>
        <w:textAlignment w:val="auto"/>
        <w:outlineLvl w:val="9"/>
        <w:rPr>
          <w:rFonts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二〇一二年第八次院务会（2012年11月9日）审议通过</w:t>
      </w:r>
    </w:p>
    <w:p w14:paraId="069095C2">
      <w:pPr>
        <w:widowControl w:val="0"/>
        <w:kinsoku/>
        <w:autoSpaceDE/>
        <w:autoSpaceDN/>
        <w:adjustRightInd/>
        <w:snapToGrid/>
        <w:spacing w:before="0" w:line="560" w:lineRule="exact"/>
        <w:ind w:left="0"/>
        <w:jc w:val="center"/>
        <w:textAlignment w:val="auto"/>
        <w:outlineLvl w:val="9"/>
        <w:rPr>
          <w:rFonts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二Ｏ二五年第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七十四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次党政联席会议（2025年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日）修订</w:t>
      </w:r>
    </w:p>
    <w:p w14:paraId="3ACEEB15">
      <w:pPr>
        <w:widowControl w:val="0"/>
        <w:kinsoku/>
        <w:autoSpaceDE/>
        <w:autoSpaceDN/>
        <w:adjustRightInd/>
        <w:snapToGrid/>
        <w:spacing w:before="0" w:line="560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napToGrid/>
          <w:sz w:val="28"/>
          <w:szCs w:val="28"/>
          <w:lang w:eastAsia="zh-CN"/>
        </w:rPr>
      </w:pPr>
    </w:p>
    <w:p w14:paraId="08D2DB40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第一条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为保障清华大学深圳国际研究生院（以下简称学院）大型仪器设备维修基金正常有序使用，使其在学院科研平台建设中发挥关键作用，结合学院实际，制定本办法。</w:t>
      </w:r>
    </w:p>
    <w:p w14:paraId="1C31D3E2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第二条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维修基金主要来源于原三大重点实验室（健康科学与技术重点实验室、信息科学与技术重点实验室、清洁生产重点实验室）仪器设备购置时缴纳的配套经费，用完即止。</w:t>
      </w:r>
    </w:p>
    <w:p w14:paraId="3E9A5054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第三条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维修基金的使用对象为学院单台/套价值 40 万元（含）以上的大型仪器设备</w:t>
      </w: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>。</w:t>
      </w:r>
    </w:p>
    <w:p w14:paraId="41088E71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第四条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维修基金原则上资助学院开放度高、服务机时长、管理规范的大型仪器设备。</w:t>
      </w:r>
    </w:p>
    <w:p w14:paraId="004D5C6C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第五条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维修基金仅限于资助学院大型仪器设备的维修。</w:t>
      </w:r>
    </w:p>
    <w:p w14:paraId="3AAABB80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第六条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符合上述条件且单台</w:t>
      </w:r>
      <w:r>
        <w:rPr>
          <w:rFonts w:hint="eastAsia" w:ascii="Times New Roman" w:hAnsi="Times New Roman" w:eastAsia="仿宋_GB2312" w:cs="Times New Roman"/>
          <w:snapToGrid/>
          <w:color w:val="auto"/>
          <w:spacing w:val="0"/>
          <w:kern w:val="2"/>
          <w:position w:val="0"/>
          <w:sz w:val="32"/>
          <w:szCs w:val="32"/>
          <w:lang w:eastAsia="zh-CN"/>
        </w:rPr>
        <w:t>/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套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维修费金额高于 1 万元的，可申请使用维修基金。维修基金的资助额度最高不超过 10 万元。</w:t>
      </w:r>
    </w:p>
    <w:p w14:paraId="42E7EDC0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第七条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对于公共服务平台中，使用效益高、开放业绩好的大型仪器设备，维修基金支付比例为其实际维修维护费的 50%~75%，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其余部分由申请维修单位自筹。</w:t>
      </w:r>
    </w:p>
    <w:p w14:paraId="5698A6D4">
      <w:pPr>
        <w:pStyle w:val="2"/>
        <w:widowControl w:val="0"/>
        <w:spacing w:before="0" w:line="560" w:lineRule="atLeast"/>
        <w:ind w:left="0" w:firstLine="640" w:firstLineChars="200"/>
        <w:jc w:val="both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对于教学用大型仪器设备，维修基金支付比例为其实际维修费用的 80%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~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100%，其余部分由申请维修单位自筹。</w:t>
      </w:r>
    </w:p>
    <w:p w14:paraId="287DEE59">
      <w:pPr>
        <w:pStyle w:val="2"/>
        <w:widowControl w:val="0"/>
        <w:spacing w:before="0" w:line="560" w:lineRule="atLeast"/>
        <w:ind w:left="0" w:firstLine="640" w:firstLineChars="200"/>
        <w:jc w:val="both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对于课题组管理的使用效益高、开放业绩好的大型仪器设备，维修基金资助比例最高不超过其实际维修费用的 30%，其余部分由申请维修单位自筹。</w:t>
      </w:r>
    </w:p>
    <w:p w14:paraId="022D8E7F">
      <w:pPr>
        <w:pStyle w:val="2"/>
        <w:widowControl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对于已到使用年限、无维修价值或维修费用高于设备原值 50%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的仪器设备，原则上不再支持。</w:t>
      </w:r>
    </w:p>
    <w:p w14:paraId="28C06086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第八条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维修基金申请单位需填写大型仪器设备维修基金审批表，经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教学科研机构主管科研工作副院长审批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后连同维修合同复印件提交至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科研处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，由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科研处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组织专家对是否资助及资助额度进行论证。申请资助金额大于 5 万元，或同年多次（两次及两次以上）申请资助的，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科研处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将组织专家对其进行现场考察论证。论证通过的资助项目需在学院内网进行公示，公示期为 7 天，公示无异议方予以资助。</w:t>
      </w:r>
    </w:p>
    <w:p w14:paraId="7743CBF8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第九条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申请单位可随时递交申请，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科研处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将根据情况集中审理。</w:t>
      </w:r>
    </w:p>
    <w:p w14:paraId="7EF4F163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>第十条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 xml:space="preserve"> 维修基金的使用实行先开支后划拨的财务管理制度。申请单位需先行支付设备维修费，待资助申请通过审批后，申请单位持《大型仪器设备维修基金审批表》与维修合同复印件至学院财务办公室办理经费划拨手续。</w:t>
      </w:r>
    </w:p>
    <w:p w14:paraId="65C861AE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第十一条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维修基金申请单位需对报销项目的合理性、合法性负责，一旦发现虚报行为学院将对申报单位与申报人予以严肃处理。</w:t>
      </w:r>
    </w:p>
    <w:p w14:paraId="535849BE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>第十二条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 xml:space="preserve"> 本办法由科研处负责解释。</w:t>
      </w:r>
    </w:p>
    <w:p w14:paraId="342521D5">
      <w:pPr>
        <w:pStyle w:val="2"/>
        <w:widowControl w:val="0"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snapToGrid/>
          <w:color w:val="auto"/>
          <w:kern w:val="2"/>
          <w:sz w:val="32"/>
          <w:szCs w:val="32"/>
          <w:lang w:eastAsia="zh-CN"/>
        </w:rPr>
        <w:t xml:space="preserve">第十三条 </w:t>
      </w:r>
      <w:r>
        <w:rPr>
          <w:rFonts w:hint="eastAsia" w:ascii="Times New Roman" w:hAnsi="Times New Roman" w:eastAsia="仿宋_GB2312" w:cs="Times New Roman"/>
          <w:bCs/>
          <w:snapToGrid/>
          <w:color w:val="auto"/>
          <w:kern w:val="2"/>
          <w:sz w:val="32"/>
          <w:szCs w:val="32"/>
          <w:lang w:eastAsia="zh-CN"/>
        </w:rPr>
        <w:t>本办法自公布之日起施行。</w:t>
      </w:r>
    </w:p>
    <w:sectPr>
      <w:footerReference r:id="rId3" w:type="default"/>
      <w:pgSz w:w="11900" w:h="16840"/>
      <w:pgMar w:top="2098" w:right="1474" w:bottom="1985" w:left="1588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B01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80D6C5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80D6C5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trackRevisions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1D"/>
    <w:rsid w:val="00012B14"/>
    <w:rsid w:val="000155CF"/>
    <w:rsid w:val="00043B8F"/>
    <w:rsid w:val="00050643"/>
    <w:rsid w:val="0007221D"/>
    <w:rsid w:val="000D33B8"/>
    <w:rsid w:val="000F0579"/>
    <w:rsid w:val="00116139"/>
    <w:rsid w:val="00146E32"/>
    <w:rsid w:val="00182409"/>
    <w:rsid w:val="0018449B"/>
    <w:rsid w:val="001E11CC"/>
    <w:rsid w:val="00215A42"/>
    <w:rsid w:val="002553B4"/>
    <w:rsid w:val="002B03E9"/>
    <w:rsid w:val="002C26FA"/>
    <w:rsid w:val="002D6AEB"/>
    <w:rsid w:val="002E7348"/>
    <w:rsid w:val="00305685"/>
    <w:rsid w:val="00322ACD"/>
    <w:rsid w:val="00466FF0"/>
    <w:rsid w:val="004F7A70"/>
    <w:rsid w:val="00547ECB"/>
    <w:rsid w:val="00557F28"/>
    <w:rsid w:val="0058281F"/>
    <w:rsid w:val="00596848"/>
    <w:rsid w:val="005A6325"/>
    <w:rsid w:val="005E0BB6"/>
    <w:rsid w:val="005E37A9"/>
    <w:rsid w:val="00603DB5"/>
    <w:rsid w:val="00604A97"/>
    <w:rsid w:val="00604D64"/>
    <w:rsid w:val="00624B00"/>
    <w:rsid w:val="00681F3F"/>
    <w:rsid w:val="006A7F6B"/>
    <w:rsid w:val="006D498F"/>
    <w:rsid w:val="006E1602"/>
    <w:rsid w:val="007F1516"/>
    <w:rsid w:val="00887DA4"/>
    <w:rsid w:val="008A3082"/>
    <w:rsid w:val="008A3DB8"/>
    <w:rsid w:val="008C6DAE"/>
    <w:rsid w:val="008E720E"/>
    <w:rsid w:val="00910B00"/>
    <w:rsid w:val="009366FF"/>
    <w:rsid w:val="00971A6F"/>
    <w:rsid w:val="00985BFA"/>
    <w:rsid w:val="009872CF"/>
    <w:rsid w:val="009A121F"/>
    <w:rsid w:val="009C4A47"/>
    <w:rsid w:val="00A10424"/>
    <w:rsid w:val="00A15F1F"/>
    <w:rsid w:val="00A21B51"/>
    <w:rsid w:val="00A45E40"/>
    <w:rsid w:val="00A8720F"/>
    <w:rsid w:val="00A9401D"/>
    <w:rsid w:val="00AF4D08"/>
    <w:rsid w:val="00B02828"/>
    <w:rsid w:val="00B04E91"/>
    <w:rsid w:val="00B266D2"/>
    <w:rsid w:val="00B62025"/>
    <w:rsid w:val="00B970F0"/>
    <w:rsid w:val="00BC39EF"/>
    <w:rsid w:val="00C24EB4"/>
    <w:rsid w:val="00C446C3"/>
    <w:rsid w:val="00C5550C"/>
    <w:rsid w:val="00C61B18"/>
    <w:rsid w:val="00CB446F"/>
    <w:rsid w:val="00CB76ED"/>
    <w:rsid w:val="00CC169A"/>
    <w:rsid w:val="00CC7274"/>
    <w:rsid w:val="00CF5C21"/>
    <w:rsid w:val="00D00DEB"/>
    <w:rsid w:val="00D653C9"/>
    <w:rsid w:val="00DA09A8"/>
    <w:rsid w:val="00DB0F94"/>
    <w:rsid w:val="00DC0422"/>
    <w:rsid w:val="00E03CAB"/>
    <w:rsid w:val="00E07F69"/>
    <w:rsid w:val="00E25D6B"/>
    <w:rsid w:val="00E428C6"/>
    <w:rsid w:val="00E70363"/>
    <w:rsid w:val="00E71D84"/>
    <w:rsid w:val="00E7429F"/>
    <w:rsid w:val="00EF11AE"/>
    <w:rsid w:val="00F129C1"/>
    <w:rsid w:val="00F34933"/>
    <w:rsid w:val="00F5504C"/>
    <w:rsid w:val="00F927ED"/>
    <w:rsid w:val="00FB1B5F"/>
    <w:rsid w:val="00FB6B29"/>
    <w:rsid w:val="02C31BD9"/>
    <w:rsid w:val="08123F24"/>
    <w:rsid w:val="097E5D15"/>
    <w:rsid w:val="0DFC3B37"/>
    <w:rsid w:val="10AA73F0"/>
    <w:rsid w:val="10D206F5"/>
    <w:rsid w:val="12DE15D3"/>
    <w:rsid w:val="131533A4"/>
    <w:rsid w:val="13961EAE"/>
    <w:rsid w:val="1844637C"/>
    <w:rsid w:val="18673E19"/>
    <w:rsid w:val="1DA8115B"/>
    <w:rsid w:val="1E2307E2"/>
    <w:rsid w:val="1E2F6491"/>
    <w:rsid w:val="1EC21DA9"/>
    <w:rsid w:val="1F505606"/>
    <w:rsid w:val="22484CBB"/>
    <w:rsid w:val="24997A50"/>
    <w:rsid w:val="27533EE6"/>
    <w:rsid w:val="29714AF7"/>
    <w:rsid w:val="2DF47AA5"/>
    <w:rsid w:val="2EAE2349"/>
    <w:rsid w:val="2EE87609"/>
    <w:rsid w:val="32933D30"/>
    <w:rsid w:val="33574D5E"/>
    <w:rsid w:val="34993154"/>
    <w:rsid w:val="379470E2"/>
    <w:rsid w:val="39934616"/>
    <w:rsid w:val="3AD153F6"/>
    <w:rsid w:val="3D026990"/>
    <w:rsid w:val="3EF06066"/>
    <w:rsid w:val="3F316DAB"/>
    <w:rsid w:val="40055B41"/>
    <w:rsid w:val="41BA3087"/>
    <w:rsid w:val="474D3219"/>
    <w:rsid w:val="4C373527"/>
    <w:rsid w:val="4C8A40AC"/>
    <w:rsid w:val="55524F2D"/>
    <w:rsid w:val="55821CB6"/>
    <w:rsid w:val="56F42740"/>
    <w:rsid w:val="583152CE"/>
    <w:rsid w:val="5915074C"/>
    <w:rsid w:val="5B57329D"/>
    <w:rsid w:val="5E36363E"/>
    <w:rsid w:val="62595B4D"/>
    <w:rsid w:val="6578453C"/>
    <w:rsid w:val="66967370"/>
    <w:rsid w:val="69BF6BDD"/>
    <w:rsid w:val="6EF07839"/>
    <w:rsid w:val="7769462C"/>
    <w:rsid w:val="78C61960"/>
    <w:rsid w:val="7B073F40"/>
    <w:rsid w:val="7CFC55FB"/>
    <w:rsid w:val="7D60202E"/>
    <w:rsid w:val="7DFA4230"/>
    <w:rsid w:val="7E0C167B"/>
    <w:rsid w:val="7EC67DD8"/>
    <w:rsid w:val="7F8C710A"/>
    <w:rsid w:val="93EFF5D9"/>
    <w:rsid w:val="DEFBA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paragraph" w:customStyle="1" w:styleId="10">
    <w:name w:val="修订1"/>
    <w:hidden/>
    <w:unhideWhenUsed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paragraph" w:customStyle="1" w:styleId="11">
    <w:name w:val="Revision"/>
    <w:hidden/>
    <w:unhideWhenUsed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C2308F-277F-40F3-985E-48135C22A8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982</Words>
  <Characters>1010</Characters>
  <Lines>47</Lines>
  <Paragraphs>24</Paragraphs>
  <TotalTime>0</TotalTime>
  <ScaleCrop>false</ScaleCrop>
  <LinksUpToDate>false</LinksUpToDate>
  <CharactersWithSpaces>1038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2025-12-18T08:03:00Z</dcterms:created>
  <dc:creator>hp</dc:creator>
  <cp:keywords>()</cp:keywords>
  <cp:lastModifiedBy>马静宜</cp:lastModifiedBy>
  <dcterms:modified xsi:type="dcterms:W3CDTF">2026-01-05T08:46:57Z</dcterms:modified>
  <dc:title>()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2024-02-23T16:13:02Z</vt:filetime>
  </property>
  <property fmtid="{D5CDD505-2E9C-101B-9397-08002B2CF9AE}" pid="4" name="KSOTemplateDocerSaveRecord">
    <vt:lpwstr>eyJoZGlkIjoiMWM3MGU3NGJkOWRlNWZiYzYwMmNiZjNlZDY1MjgzNDEiLCJ1c2VySWQiOiI0MzU5MzMxMzAifQ==</vt:lpwstr>
  </property>
  <property fmtid="{D5CDD505-2E9C-101B-9397-08002B2CF9AE}" pid="5" name="KSOProductBuildVer">
    <vt:lpwstr>2052-12.1.0.23542</vt:lpwstr>
  </property>
  <property fmtid="{D5CDD505-2E9C-101B-9397-08002B2CF9AE}" pid="6" name="ICV">
    <vt:lpwstr>9FE098C77D936283A5AB436953883D96_43</vt:lpwstr>
  </property>
</Properties>
</file>