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8286">
      <w:pPr>
        <w:spacing w:line="560" w:lineRule="exact"/>
        <w:jc w:val="righ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清深国院规〔2026〕4</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 xml:space="preserve">号 </w:t>
      </w:r>
    </w:p>
    <w:p w14:paraId="781616E5">
      <w:pPr>
        <w:spacing w:line="560" w:lineRule="exact"/>
        <w:jc w:val="right"/>
        <w:rPr>
          <w:rFonts w:hint="eastAsia" w:ascii="方正小标宋简体" w:hAnsi="方正小标宋简体" w:eastAsia="方正小标宋简体" w:cs="方正小标宋简体"/>
          <w:sz w:val="36"/>
          <w:szCs w:val="36"/>
          <w:lang w:eastAsia="zh-CN"/>
        </w:rPr>
      </w:pPr>
    </w:p>
    <w:p w14:paraId="0F3F91CC">
      <w:pPr>
        <w:pStyle w:val="8"/>
        <w:spacing w:before="0" w:beforeAutospacing="0" w:after="0" w:afterAutospacing="0" w:line="560" w:lineRule="exact"/>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sz w:val="36"/>
          <w:szCs w:val="36"/>
          <w:lang w:eastAsia="zh-CN"/>
        </w:rPr>
        <w:t>清华大学深圳国际研究生</w:t>
      </w:r>
      <w:bookmarkStart w:id="2" w:name="_GoBack"/>
      <w:bookmarkEnd w:id="2"/>
      <w:r>
        <w:rPr>
          <w:rFonts w:hint="eastAsia" w:ascii="方正小标宋简体" w:hAnsi="方正小标宋简体" w:eastAsia="方正小标宋简体" w:cs="方正小标宋简体"/>
          <w:sz w:val="36"/>
          <w:szCs w:val="36"/>
          <w:lang w:eastAsia="zh-CN"/>
        </w:rPr>
        <w:t>院</w:t>
      </w:r>
      <w:r>
        <w:rPr>
          <w:rFonts w:hint="eastAsia" w:ascii="方正小标宋简体" w:hAnsi="方正小标宋简体" w:eastAsia="方正小标宋简体" w:cs="方正小标宋简体"/>
          <w:color w:val="auto"/>
          <w:sz w:val="36"/>
          <w:szCs w:val="36"/>
        </w:rPr>
        <w:t>科研启动经费管理办法</w:t>
      </w:r>
    </w:p>
    <w:p w14:paraId="307C7C3C">
      <w:pPr>
        <w:pStyle w:val="8"/>
        <w:spacing w:before="0" w:beforeAutospacing="0" w:after="0" w:afterAutospacing="0" w:line="560" w:lineRule="exact"/>
        <w:jc w:val="center"/>
        <w:rPr>
          <w:rFonts w:ascii="FangSong_GB2312" w:hAnsi="FangSong_GB2312" w:eastAsia="FangSong_GB2312" w:cs="FangSong_GB2312"/>
          <w:color w:val="auto"/>
          <w:kern w:val="2"/>
          <w:sz w:val="30"/>
          <w:szCs w:val="30"/>
          <w:highlight w:val="none"/>
        </w:rPr>
      </w:pPr>
      <w:r>
        <w:rPr>
          <w:rFonts w:hint="eastAsia" w:ascii="FangSong_GB2312" w:hAnsi="FangSong_GB2312" w:eastAsia="FangSong_GB2312" w:cs="FangSong_GB2312"/>
          <w:color w:val="auto"/>
          <w:kern w:val="2"/>
          <w:sz w:val="30"/>
          <w:szCs w:val="30"/>
          <w:highlight w:val="none"/>
        </w:rPr>
        <w:t>二〇</w:t>
      </w:r>
      <w:r>
        <w:rPr>
          <w:rFonts w:hint="eastAsia" w:ascii="FangSong_GB2312" w:hAnsi="FangSong_GB2312" w:eastAsia="FangSong_GB2312" w:cs="FangSong_GB2312"/>
          <w:color w:val="auto"/>
          <w:kern w:val="2"/>
          <w:sz w:val="30"/>
          <w:szCs w:val="30"/>
          <w:highlight w:val="none"/>
          <w:lang w:val="en-US" w:eastAsia="zh-CN"/>
        </w:rPr>
        <w:t>二一</w:t>
      </w:r>
      <w:r>
        <w:rPr>
          <w:rFonts w:hint="eastAsia" w:ascii="FangSong_GB2312" w:hAnsi="FangSong_GB2312" w:eastAsia="FangSong_GB2312" w:cs="FangSong_GB2312"/>
          <w:color w:val="auto"/>
          <w:kern w:val="2"/>
          <w:sz w:val="30"/>
          <w:szCs w:val="30"/>
          <w:highlight w:val="none"/>
        </w:rPr>
        <w:t>年第</w:t>
      </w:r>
      <w:r>
        <w:rPr>
          <w:rFonts w:hint="eastAsia" w:ascii="FangSong_GB2312" w:hAnsi="FangSong_GB2312" w:eastAsia="FangSong_GB2312" w:cs="FangSong_GB2312"/>
          <w:color w:val="auto"/>
          <w:kern w:val="2"/>
          <w:sz w:val="30"/>
          <w:szCs w:val="30"/>
          <w:highlight w:val="none"/>
          <w:lang w:val="en-US" w:eastAsia="zh-CN"/>
        </w:rPr>
        <w:t>九</w:t>
      </w:r>
      <w:r>
        <w:rPr>
          <w:rFonts w:hint="eastAsia" w:ascii="FangSong_GB2312" w:hAnsi="FangSong_GB2312" w:eastAsia="FangSong_GB2312" w:cs="FangSong_GB2312"/>
          <w:color w:val="auto"/>
          <w:kern w:val="2"/>
          <w:sz w:val="30"/>
          <w:szCs w:val="30"/>
          <w:highlight w:val="none"/>
        </w:rPr>
        <w:t>次院务会（20</w:t>
      </w:r>
      <w:r>
        <w:rPr>
          <w:rFonts w:hint="eastAsia" w:ascii="FangSong_GB2312" w:hAnsi="FangSong_GB2312" w:eastAsia="FangSong_GB2312" w:cs="FangSong_GB2312"/>
          <w:color w:val="auto"/>
          <w:kern w:val="2"/>
          <w:sz w:val="30"/>
          <w:szCs w:val="30"/>
          <w:highlight w:val="none"/>
          <w:lang w:val="en-US" w:eastAsia="zh-CN"/>
        </w:rPr>
        <w:t>21</w:t>
      </w:r>
      <w:r>
        <w:rPr>
          <w:rFonts w:hint="eastAsia" w:ascii="FangSong_GB2312" w:hAnsi="FangSong_GB2312" w:eastAsia="FangSong_GB2312" w:cs="FangSong_GB2312"/>
          <w:color w:val="auto"/>
          <w:kern w:val="2"/>
          <w:sz w:val="30"/>
          <w:szCs w:val="30"/>
          <w:highlight w:val="none"/>
        </w:rPr>
        <w:t>年</w:t>
      </w:r>
      <w:r>
        <w:rPr>
          <w:rFonts w:hint="eastAsia" w:ascii="FangSong_GB2312" w:hAnsi="FangSong_GB2312" w:eastAsia="FangSong_GB2312" w:cs="FangSong_GB2312"/>
          <w:color w:val="auto"/>
          <w:kern w:val="2"/>
          <w:sz w:val="30"/>
          <w:szCs w:val="30"/>
          <w:highlight w:val="none"/>
          <w:lang w:val="en-US" w:eastAsia="zh-CN"/>
        </w:rPr>
        <w:t>4</w:t>
      </w:r>
      <w:r>
        <w:rPr>
          <w:rFonts w:hint="eastAsia" w:ascii="FangSong_GB2312" w:hAnsi="FangSong_GB2312" w:eastAsia="FangSong_GB2312" w:cs="FangSong_GB2312"/>
          <w:color w:val="auto"/>
          <w:kern w:val="2"/>
          <w:sz w:val="30"/>
          <w:szCs w:val="30"/>
          <w:highlight w:val="none"/>
        </w:rPr>
        <w:t>月</w:t>
      </w:r>
      <w:r>
        <w:rPr>
          <w:rFonts w:hint="eastAsia" w:ascii="FangSong_GB2312" w:hAnsi="FangSong_GB2312" w:eastAsia="FangSong_GB2312" w:cs="FangSong_GB2312"/>
          <w:color w:val="auto"/>
          <w:kern w:val="2"/>
          <w:sz w:val="30"/>
          <w:szCs w:val="30"/>
          <w:highlight w:val="none"/>
          <w:lang w:val="en-US" w:eastAsia="zh-CN"/>
        </w:rPr>
        <w:t>12</w:t>
      </w:r>
      <w:r>
        <w:rPr>
          <w:rFonts w:hint="eastAsia" w:ascii="FangSong_GB2312" w:hAnsi="FangSong_GB2312" w:eastAsia="FangSong_GB2312" w:cs="FangSong_GB2312"/>
          <w:color w:val="auto"/>
          <w:kern w:val="2"/>
          <w:sz w:val="30"/>
          <w:szCs w:val="30"/>
          <w:highlight w:val="none"/>
        </w:rPr>
        <w:t>日）审议通过</w:t>
      </w:r>
      <w:r>
        <w:rPr>
          <w:rFonts w:hint="eastAsia" w:ascii="FangSong_GB2312" w:hAnsi="FangSong_GB2312" w:eastAsia="FangSong_GB2312" w:cs="FangSong_GB2312"/>
          <w:color w:val="auto"/>
          <w:kern w:val="2"/>
          <w:sz w:val="30"/>
          <w:szCs w:val="30"/>
          <w:highlight w:val="none"/>
          <w:lang w:eastAsia="zh-CN"/>
        </w:rPr>
        <w:t>，</w:t>
      </w:r>
    </w:p>
    <w:p w14:paraId="67A1CEB1">
      <w:pPr>
        <w:pStyle w:val="8"/>
        <w:spacing w:before="0" w:beforeAutospacing="0" w:after="0" w:afterAutospacing="0" w:line="560" w:lineRule="exact"/>
        <w:jc w:val="center"/>
        <w:rPr>
          <w:rFonts w:hint="eastAsia" w:ascii="FangSong_GB2312" w:hAnsi="FangSong_GB2312" w:eastAsia="FangSong_GB2312" w:cs="FangSong_GB2312"/>
          <w:color w:val="auto"/>
          <w:kern w:val="2"/>
          <w:sz w:val="30"/>
          <w:szCs w:val="30"/>
          <w:highlight w:val="none"/>
        </w:rPr>
      </w:pPr>
      <w:r>
        <w:rPr>
          <w:rFonts w:hint="eastAsia" w:ascii="FangSong_GB2312" w:hAnsi="FangSong_GB2312" w:eastAsia="FangSong_GB2312" w:cs="FangSong_GB2312"/>
          <w:color w:val="auto"/>
          <w:kern w:val="2"/>
          <w:sz w:val="30"/>
          <w:szCs w:val="30"/>
          <w:highlight w:val="none"/>
        </w:rPr>
        <w:t>二〇</w:t>
      </w:r>
      <w:r>
        <w:rPr>
          <w:rFonts w:hint="eastAsia" w:ascii="FangSong_GB2312" w:hAnsi="FangSong_GB2312" w:eastAsia="FangSong_GB2312" w:cs="FangSong_GB2312"/>
          <w:color w:val="auto"/>
          <w:kern w:val="2"/>
          <w:sz w:val="30"/>
          <w:szCs w:val="30"/>
          <w:highlight w:val="none"/>
          <w:lang w:val="en-US" w:eastAsia="zh-CN"/>
        </w:rPr>
        <w:t>二六</w:t>
      </w:r>
      <w:r>
        <w:rPr>
          <w:rFonts w:hint="eastAsia" w:ascii="FangSong_GB2312" w:hAnsi="FangSong_GB2312" w:eastAsia="FangSong_GB2312" w:cs="FangSong_GB2312"/>
          <w:color w:val="auto"/>
          <w:kern w:val="2"/>
          <w:sz w:val="30"/>
          <w:szCs w:val="30"/>
          <w:highlight w:val="none"/>
        </w:rPr>
        <w:t>年第</w:t>
      </w:r>
      <w:r>
        <w:rPr>
          <w:rFonts w:hint="eastAsia" w:ascii="FangSong_GB2312" w:hAnsi="FangSong_GB2312" w:eastAsia="FangSong_GB2312" w:cs="FangSong_GB2312"/>
          <w:color w:val="auto"/>
          <w:kern w:val="2"/>
          <w:sz w:val="30"/>
          <w:szCs w:val="30"/>
          <w:highlight w:val="none"/>
          <w:lang w:val="en-US" w:eastAsia="zh-CN"/>
        </w:rPr>
        <w:t>五</w:t>
      </w:r>
      <w:r>
        <w:rPr>
          <w:rFonts w:hint="eastAsia" w:ascii="FangSong_GB2312" w:hAnsi="FangSong_GB2312" w:eastAsia="FangSong_GB2312" w:cs="FangSong_GB2312"/>
          <w:color w:val="auto"/>
          <w:kern w:val="2"/>
          <w:sz w:val="30"/>
          <w:szCs w:val="30"/>
          <w:highlight w:val="none"/>
        </w:rPr>
        <w:t>次党政联席会议（</w:t>
      </w:r>
      <w:r>
        <w:rPr>
          <w:rFonts w:hint="eastAsia" w:ascii="FangSong_GB2312" w:hAnsi="FangSong_GB2312" w:eastAsia="FangSong_GB2312" w:cs="FangSong_GB2312"/>
          <w:color w:val="auto"/>
          <w:kern w:val="2"/>
          <w:sz w:val="30"/>
          <w:szCs w:val="30"/>
          <w:highlight w:val="none"/>
          <w:lang w:val="en-US" w:eastAsia="zh-CN"/>
        </w:rPr>
        <w:t>2026</w:t>
      </w:r>
      <w:r>
        <w:rPr>
          <w:rFonts w:hint="eastAsia" w:ascii="FangSong_GB2312" w:hAnsi="FangSong_GB2312" w:eastAsia="FangSong_GB2312" w:cs="FangSong_GB2312"/>
          <w:color w:val="auto"/>
          <w:kern w:val="2"/>
          <w:sz w:val="30"/>
          <w:szCs w:val="30"/>
          <w:highlight w:val="none"/>
        </w:rPr>
        <w:t>年</w:t>
      </w:r>
      <w:r>
        <w:rPr>
          <w:rFonts w:hint="eastAsia" w:ascii="FangSong_GB2312" w:hAnsi="FangSong_GB2312" w:eastAsia="FangSong_GB2312" w:cs="FangSong_GB2312"/>
          <w:color w:val="auto"/>
          <w:kern w:val="2"/>
          <w:sz w:val="30"/>
          <w:szCs w:val="30"/>
          <w:highlight w:val="none"/>
          <w:lang w:val="en-US" w:eastAsia="zh-CN"/>
        </w:rPr>
        <w:t>2</w:t>
      </w:r>
      <w:r>
        <w:rPr>
          <w:rFonts w:hint="eastAsia" w:ascii="FangSong_GB2312" w:hAnsi="FangSong_GB2312" w:eastAsia="FangSong_GB2312" w:cs="FangSong_GB2312"/>
          <w:color w:val="auto"/>
          <w:kern w:val="2"/>
          <w:sz w:val="30"/>
          <w:szCs w:val="30"/>
          <w:highlight w:val="none"/>
        </w:rPr>
        <w:t>月</w:t>
      </w:r>
      <w:r>
        <w:rPr>
          <w:rFonts w:hint="eastAsia" w:ascii="FangSong_GB2312" w:hAnsi="FangSong_GB2312" w:eastAsia="FangSong_GB2312" w:cs="FangSong_GB2312"/>
          <w:color w:val="auto"/>
          <w:kern w:val="2"/>
          <w:sz w:val="30"/>
          <w:szCs w:val="30"/>
          <w:highlight w:val="none"/>
          <w:lang w:val="en-US" w:eastAsia="zh-CN"/>
        </w:rPr>
        <w:t>25</w:t>
      </w:r>
      <w:r>
        <w:rPr>
          <w:rFonts w:hint="eastAsia" w:ascii="FangSong_GB2312" w:hAnsi="FangSong_GB2312" w:eastAsia="FangSong_GB2312" w:cs="FangSong_GB2312"/>
          <w:color w:val="auto"/>
          <w:kern w:val="2"/>
          <w:sz w:val="30"/>
          <w:szCs w:val="30"/>
          <w:highlight w:val="none"/>
        </w:rPr>
        <w:t>日）修订</w:t>
      </w:r>
    </w:p>
    <w:p w14:paraId="585BB5C5">
      <w:pPr>
        <w:autoSpaceDE w:val="0"/>
        <w:autoSpaceDN w:val="0"/>
        <w:adjustRightInd w:val="0"/>
        <w:spacing w:line="560" w:lineRule="exact"/>
        <w:jc w:val="center"/>
        <w:rPr>
          <w:rFonts w:ascii="FangSong_GB2312" w:hAnsi="Calibri" w:eastAsia="FangSong_GB2312"/>
          <w:kern w:val="0"/>
          <w:sz w:val="24"/>
        </w:rPr>
      </w:pPr>
    </w:p>
    <w:p w14:paraId="51591936">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第一章 总  则</w:t>
      </w:r>
    </w:p>
    <w:p w14:paraId="622913DE">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sz w:val="32"/>
          <w:szCs w:val="32"/>
        </w:rPr>
        <w:t>第一条</w:t>
      </w:r>
      <w:r>
        <w:rPr>
          <w:rFonts w:hint="eastAsia" w:ascii="FangSong_GB2312" w:hAnsi="FangSong_GB2312" w:eastAsia="FangSong_GB2312" w:cs="FangSong_GB2312"/>
          <w:sz w:val="32"/>
          <w:szCs w:val="32"/>
        </w:rPr>
        <w:t xml:space="preserve"> 为规范和加强清华大学深圳国际研究生院（以下简称学院）科研启动经费管理，提高经费使用效益，根据《深圳市高等学校特聘岗位和特支项目评聘实施细则》《深圳市高等学校新引进高精尖缺人才科研启动经费管理办法》（深教〔2023〕127号）等文件要求，结合学院实际，制定本办法。</w:t>
      </w:r>
    </w:p>
    <w:p w14:paraId="6AD0D82E">
      <w:pPr>
        <w:spacing w:line="560" w:lineRule="exact"/>
        <w:ind w:firstLine="643" w:firstLineChars="200"/>
        <w:rPr>
          <w:rFonts w:hint="eastAsia" w:ascii="FangSong_GB2312" w:hAnsi="宋体" w:eastAsia="FangSong_GB2312"/>
          <w:sz w:val="32"/>
          <w:szCs w:val="32"/>
        </w:rPr>
      </w:pPr>
      <w:r>
        <w:rPr>
          <w:rFonts w:hint="eastAsia" w:ascii="FangSong_GB2312" w:hAnsi="FangSong_GB2312" w:eastAsia="FangSong_GB2312" w:cs="FangSong_GB2312"/>
          <w:b/>
          <w:sz w:val="32"/>
          <w:szCs w:val="32"/>
          <w:lang w:eastAsia="zh-CN"/>
        </w:rPr>
        <w:t>第二条</w:t>
      </w:r>
      <w:r>
        <w:rPr>
          <w:rFonts w:hint="eastAsia" w:ascii="FangSong_GB2312" w:hAnsi="FangSong_GB2312" w:eastAsia="FangSong_GB2312" w:cs="FangSong_GB2312"/>
          <w:sz w:val="32"/>
          <w:szCs w:val="32"/>
          <w:lang w:eastAsia="zh-CN"/>
        </w:rPr>
        <w:t xml:space="preserve"> 设立科研启动经费旨在为学院新引进人才创造良好的科研环境，满足其开展科研的必要经费需求，并为争取国家、省、市各级项目创造条件</w:t>
      </w:r>
      <w:r>
        <w:rPr>
          <w:rFonts w:hint="eastAsia" w:ascii="FangSong_GB2312" w:hAnsi="FangSong_GB2312" w:eastAsia="FangSong_GB2312" w:cs="FangSong_GB2312"/>
          <w:sz w:val="32"/>
          <w:szCs w:val="32"/>
        </w:rPr>
        <w:t>。</w:t>
      </w:r>
    </w:p>
    <w:p w14:paraId="69023E44">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第二章 科研启动经费的资助对象和标准</w:t>
      </w:r>
    </w:p>
    <w:p w14:paraId="4084DA39">
      <w:pPr>
        <w:spacing w:line="560" w:lineRule="exact"/>
        <w:ind w:firstLine="643" w:firstLineChars="200"/>
        <w:rPr>
          <w:rFonts w:hint="eastAsia" w:ascii="FangSong_GB2312" w:hAnsi="FangSong_GB2312" w:eastAsia="FangSong_GB2312" w:cs="FangSong_GB2312"/>
          <w:strike/>
          <w:sz w:val="32"/>
          <w:szCs w:val="32"/>
          <w:highlight w:val="yellow"/>
        </w:rPr>
      </w:pPr>
      <w:r>
        <w:rPr>
          <w:rFonts w:hint="eastAsia" w:ascii="FangSong_GB2312" w:hAnsi="FangSong_GB2312" w:eastAsia="FangSong_GB2312" w:cs="FangSong_GB2312"/>
          <w:b/>
          <w:bCs/>
          <w:sz w:val="32"/>
          <w:szCs w:val="32"/>
          <w:lang w:eastAsia="zh-CN"/>
        </w:rPr>
        <w:t>第三条</w:t>
      </w:r>
      <w:r>
        <w:rPr>
          <w:rFonts w:hint="eastAsia" w:ascii="FangSong_GB2312" w:hAnsi="FangSong_GB2312" w:eastAsia="FangSong_GB2312" w:cs="FangSong_GB2312"/>
          <w:sz w:val="32"/>
          <w:szCs w:val="32"/>
          <w:lang w:eastAsia="zh-CN"/>
        </w:rPr>
        <w:t xml:space="preserve"> 本办法资助对象为学院新引进人才，原则上应为新引进全职教研系列教师</w:t>
      </w:r>
      <w:r>
        <w:rPr>
          <w:rFonts w:hint="eastAsia" w:ascii="FangSong_GB2312" w:hAnsi="FangSong_GB2312" w:eastAsia="FangSong_GB2312" w:cs="FangSong_GB2312"/>
          <w:sz w:val="32"/>
          <w:szCs w:val="32"/>
        </w:rPr>
        <w:t>或为2020年1月1日之后入职学院并获聘深圳市高等学校特聘岗位（签署全职特聘岗位合同）的新引进高精尖缺人才</w:t>
      </w:r>
      <w:r>
        <w:rPr>
          <w:rFonts w:hint="eastAsia" w:ascii="FangSong_GB2312" w:hAnsi="FangSong_GB2312" w:eastAsia="FangSong_GB2312" w:cs="FangSong_GB2312"/>
          <w:strike w:val="0"/>
          <w:sz w:val="32"/>
          <w:szCs w:val="32"/>
          <w:highlight w:val="none"/>
        </w:rPr>
        <w:t>。</w:t>
      </w:r>
    </w:p>
    <w:p w14:paraId="2AEC3D5D">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第四条</w:t>
      </w:r>
      <w:r>
        <w:rPr>
          <w:rFonts w:hint="eastAsia" w:ascii="FangSong_GB2312" w:hAnsi="FangSong_GB2312" w:eastAsia="FangSong_GB2312" w:cs="FangSong_GB2312"/>
          <w:sz w:val="32"/>
          <w:szCs w:val="32"/>
        </w:rPr>
        <w:t xml:space="preserve"> 市科研启动经费按工程技术、自然科学、人文社科与文化艺术三个领域分类支持，每个领域分为A、B、C 三档，分两个层次资助。具体标准为：</w:t>
      </w:r>
    </w:p>
    <w:p w14:paraId="256F82E2">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（一）A档、B档特聘岗位</w:t>
      </w:r>
    </w:p>
    <w:p w14:paraId="023EABF1">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1.工程技术领域科研启动费500万元；</w:t>
      </w:r>
    </w:p>
    <w:p w14:paraId="47DE628C">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2.自然科学领域科研启动费300万元；</w:t>
      </w:r>
    </w:p>
    <w:p w14:paraId="397782DB">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3.人文社科与文化艺术领域科研启动经费120万元。</w:t>
      </w:r>
    </w:p>
    <w:p w14:paraId="38E3D7E9">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（二）C档特聘岗位</w:t>
      </w:r>
    </w:p>
    <w:p w14:paraId="17DEE302">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1.工程技术领域科研启动费300万元；</w:t>
      </w:r>
    </w:p>
    <w:p w14:paraId="5CB783A4">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2.自然科学领域科研启动费200万元；</w:t>
      </w:r>
    </w:p>
    <w:p w14:paraId="07420219">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3.人文社科与文化艺术领域科研启动经费90万元。</w:t>
      </w:r>
    </w:p>
    <w:p w14:paraId="4E3B3146">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上述条款所需经费从深圳市财政安排的“高校新引进高端人才科研启动经费”中申请并给予一次性资助，不得重复申请。</w:t>
      </w:r>
    </w:p>
    <w:p w14:paraId="3BD365B0">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第三章 科研启动经费的使用期限和开支范围</w:t>
      </w:r>
    </w:p>
    <w:p w14:paraId="32DCD1A2">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五</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启动经费使用周期为项目建设年限，原则上不超过聘用合同期限（含续聘），最长不超过三年，以经费拨付的当月算起。深圳市财政拨款的科研启动经费只能在拨付年度起的三个日历年度内使用，且使用期限不超过聘用合同期限（含续聘）。使用周期结束时，结余经费收回。</w:t>
      </w:r>
    </w:p>
    <w:p w14:paraId="5C6307D8">
      <w:pPr>
        <w:spacing w:line="560" w:lineRule="exact"/>
        <w:ind w:right="65"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六</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科研启动经费使用范围包括设备费、科研材料及事务费、人力资源费以及其他费用，具体包括下列方面：</w:t>
      </w:r>
    </w:p>
    <w:p w14:paraId="5E30DB0F">
      <w:pPr>
        <w:spacing w:line="560" w:lineRule="exact"/>
        <w:ind w:right="90"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一）设备费：为开展科研工作购置或试制专用仪器设备，对现有仪器设备进行改造升级，以及租赁外单位仪器设备而发生的费用，计算类仪器设备和软件工具可在设备费科目列支。合理控制设备购置，鼓励开放共享、自主研制、租赁专用仪器设备以及对现有仪器设备进行升级改造，杜绝重复购置，减少闲置和浪费。</w:t>
      </w:r>
    </w:p>
    <w:p w14:paraId="1350B661">
      <w:pPr>
        <w:spacing w:line="560" w:lineRule="exact"/>
        <w:ind w:right="70"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（二）科研材料及事务费：材料费、测试化验加工费、 燃料动力费、出版/文献/信息传播/知识产权事务费等。</w:t>
      </w:r>
    </w:p>
    <w:p w14:paraId="1A71583E">
      <w:pPr>
        <w:spacing w:line="560" w:lineRule="exact"/>
        <w:ind w:right="124"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（三）人力资源费：劳务费、专家咨询费等，具体开支标准参照全市相关人员平均水平和具体工作任务确定。工程技术领域和自然科学领域人力资源费不超过资助经费总额度的30%, 人文社科与文化艺术领域人力资源费不超过资助经费总额度的50%。人力资源费不能用于发放学院正式聘用人员的个人薪酬。</w:t>
      </w:r>
    </w:p>
    <w:p w14:paraId="0953146C">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（四）其他费用：差旅费、会议费、国际合作与交流费、小额实验室装修改造费用等。</w:t>
      </w:r>
    </w:p>
    <w:p w14:paraId="53433B2A">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第四章 科研启动经费的申请和审批</w:t>
      </w:r>
    </w:p>
    <w:p w14:paraId="5541A27B">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七</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科研启动经费申报项目要体现系统性、创新性、前瞻性，学术意义较大，立论根据充分，研究目标明确，预期成果具体，研究方法和技术思路合理可行。</w:t>
      </w:r>
    </w:p>
    <w:p w14:paraId="71FFCF04">
      <w:pPr>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第</w:t>
      </w:r>
      <w:r>
        <w:rPr>
          <w:rFonts w:hint="eastAsia" w:ascii="FangSong_GB2312" w:hAnsi="FangSong_GB2312" w:eastAsia="FangSong_GB2312" w:cs="FangSong_GB2312"/>
          <w:b/>
          <w:bCs/>
          <w:sz w:val="32"/>
          <w:szCs w:val="32"/>
          <w:lang w:val="en-US" w:eastAsia="zh-CN"/>
        </w:rPr>
        <w:t>八</w:t>
      </w:r>
      <w:r>
        <w:rPr>
          <w:rFonts w:hint="eastAsia" w:ascii="FangSong_GB2312" w:hAnsi="FangSong_GB2312" w:eastAsia="FangSong_GB2312" w:cs="FangSong_GB2312"/>
          <w:b/>
          <w:bCs/>
          <w:sz w:val="32"/>
          <w:szCs w:val="32"/>
          <w:lang w:eastAsia="zh-CN"/>
        </w:rPr>
        <w:t>条</w:t>
      </w:r>
      <w:r>
        <w:rPr>
          <w:rFonts w:hint="eastAsia" w:ascii="FangSong_GB2312" w:hAnsi="FangSong_GB2312" w:eastAsia="FangSong_GB2312" w:cs="FangSong_GB2312"/>
          <w:sz w:val="32"/>
          <w:szCs w:val="32"/>
          <w:lang w:eastAsia="zh-CN"/>
        </w:rPr>
        <w:t xml:space="preserve"> 预算编制：在编制年度部门预算时，</w:t>
      </w:r>
      <w:r>
        <w:rPr>
          <w:rFonts w:hint="eastAsia" w:ascii="FangSong_GB2312" w:hAnsi="FangSong_GB2312" w:eastAsia="FangSong_GB2312" w:cs="FangSong_GB2312"/>
          <w:color w:val="auto"/>
          <w:sz w:val="32"/>
          <w:szCs w:val="32"/>
          <w:lang w:eastAsia="zh-CN"/>
        </w:rPr>
        <w:t>人事办公室（以下简称人事办）</w:t>
      </w:r>
      <w:r>
        <w:rPr>
          <w:rFonts w:hint="eastAsia" w:ascii="FangSong_GB2312" w:hAnsi="FangSong_GB2312" w:eastAsia="FangSong_GB2312" w:cs="FangSong_GB2312"/>
          <w:sz w:val="32"/>
          <w:szCs w:val="32"/>
          <w:lang w:eastAsia="zh-CN"/>
        </w:rPr>
        <w:t>根据当年度引才情况、各内设教学科研机构下一年度引才计划、深圳市高等学校特聘岗位评聘情况，编报下一年度科研启动经费预算及三年规划额度。科研处根据</w:t>
      </w:r>
      <w:r>
        <w:rPr>
          <w:rFonts w:hint="eastAsia" w:ascii="FangSong_GB2312" w:hAnsi="FangSong_GB2312" w:eastAsia="FangSong_GB2312" w:cs="FangSong_GB2312"/>
          <w:sz w:val="32"/>
          <w:szCs w:val="32"/>
        </w:rPr>
        <w:t>人才引进计划和年度预算额度编报绩效目标，需明确基本要求。财务办公室（以下简称财务办）在财政系统中申报市科研启动经费的年度预算和绩效目标</w:t>
      </w:r>
      <w:r>
        <w:rPr>
          <w:rFonts w:hint="eastAsia" w:ascii="FangSong_GB2312" w:hAnsi="FangSong_GB2312" w:eastAsia="FangSong_GB2312" w:cs="FangSong_GB2312"/>
          <w:strike w:val="0"/>
          <w:sz w:val="32"/>
          <w:szCs w:val="32"/>
          <w:highlight w:val="none"/>
          <w:lang w:eastAsia="zh-CN"/>
        </w:rPr>
        <w:t>。</w:t>
      </w:r>
    </w:p>
    <w:p w14:paraId="7DB5CCF4">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九</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个人申请：新引进人才根据开展科研工作的实际需要</w:t>
      </w:r>
      <w:r>
        <w:rPr>
          <w:rFonts w:hint="eastAsia" w:ascii="FangSong_GB2312" w:hAnsi="FangSong_GB2312" w:eastAsia="FangSong_GB2312" w:cs="FangSong_GB2312"/>
          <w:sz w:val="32"/>
          <w:szCs w:val="32"/>
          <w:lang w:eastAsia="zh-CN"/>
        </w:rPr>
        <w:t>，</w:t>
      </w:r>
      <w:r>
        <w:rPr>
          <w:rFonts w:hint="eastAsia" w:ascii="FangSong_GB2312" w:hAnsi="FangSong_GB2312" w:eastAsia="FangSong_GB2312" w:cs="FangSong_GB2312"/>
          <w:sz w:val="32"/>
          <w:szCs w:val="32"/>
        </w:rPr>
        <w:t>以科研项目的形式填写《清华大学深圳国际研究生院科研启动经费申请书》，提出工作任务与目标（编制可考核可量化的项目分年度阶段性目标，并与项目整体预期成果保持一致），在资助标准内，根据实际需要申请科研启动经费额度、编制分年使用预算。新引进人才将《清华大学深圳国际研究生院科研启动经费申请书》提交所在学科领域负责人，所在学科领域按资助标准，结合本单位的教学、科研及学科建设等情况签署意见后，将全套申请材料报人事办、科研处和财务办审核。</w:t>
      </w:r>
    </w:p>
    <w:p w14:paraId="42849A43">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第十条</w:t>
      </w:r>
      <w:r>
        <w:rPr>
          <w:rFonts w:hint="eastAsia" w:ascii="FangSong_GB2312" w:hAnsi="FangSong_GB2312" w:eastAsia="FangSong_GB2312" w:cs="FangSong_GB2312"/>
          <w:sz w:val="32"/>
          <w:szCs w:val="32"/>
        </w:rPr>
        <w:t xml:space="preserve"> 职能部门审核：人事办会同科研处、财务办对引进人才的科研启动经费申请进行审核。人事办审核并确认新引进人才的深圳市高等学校特聘岗位评聘情况（含预评审情况）、支持额度、经费来源（财政拨款或院内拨款）、合同聘期、聘用职务、到岗情况、科研启动经费上限等；科研处审核项目建设的目标、内容、绩效目标、项目执行期；财务办审核经费预算情况。</w:t>
      </w:r>
    </w:p>
    <w:p w14:paraId="2EB1BF7A">
      <w:pPr>
        <w:spacing w:line="560" w:lineRule="exact"/>
        <w:ind w:firstLine="640" w:firstLineChars="200"/>
        <w:rPr>
          <w:rFonts w:hint="eastAsia" w:ascii="FangSong_GB2312" w:hAnsi="FangSong_GB2312" w:eastAsia="FangSong_GB2312" w:cs="FangSong_GB2312"/>
          <w:strike/>
          <w:sz w:val="32"/>
          <w:szCs w:val="32"/>
          <w:highlight w:val="yellow"/>
        </w:rPr>
      </w:pPr>
      <w:r>
        <w:rPr>
          <w:rFonts w:hint="eastAsia" w:ascii="FangSong_GB2312" w:hAnsi="FangSong_GB2312" w:eastAsia="FangSong_GB2312" w:cs="FangSong_GB2312"/>
          <w:sz w:val="32"/>
          <w:szCs w:val="32"/>
        </w:rPr>
        <w:t>职能部门审核通过后，人事办将审核结果知会科研处，由科研处负责在院内进行公示，公示期不少于5个工作日。经公示无异议后，由科研处、人事办分别报相关主管院领导进行审批。</w:t>
      </w:r>
    </w:p>
    <w:p w14:paraId="740B7353">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一</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组织立项：审批通过后由科研处发起立项，通知获批人员在科研系统完成立项及开始组织实施相关科研项目、完成项目编号的编制，并知会财务办和人事办，财务办对已立项项目进行拨款。 </w:t>
      </w:r>
    </w:p>
    <w:p w14:paraId="76542658">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第五章 科研启动经费的使用和管理</w:t>
      </w:r>
    </w:p>
    <w:p w14:paraId="145221C2">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二</w:t>
      </w:r>
      <w:r>
        <w:rPr>
          <w:rFonts w:hint="eastAsia" w:ascii="FangSong_GB2312" w:hAnsi="FangSong_GB2312" w:eastAsia="FangSong_GB2312" w:cs="FangSong_GB2312"/>
          <w:b/>
          <w:bCs/>
          <w:sz w:val="32"/>
          <w:szCs w:val="32"/>
        </w:rPr>
        <w:t xml:space="preserve">条 </w:t>
      </w:r>
      <w:bookmarkStart w:id="0" w:name="OLE_LINK1"/>
      <w:r>
        <w:rPr>
          <w:rFonts w:hint="eastAsia" w:ascii="FangSong_GB2312" w:hAnsi="FangSong_GB2312" w:eastAsia="FangSong_GB2312" w:cs="FangSong_GB2312"/>
          <w:sz w:val="32"/>
          <w:szCs w:val="32"/>
        </w:rPr>
        <w:t>科研启动经费实行学科负责人和项目责任人双人负责制。新引进人才作为项目负责人，负责编制项目立项申请、经费预算，并按规定使用经费；按规定及时办理项目结题及结账手续，并对经费使用的真实性、有效性</w:t>
      </w:r>
      <w:bookmarkStart w:id="1" w:name="OLE_LINK10"/>
      <w:r>
        <w:rPr>
          <w:rFonts w:hint="eastAsia" w:ascii="FangSong_GB2312" w:hAnsi="FangSong_GB2312" w:eastAsia="FangSong_GB2312" w:cs="FangSong_GB2312"/>
          <w:sz w:val="32"/>
          <w:szCs w:val="32"/>
        </w:rPr>
        <w:t>承担经济与法律责任</w:t>
      </w:r>
      <w:bookmarkEnd w:id="1"/>
      <w:r>
        <w:rPr>
          <w:rFonts w:hint="eastAsia" w:ascii="FangSong_GB2312" w:hAnsi="FangSong_GB2312" w:eastAsia="FangSong_GB2312" w:cs="FangSong_GB2312"/>
          <w:sz w:val="32"/>
          <w:szCs w:val="32"/>
        </w:rPr>
        <w:t>。</w:t>
      </w:r>
    </w:p>
    <w:p w14:paraId="154FED17">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学科负责人承担共同管理责任，接受学院相关职能部门的检查与监督。</w:t>
      </w:r>
    </w:p>
    <w:bookmarkEnd w:id="0"/>
    <w:p w14:paraId="36474D38">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三</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科研处负责项目的统筹管理，包括项目申请审核、结题审核等项目跟踪管理及绩效评价工作。</w:t>
      </w:r>
    </w:p>
    <w:p w14:paraId="686A2A38">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四</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人事办负责汇总科研启动经费年度预算需求，向深圳市教育局申报科研启动经费年度预算；财务办负责教师经费预算编报及调整的指导与审核、经费使用及支出进度的监督检查；人事办、财务办配合科研处做好科研启动项目的跟踪管理和绩效评价工作。</w:t>
      </w:r>
    </w:p>
    <w:p w14:paraId="5087D470">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lang w:eastAsia="zh-CN"/>
        </w:rPr>
        <w:t>第十</w:t>
      </w:r>
      <w:r>
        <w:rPr>
          <w:rFonts w:hint="eastAsia" w:ascii="FangSong_GB2312" w:hAnsi="FangSong_GB2312" w:eastAsia="FangSong_GB2312" w:cs="FangSong_GB2312"/>
          <w:b/>
          <w:bCs/>
          <w:sz w:val="32"/>
          <w:szCs w:val="32"/>
          <w:lang w:val="en-US" w:eastAsia="zh-CN"/>
        </w:rPr>
        <w:t>五</w:t>
      </w:r>
      <w:r>
        <w:rPr>
          <w:rFonts w:hint="eastAsia" w:ascii="FangSong_GB2312" w:hAnsi="FangSong_GB2312" w:eastAsia="FangSong_GB2312" w:cs="FangSong_GB2312"/>
          <w:b/>
          <w:bCs/>
          <w:sz w:val="32"/>
          <w:szCs w:val="32"/>
          <w:lang w:eastAsia="zh-CN"/>
        </w:rPr>
        <w:t xml:space="preserve">条 </w:t>
      </w:r>
      <w:r>
        <w:rPr>
          <w:rFonts w:hint="eastAsia" w:ascii="FangSong_GB2312" w:hAnsi="FangSong_GB2312" w:eastAsia="FangSong_GB2312" w:cs="FangSong_GB2312"/>
          <w:sz w:val="32"/>
          <w:szCs w:val="32"/>
          <w:lang w:eastAsia="zh-CN"/>
        </w:rPr>
        <w:t>科研启动经费项目一经批准，应当按计划执行，不得随意变更研究内容；如因客观条件发生变化，确需调整、改变计划、</w:t>
      </w:r>
      <w:r>
        <w:rPr>
          <w:rFonts w:hint="eastAsia" w:ascii="FangSong_GB2312" w:hAnsi="FangSong_GB2312" w:eastAsia="FangSong_GB2312" w:cs="FangSong_GB2312"/>
          <w:sz w:val="32"/>
          <w:szCs w:val="32"/>
        </w:rPr>
        <w:t>延长项目执行期时，应由项目负责人于项目执行期结束前30日填写项目变更申请表，变更后项目所需经费增加的不予增补，所需经费减少的应予调减收回，延期后的项目执行期应不超过3年，且只允许延期1次，所在各学科领域负责人签署意见，经科研处审核并报</w:t>
      </w:r>
      <w:r>
        <w:rPr>
          <w:rFonts w:hint="eastAsia" w:ascii="FangSong_GB2312" w:hAnsi="FangSong_GB2312" w:eastAsia="FangSong_GB2312" w:cs="FangSong_GB2312"/>
          <w:sz w:val="32"/>
          <w:szCs w:val="32"/>
          <w:highlight w:val="none"/>
        </w:rPr>
        <w:t>分管科研工作院领导</w:t>
      </w:r>
      <w:r>
        <w:rPr>
          <w:rFonts w:hint="eastAsia" w:ascii="FangSong_GB2312" w:hAnsi="FangSong_GB2312" w:eastAsia="FangSong_GB2312" w:cs="FangSong_GB2312"/>
          <w:sz w:val="32"/>
          <w:szCs w:val="32"/>
        </w:rPr>
        <w:t>审批，报财务办备案后方可予以调整。若项目执行期为3年，则不予延期。</w:t>
      </w:r>
    </w:p>
    <w:p w14:paraId="05EDBA3D">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六</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新引进人才的科研启动经费的使用和管理应遵循深圳市及学院相关财务管理制度，严格按照使用范围列支。项目正常结题或非正常中止，项目负责人需接受对该项目的检查或审计。</w:t>
      </w:r>
    </w:p>
    <w:p w14:paraId="0C0E58B5">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第十</w:t>
      </w:r>
      <w:r>
        <w:rPr>
          <w:rFonts w:hint="eastAsia" w:ascii="FangSong_GB2312" w:hAnsi="FangSong_GB2312" w:eastAsia="FangSong_GB2312" w:cs="FangSong_GB2312"/>
          <w:b/>
          <w:bCs/>
          <w:sz w:val="32"/>
          <w:szCs w:val="32"/>
          <w:lang w:val="en-US" w:eastAsia="zh-CN"/>
        </w:rPr>
        <w:t>七</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使用科研启动经费所形成的固定资产（含科研图书资料）、无形资产等按照国家有关规定纳入学院资产管理范围，统筹安排，合理使用，认真维护。</w:t>
      </w:r>
    </w:p>
    <w:p w14:paraId="1D6DC11E">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十八</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科研启动经费项目成果的知识产权属于学院，发表的论文、著作以及获得的专利、奖励等科研成果必须注明所在单位“清华大学深圳国际研究生院”。未标注或标注错误的，不作为项目结题依据。</w:t>
      </w:r>
    </w:p>
    <w:p w14:paraId="16965991">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w:t>
      </w:r>
      <w:r>
        <w:rPr>
          <w:rFonts w:hint="eastAsia" w:ascii="FangSong_GB2312" w:hAnsi="FangSong_GB2312" w:eastAsia="FangSong_GB2312" w:cs="FangSong_GB2312"/>
          <w:b/>
          <w:bCs/>
          <w:sz w:val="32"/>
          <w:szCs w:val="32"/>
          <w:lang w:val="en-US" w:eastAsia="zh-CN"/>
        </w:rPr>
        <w:t>十九</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使用科研启动经费涉及政府采购和招投标事项，按《深圳经济特区政府采购条例》和学院有关规定执行。</w:t>
      </w:r>
    </w:p>
    <w:p w14:paraId="300E49A2">
      <w:pPr>
        <w:spacing w:line="560" w:lineRule="exact"/>
        <w:ind w:firstLine="643" w:firstLineChars="200"/>
        <w:jc w:val="left"/>
        <w:rPr>
          <w:rFonts w:hint="eastAsia" w:ascii="黑体" w:hAnsi="黑体" w:eastAsia="黑体" w:cs="黑体"/>
          <w:bCs/>
          <w:kern w:val="0"/>
          <w:sz w:val="32"/>
          <w:szCs w:val="32"/>
        </w:rPr>
      </w:pPr>
      <w:r>
        <w:rPr>
          <w:rFonts w:hint="eastAsia" w:ascii="FangSong_GB2312" w:hAnsi="FangSong_GB2312" w:eastAsia="FangSong_GB2312" w:cs="FangSong_GB2312"/>
          <w:b/>
          <w:bCs/>
          <w:sz w:val="32"/>
          <w:szCs w:val="32"/>
        </w:rPr>
        <w:t>第二十条</w:t>
      </w:r>
      <w:r>
        <w:rPr>
          <w:rFonts w:hint="eastAsia" w:ascii="FangSong_GB2312" w:hAnsi="FangSong_GB2312" w:eastAsia="FangSong_GB2312" w:cs="FangSong_GB2312"/>
          <w:sz w:val="32"/>
          <w:szCs w:val="32"/>
        </w:rPr>
        <w:t xml:space="preserve"> 项目执行期间，项目负责人调离学院或因其他非正常情况不能继续执行时，经科研处按程序报分管科研工作院领导批准后，由财务办将未使用完的经费收回。</w:t>
      </w:r>
    </w:p>
    <w:p w14:paraId="603B7BCB">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第六章 科研启动经费的检查和监督</w:t>
      </w:r>
    </w:p>
    <w:p w14:paraId="2C6D2642">
      <w:pPr>
        <w:tabs>
          <w:tab w:val="left" w:pos="730"/>
        </w:tabs>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一</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科研启动经费专款专用，不得用于与科研无关的事宜或挪作他用。对于违反管理规定者，停止经费使用并退回部分或全部经费。对于违反财政法规的行为将依法追究相关责任人的法律责任。</w:t>
      </w:r>
    </w:p>
    <w:p w14:paraId="72617C27">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二</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科研处负责定期对科研启动经费项目实施情况进行绩效考核和评价，及时纠正存在的问题，新引进人才存在特殊情形的，应在1个月内将有关情况报送市教育局、市财政局，并按照以下方式处理：</w:t>
      </w:r>
    </w:p>
    <w:p w14:paraId="20E4DDA1">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（一）新引进人才更换工作单位的，应将剩余科研启动经费退回。</w:t>
      </w:r>
    </w:p>
    <w:p w14:paraId="07172DE7">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（二）新引进人才在各类考核中出现不合格或者其他重大问题的，终止科研启动经费支持，将剩余经费退回。</w:t>
      </w:r>
    </w:p>
    <w:p w14:paraId="1F48A42D">
      <w:pPr>
        <w:spacing w:line="560" w:lineRule="exact"/>
        <w:ind w:firstLine="640"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（三）新引进人才存在违背科研伦理、弄虚作假、学术不端等严重违反职业道德行为的，或因严重违法被依法追究刑事责任的，应退回科研启动经费，按照有关规定予以处理。</w:t>
      </w:r>
    </w:p>
    <w:p w14:paraId="40CF2119">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三</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资助期间及资助期满后，申请人应向学科领域及学院报告项目研究及经费使用情况。</w:t>
      </w:r>
    </w:p>
    <w:p w14:paraId="6535923F">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四</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项目执行期结束后的三个月内，由项目负责人提交项目结题资料交学科领域负责人审核后，由科研处将该项目完成情况、项目绩效自评等有关材料保存备查，项目结余资金由财务办收回。</w:t>
      </w:r>
    </w:p>
    <w:p w14:paraId="1E005B4A">
      <w:pPr>
        <w:spacing w:line="560" w:lineRule="exact"/>
        <w:ind w:firstLine="643" w:firstLineChars="200"/>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五</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项目负责人、学科领域须会同学院自觉接受并积极配合市财政、审计、纪检监察部门的检查和监督。</w:t>
      </w:r>
    </w:p>
    <w:p w14:paraId="38303A87">
      <w:pPr>
        <w:spacing w:line="560" w:lineRule="exact"/>
        <w:ind w:firstLine="643" w:firstLineChars="200"/>
        <w:rPr>
          <w:rFonts w:hint="eastAsia" w:ascii="FangSong_GB2312" w:hAnsi="方正仿宋_GB2312" w:eastAsia="FangSong_GB2312" w:cs="方正仿宋_GB2312"/>
          <w:sz w:val="32"/>
          <w:szCs w:val="32"/>
          <w:highlight w:val="none"/>
        </w:rPr>
      </w:pPr>
      <w:r>
        <w:rPr>
          <w:rFonts w:hint="eastAsia" w:ascii="FangSong_GB2312" w:hAnsi="FangSong_GB2312" w:eastAsia="FangSong_GB2312" w:cs="FangSong_GB2312"/>
          <w:b/>
          <w:bCs/>
          <w:sz w:val="32"/>
          <w:szCs w:val="32"/>
        </w:rPr>
        <w:t>第二十</w:t>
      </w:r>
      <w:r>
        <w:rPr>
          <w:rFonts w:hint="eastAsia" w:ascii="FangSong_GB2312" w:hAnsi="FangSong_GB2312" w:eastAsia="FangSong_GB2312" w:cs="FangSong_GB2312"/>
          <w:b/>
          <w:bCs/>
          <w:sz w:val="32"/>
          <w:szCs w:val="32"/>
          <w:lang w:val="en-US" w:eastAsia="zh-CN"/>
        </w:rPr>
        <w:t>六</w:t>
      </w:r>
      <w:r>
        <w:rPr>
          <w:rFonts w:hint="eastAsia" w:ascii="FangSong_GB2312" w:hAnsi="FangSong_GB2312" w:eastAsia="FangSong_GB2312" w:cs="FangSong_GB2312"/>
          <w:b/>
          <w:bCs/>
          <w:sz w:val="32"/>
          <w:szCs w:val="32"/>
        </w:rPr>
        <w:t>条</w:t>
      </w:r>
      <w:r>
        <w:rPr>
          <w:rFonts w:hint="eastAsia" w:ascii="FangSong_GB2312" w:hAnsi="FangSong_GB2312" w:eastAsia="FangSong_GB2312" w:cs="FangSong_GB2312"/>
          <w:sz w:val="32"/>
          <w:szCs w:val="32"/>
        </w:rPr>
        <w:t xml:space="preserve"> 本办法未尽事宜，参照《深圳市高等学校新引进高精尖缺人才科研启动经费管理办法》等有关规定执行。</w:t>
      </w:r>
      <w:r>
        <w:rPr>
          <w:rStyle w:val="13"/>
          <w:rFonts w:hint="eastAsia" w:ascii="FangSong_GB2312" w:eastAsia="FangSong_GB2312" w:hAnsiTheme="minorHAnsi" w:cstheme="minorBidi"/>
          <w:sz w:val="32"/>
          <w:szCs w:val="32"/>
          <w:highlight w:val="none"/>
        </w:rPr>
        <w:t>在实施过程中，如深圳市出台新的科研启动经费管理办法，从其规定。</w:t>
      </w:r>
    </w:p>
    <w:p w14:paraId="2D422F47">
      <w:pPr>
        <w:spacing w:line="560" w:lineRule="exact"/>
        <w:ind w:firstLine="0" w:firstLineChars="0"/>
        <w:jc w:val="center"/>
        <w:rPr>
          <w:rFonts w:hint="eastAsia" w:ascii="黑体" w:hAnsi="黑体" w:eastAsia="黑体" w:cs="黑体"/>
          <w:bCs/>
          <w:kern w:val="0"/>
          <w:sz w:val="32"/>
          <w:szCs w:val="32"/>
        </w:rPr>
      </w:pPr>
      <w:r>
        <w:rPr>
          <w:rFonts w:hint="eastAsia" w:ascii="黑体" w:hAnsi="黑体" w:eastAsia="黑体" w:cs="黑体"/>
          <w:bCs/>
          <w:kern w:val="0"/>
          <w:sz w:val="32"/>
          <w:szCs w:val="32"/>
        </w:rPr>
        <w:t>第七章 附  则</w:t>
      </w:r>
    </w:p>
    <w:p w14:paraId="5BEEF171">
      <w:pPr>
        <w:pStyle w:val="4"/>
        <w:spacing w:line="560" w:lineRule="exact"/>
        <w:ind w:firstLine="643" w:firstLineChars="200"/>
        <w:rPr>
          <w:rFonts w:hint="eastAsia" w:ascii="FangSong_GB2312" w:hAnsi="FangSong_GB2312" w:eastAsia="FangSong_GB2312" w:cs="FangSong_GB2312"/>
          <w:kern w:val="2"/>
          <w:sz w:val="32"/>
          <w:szCs w:val="32"/>
        </w:rPr>
      </w:pPr>
      <w:r>
        <w:rPr>
          <w:rFonts w:hint="eastAsia" w:ascii="FangSong_GB2312" w:hAnsi="FangSong_GB2312" w:eastAsia="FangSong_GB2312" w:cs="FangSong_GB2312"/>
          <w:b/>
          <w:bCs/>
          <w:kern w:val="2"/>
          <w:sz w:val="32"/>
          <w:szCs w:val="32"/>
        </w:rPr>
        <w:t>第二十</w:t>
      </w:r>
      <w:r>
        <w:rPr>
          <w:rFonts w:hint="eastAsia" w:ascii="FangSong_GB2312" w:hAnsi="FangSong_GB2312" w:eastAsia="FangSong_GB2312" w:cs="FangSong_GB2312"/>
          <w:b/>
          <w:bCs/>
          <w:kern w:val="2"/>
          <w:sz w:val="32"/>
          <w:szCs w:val="32"/>
          <w:lang w:val="en-US" w:eastAsia="zh-CN"/>
        </w:rPr>
        <w:t>七</w:t>
      </w:r>
      <w:r>
        <w:rPr>
          <w:rFonts w:hint="eastAsia" w:ascii="FangSong_GB2312" w:hAnsi="FangSong_GB2312" w:eastAsia="FangSong_GB2312" w:cs="FangSong_GB2312"/>
          <w:b/>
          <w:bCs/>
          <w:kern w:val="2"/>
          <w:sz w:val="32"/>
          <w:szCs w:val="32"/>
        </w:rPr>
        <w:t>条</w:t>
      </w:r>
      <w:r>
        <w:rPr>
          <w:rFonts w:hint="eastAsia" w:ascii="FangSong_GB2312" w:hAnsi="FangSong_GB2312" w:eastAsia="FangSong_GB2312" w:cs="FangSong_GB2312"/>
          <w:kern w:val="2"/>
          <w:sz w:val="32"/>
          <w:szCs w:val="32"/>
        </w:rPr>
        <w:t xml:space="preserve"> 本办法由人事办会同科研处、财务办负责解释。</w:t>
      </w:r>
    </w:p>
    <w:p w14:paraId="0950E80D">
      <w:pPr>
        <w:pStyle w:val="4"/>
        <w:spacing w:line="560" w:lineRule="exact"/>
        <w:ind w:firstLine="643" w:firstLineChars="200"/>
        <w:rPr>
          <w:rFonts w:hint="default" w:ascii="FangSong_GB2312" w:hAnsi="FangSong_GB2312" w:cs="FangSong_GB2312" w:eastAsiaTheme="minorEastAsia"/>
          <w:kern w:val="2"/>
          <w:sz w:val="32"/>
          <w:szCs w:val="32"/>
          <w:highlight w:val="yellow"/>
          <w:lang w:val="en-US" w:eastAsia="zh-CN"/>
        </w:rPr>
      </w:pPr>
      <w:r>
        <w:rPr>
          <w:rFonts w:hint="eastAsia" w:ascii="FangSong_GB2312" w:hAnsi="FangSong_GB2312" w:eastAsia="FangSong_GB2312" w:cs="FangSong_GB2312"/>
          <w:b/>
          <w:bCs/>
          <w:sz w:val="32"/>
          <w:szCs w:val="32"/>
          <w:highlight w:val="none"/>
        </w:rPr>
        <w:t>第</w:t>
      </w:r>
      <w:r>
        <w:rPr>
          <w:rFonts w:hint="eastAsia" w:ascii="FangSong_GB2312" w:hAnsi="FangSong_GB2312" w:eastAsia="FangSong_GB2312" w:cs="FangSong_GB2312"/>
          <w:b/>
          <w:bCs/>
          <w:sz w:val="32"/>
          <w:szCs w:val="32"/>
          <w:highlight w:val="none"/>
          <w:lang w:val="en-US" w:eastAsia="zh-CN"/>
        </w:rPr>
        <w:t>二十八</w:t>
      </w:r>
      <w:r>
        <w:rPr>
          <w:rFonts w:hint="eastAsia" w:ascii="FangSong_GB2312" w:hAnsi="FangSong_GB2312" w:eastAsia="FangSong_GB2312" w:cs="FangSong_GB2312"/>
          <w:b/>
          <w:bCs/>
          <w:sz w:val="32"/>
          <w:szCs w:val="32"/>
          <w:highlight w:val="none"/>
        </w:rPr>
        <w:t xml:space="preserve">条 </w:t>
      </w:r>
      <w:r>
        <w:rPr>
          <w:rFonts w:hint="eastAsia" w:ascii="FangSong_GB2312" w:hAnsi="FangSong_GB2312" w:eastAsia="FangSong_GB2312" w:cs="FangSong_GB2312"/>
          <w:kern w:val="2"/>
          <w:sz w:val="32"/>
          <w:szCs w:val="32"/>
          <w:highlight w:val="none"/>
        </w:rPr>
        <w:t>本办法自公布之日起</w:t>
      </w:r>
      <w:r>
        <w:rPr>
          <w:rFonts w:hint="eastAsia" w:ascii="FangSong_GB2312" w:hAnsi="FangSong_GB2312" w:eastAsia="FangSong_GB2312" w:cs="FangSong_GB2312"/>
          <w:kern w:val="2"/>
          <w:sz w:val="32"/>
          <w:szCs w:val="32"/>
          <w:highlight w:val="none"/>
          <w:lang w:val="en-US" w:eastAsia="zh-CN"/>
        </w:rPr>
        <w:t>施行。</w:t>
      </w:r>
    </w:p>
    <w:p w14:paraId="7B61657C">
      <w:pPr>
        <w:pStyle w:val="4"/>
        <w:spacing w:line="560" w:lineRule="exact"/>
        <w:ind w:firstLine="640" w:firstLineChars="200"/>
        <w:rPr>
          <w:rFonts w:hint="eastAsia" w:ascii="FangSong_GB2312" w:hAnsi="方正仿宋_GB2312" w:eastAsia="FangSong_GB2312" w:cs="方正仿宋_GB2312"/>
          <w:sz w:val="32"/>
          <w:szCs w:val="32"/>
          <w:highlight w:val="none"/>
        </w:rPr>
      </w:pPr>
    </w:p>
    <w:sectPr>
      <w:footerReference r:id="rId3" w:type="default"/>
      <w:pgSz w:w="11906" w:h="16838"/>
      <w:pgMar w:top="2098"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5CAFB3-755E-4577-B594-DAF5DB45B2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D88D23F-124D-49B5-AC1D-57B4AEE1C28C}"/>
  </w:font>
  <w:font w:name="等线">
    <w:panose1 w:val="02010600030101010101"/>
    <w:charset w:val="86"/>
    <w:family w:val="auto"/>
    <w:pitch w:val="default"/>
    <w:sig w:usb0="A00002BF" w:usb1="38CF7CFA" w:usb2="00000016" w:usb3="00000000" w:csb0="0004000F" w:csb1="00000000"/>
    <w:embedRegular r:id="rId3" w:fontKey="{BC8E7D11-2FD2-494C-9628-5D692596EB9C}"/>
  </w:font>
  <w:font w:name="Verdana">
    <w:panose1 w:val="020B0604030504040204"/>
    <w:charset w:val="00"/>
    <w:family w:val="swiss"/>
    <w:pitch w:val="default"/>
    <w:sig w:usb0="A00006FF" w:usb1="4000205B" w:usb2="00000010" w:usb3="00000000" w:csb0="2000019F" w:csb1="00000000"/>
  </w:font>
  <w:font w:name="FangSong_GB2312">
    <w:altName w:val="仿宋_GB2312"/>
    <w:panose1 w:val="02010609030101010101"/>
    <w:charset w:val="86"/>
    <w:family w:val="modern"/>
    <w:pitch w:val="default"/>
    <w:sig w:usb0="00000000" w:usb1="00000000" w:usb2="00000000" w:usb3="00000000" w:csb0="00040000" w:csb1="00000000"/>
    <w:embedRegular r:id="rId4" w:fontKey="{5B87B4F7-64A0-48B9-97B9-023DD9A3F328}"/>
  </w:font>
  <w:font w:name="仿宋_GB2312">
    <w:panose1 w:val="02010609030101010101"/>
    <w:charset w:val="86"/>
    <w:family w:val="auto"/>
    <w:pitch w:val="default"/>
    <w:sig w:usb0="00000001" w:usb1="080E0000" w:usb2="00000000" w:usb3="00000000" w:csb0="00040000" w:csb1="00000000"/>
    <w:embedRegular r:id="rId5" w:fontKey="{4CA8C810-4EC0-499C-8F10-9770F68EAEE1}"/>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6" w:fontKey="{47B39ADC-B700-469E-9300-C8AC1825AE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C708">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00D34">
                          <w:pPr>
                            <w:pStyle w:val="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500D34">
                    <w:pPr>
                      <w:pStyle w:val="6"/>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B99"/>
    <w:rsid w:val="00000E7A"/>
    <w:rsid w:val="000054C3"/>
    <w:rsid w:val="00005C56"/>
    <w:rsid w:val="0001294F"/>
    <w:rsid w:val="0002572D"/>
    <w:rsid w:val="00026179"/>
    <w:rsid w:val="000506A0"/>
    <w:rsid w:val="00052D57"/>
    <w:rsid w:val="00060B40"/>
    <w:rsid w:val="000716AD"/>
    <w:rsid w:val="00074CBF"/>
    <w:rsid w:val="00082B22"/>
    <w:rsid w:val="00083024"/>
    <w:rsid w:val="00084F78"/>
    <w:rsid w:val="00087110"/>
    <w:rsid w:val="00092090"/>
    <w:rsid w:val="000A09A9"/>
    <w:rsid w:val="000A1956"/>
    <w:rsid w:val="000A3B04"/>
    <w:rsid w:val="000A6563"/>
    <w:rsid w:val="000A6894"/>
    <w:rsid w:val="000A7276"/>
    <w:rsid w:val="000A7A18"/>
    <w:rsid w:val="000B2FA1"/>
    <w:rsid w:val="000B7FD3"/>
    <w:rsid w:val="000C1FE2"/>
    <w:rsid w:val="000C4865"/>
    <w:rsid w:val="000C6213"/>
    <w:rsid w:val="000C695F"/>
    <w:rsid w:val="000D10F3"/>
    <w:rsid w:val="000D4563"/>
    <w:rsid w:val="000E00A8"/>
    <w:rsid w:val="000F1B41"/>
    <w:rsid w:val="000F43E7"/>
    <w:rsid w:val="000F70A0"/>
    <w:rsid w:val="001038C0"/>
    <w:rsid w:val="0011110D"/>
    <w:rsid w:val="0011486A"/>
    <w:rsid w:val="0011601C"/>
    <w:rsid w:val="0012167E"/>
    <w:rsid w:val="00123C7C"/>
    <w:rsid w:val="00126267"/>
    <w:rsid w:val="00126ACE"/>
    <w:rsid w:val="0013590B"/>
    <w:rsid w:val="001362BB"/>
    <w:rsid w:val="00143611"/>
    <w:rsid w:val="00144A97"/>
    <w:rsid w:val="00146A83"/>
    <w:rsid w:val="00152CDE"/>
    <w:rsid w:val="00156D87"/>
    <w:rsid w:val="001662B4"/>
    <w:rsid w:val="0017261E"/>
    <w:rsid w:val="00174F72"/>
    <w:rsid w:val="001A1A7F"/>
    <w:rsid w:val="001A2E20"/>
    <w:rsid w:val="001A3232"/>
    <w:rsid w:val="001A4C45"/>
    <w:rsid w:val="001A67C9"/>
    <w:rsid w:val="001A70A7"/>
    <w:rsid w:val="001A79C6"/>
    <w:rsid w:val="001B7526"/>
    <w:rsid w:val="001C2A31"/>
    <w:rsid w:val="001D6B04"/>
    <w:rsid w:val="001E31AB"/>
    <w:rsid w:val="001E3324"/>
    <w:rsid w:val="001E577D"/>
    <w:rsid w:val="002052B7"/>
    <w:rsid w:val="0020550C"/>
    <w:rsid w:val="00213E67"/>
    <w:rsid w:val="00235DC0"/>
    <w:rsid w:val="00236A16"/>
    <w:rsid w:val="002425BB"/>
    <w:rsid w:val="00245D18"/>
    <w:rsid w:val="00251515"/>
    <w:rsid w:val="00251966"/>
    <w:rsid w:val="002570D0"/>
    <w:rsid w:val="002632E1"/>
    <w:rsid w:val="00263343"/>
    <w:rsid w:val="00266EDE"/>
    <w:rsid w:val="002725D9"/>
    <w:rsid w:val="00281B67"/>
    <w:rsid w:val="00281E06"/>
    <w:rsid w:val="0029337A"/>
    <w:rsid w:val="00296240"/>
    <w:rsid w:val="002A29FC"/>
    <w:rsid w:val="002B0536"/>
    <w:rsid w:val="002C7A40"/>
    <w:rsid w:val="002D2CA6"/>
    <w:rsid w:val="002E0885"/>
    <w:rsid w:val="002E1A94"/>
    <w:rsid w:val="002E3BE8"/>
    <w:rsid w:val="002E42D6"/>
    <w:rsid w:val="002F1623"/>
    <w:rsid w:val="002F4A87"/>
    <w:rsid w:val="002F7685"/>
    <w:rsid w:val="002F77C0"/>
    <w:rsid w:val="003129BE"/>
    <w:rsid w:val="00317334"/>
    <w:rsid w:val="00321F6D"/>
    <w:rsid w:val="00327490"/>
    <w:rsid w:val="00340F8B"/>
    <w:rsid w:val="00341457"/>
    <w:rsid w:val="00341E4A"/>
    <w:rsid w:val="0034652F"/>
    <w:rsid w:val="00347199"/>
    <w:rsid w:val="003576FA"/>
    <w:rsid w:val="00370149"/>
    <w:rsid w:val="00375FAE"/>
    <w:rsid w:val="003772F0"/>
    <w:rsid w:val="003774FD"/>
    <w:rsid w:val="003834D4"/>
    <w:rsid w:val="003915F6"/>
    <w:rsid w:val="00396002"/>
    <w:rsid w:val="003A580C"/>
    <w:rsid w:val="003A6677"/>
    <w:rsid w:val="003B0ACB"/>
    <w:rsid w:val="003B22F9"/>
    <w:rsid w:val="003B3636"/>
    <w:rsid w:val="003B43F2"/>
    <w:rsid w:val="003B58EF"/>
    <w:rsid w:val="003C5943"/>
    <w:rsid w:val="003D19F5"/>
    <w:rsid w:val="003D3D6A"/>
    <w:rsid w:val="003E065B"/>
    <w:rsid w:val="004003A4"/>
    <w:rsid w:val="004032AF"/>
    <w:rsid w:val="0040343F"/>
    <w:rsid w:val="0041729F"/>
    <w:rsid w:val="00417A4F"/>
    <w:rsid w:val="004220C4"/>
    <w:rsid w:val="004232F8"/>
    <w:rsid w:val="00426C23"/>
    <w:rsid w:val="0043371F"/>
    <w:rsid w:val="004356D0"/>
    <w:rsid w:val="00437379"/>
    <w:rsid w:val="00440CBA"/>
    <w:rsid w:val="00445112"/>
    <w:rsid w:val="00451ACE"/>
    <w:rsid w:val="0048674F"/>
    <w:rsid w:val="00492B72"/>
    <w:rsid w:val="004A0101"/>
    <w:rsid w:val="004A4E24"/>
    <w:rsid w:val="004B0750"/>
    <w:rsid w:val="004C0A22"/>
    <w:rsid w:val="004C3323"/>
    <w:rsid w:val="004C690A"/>
    <w:rsid w:val="004D1F62"/>
    <w:rsid w:val="004D4D13"/>
    <w:rsid w:val="004D6F51"/>
    <w:rsid w:val="004E0507"/>
    <w:rsid w:val="004E59AC"/>
    <w:rsid w:val="004E5A0B"/>
    <w:rsid w:val="00501B61"/>
    <w:rsid w:val="005075EE"/>
    <w:rsid w:val="00521E5E"/>
    <w:rsid w:val="005303AD"/>
    <w:rsid w:val="0053158D"/>
    <w:rsid w:val="00536A1F"/>
    <w:rsid w:val="005461B6"/>
    <w:rsid w:val="00562CB4"/>
    <w:rsid w:val="00566C76"/>
    <w:rsid w:val="0057205B"/>
    <w:rsid w:val="005756C0"/>
    <w:rsid w:val="00576270"/>
    <w:rsid w:val="00583B2C"/>
    <w:rsid w:val="00587729"/>
    <w:rsid w:val="00592810"/>
    <w:rsid w:val="00593B99"/>
    <w:rsid w:val="00596862"/>
    <w:rsid w:val="005A0DC9"/>
    <w:rsid w:val="005A3A84"/>
    <w:rsid w:val="005B43F7"/>
    <w:rsid w:val="005B4577"/>
    <w:rsid w:val="005B5EC8"/>
    <w:rsid w:val="005B6A82"/>
    <w:rsid w:val="005C250B"/>
    <w:rsid w:val="005D0199"/>
    <w:rsid w:val="005F4540"/>
    <w:rsid w:val="00603AD9"/>
    <w:rsid w:val="00607476"/>
    <w:rsid w:val="006114FE"/>
    <w:rsid w:val="0061310F"/>
    <w:rsid w:val="00614F89"/>
    <w:rsid w:val="00625D84"/>
    <w:rsid w:val="00627AE0"/>
    <w:rsid w:val="00644961"/>
    <w:rsid w:val="00646F00"/>
    <w:rsid w:val="00651879"/>
    <w:rsid w:val="006744FF"/>
    <w:rsid w:val="00674A1A"/>
    <w:rsid w:val="006756B8"/>
    <w:rsid w:val="00675D4A"/>
    <w:rsid w:val="00681950"/>
    <w:rsid w:val="00682DC8"/>
    <w:rsid w:val="006931F8"/>
    <w:rsid w:val="006A0BC5"/>
    <w:rsid w:val="006A5800"/>
    <w:rsid w:val="006B2EAE"/>
    <w:rsid w:val="006B3A11"/>
    <w:rsid w:val="006B62AF"/>
    <w:rsid w:val="006C038C"/>
    <w:rsid w:val="006C4FAE"/>
    <w:rsid w:val="006C70D1"/>
    <w:rsid w:val="006E0D17"/>
    <w:rsid w:val="006F014A"/>
    <w:rsid w:val="0071095F"/>
    <w:rsid w:val="007109B3"/>
    <w:rsid w:val="00711797"/>
    <w:rsid w:val="00717972"/>
    <w:rsid w:val="00730D83"/>
    <w:rsid w:val="00735A52"/>
    <w:rsid w:val="0074353A"/>
    <w:rsid w:val="007464D8"/>
    <w:rsid w:val="00747DF5"/>
    <w:rsid w:val="00754D90"/>
    <w:rsid w:val="007741B0"/>
    <w:rsid w:val="00780C51"/>
    <w:rsid w:val="00783624"/>
    <w:rsid w:val="00792CB0"/>
    <w:rsid w:val="00797632"/>
    <w:rsid w:val="007A377B"/>
    <w:rsid w:val="007A753F"/>
    <w:rsid w:val="007C541A"/>
    <w:rsid w:val="007D4AC9"/>
    <w:rsid w:val="007F5563"/>
    <w:rsid w:val="008000B9"/>
    <w:rsid w:val="00801A33"/>
    <w:rsid w:val="00813AFC"/>
    <w:rsid w:val="00813DF4"/>
    <w:rsid w:val="0082398A"/>
    <w:rsid w:val="008273A5"/>
    <w:rsid w:val="0083620F"/>
    <w:rsid w:val="00851206"/>
    <w:rsid w:val="008516A8"/>
    <w:rsid w:val="0085417C"/>
    <w:rsid w:val="00861F8A"/>
    <w:rsid w:val="0086473D"/>
    <w:rsid w:val="00864F61"/>
    <w:rsid w:val="00872349"/>
    <w:rsid w:val="0087466E"/>
    <w:rsid w:val="00885809"/>
    <w:rsid w:val="008878F5"/>
    <w:rsid w:val="008930E0"/>
    <w:rsid w:val="008936A7"/>
    <w:rsid w:val="00895D89"/>
    <w:rsid w:val="00897B94"/>
    <w:rsid w:val="008A20D6"/>
    <w:rsid w:val="008A2863"/>
    <w:rsid w:val="008A6104"/>
    <w:rsid w:val="008C196E"/>
    <w:rsid w:val="008C77CD"/>
    <w:rsid w:val="008D34EC"/>
    <w:rsid w:val="008F4749"/>
    <w:rsid w:val="009016C7"/>
    <w:rsid w:val="00903676"/>
    <w:rsid w:val="00904C4B"/>
    <w:rsid w:val="00906323"/>
    <w:rsid w:val="00906417"/>
    <w:rsid w:val="00914416"/>
    <w:rsid w:val="00916D0E"/>
    <w:rsid w:val="009207B1"/>
    <w:rsid w:val="00921C67"/>
    <w:rsid w:val="009220E8"/>
    <w:rsid w:val="0092501D"/>
    <w:rsid w:val="009428FB"/>
    <w:rsid w:val="00966BE6"/>
    <w:rsid w:val="00966F52"/>
    <w:rsid w:val="00983AB7"/>
    <w:rsid w:val="00994560"/>
    <w:rsid w:val="00997EF9"/>
    <w:rsid w:val="009A427A"/>
    <w:rsid w:val="009A512E"/>
    <w:rsid w:val="009B0D47"/>
    <w:rsid w:val="009B7BEC"/>
    <w:rsid w:val="009C0245"/>
    <w:rsid w:val="009C54BF"/>
    <w:rsid w:val="009C695D"/>
    <w:rsid w:val="009D1E64"/>
    <w:rsid w:val="009D72F3"/>
    <w:rsid w:val="009D7ED7"/>
    <w:rsid w:val="00A024F2"/>
    <w:rsid w:val="00A04129"/>
    <w:rsid w:val="00A0606D"/>
    <w:rsid w:val="00A14C5E"/>
    <w:rsid w:val="00A16699"/>
    <w:rsid w:val="00A2418F"/>
    <w:rsid w:val="00A30F35"/>
    <w:rsid w:val="00A4252F"/>
    <w:rsid w:val="00A43584"/>
    <w:rsid w:val="00A4381F"/>
    <w:rsid w:val="00A443C7"/>
    <w:rsid w:val="00A44FAD"/>
    <w:rsid w:val="00A458CF"/>
    <w:rsid w:val="00A530DF"/>
    <w:rsid w:val="00A6660F"/>
    <w:rsid w:val="00A67CCA"/>
    <w:rsid w:val="00A76491"/>
    <w:rsid w:val="00A80525"/>
    <w:rsid w:val="00A86E9D"/>
    <w:rsid w:val="00AA07DA"/>
    <w:rsid w:val="00AA1157"/>
    <w:rsid w:val="00AA13FC"/>
    <w:rsid w:val="00AC17F0"/>
    <w:rsid w:val="00AC50FE"/>
    <w:rsid w:val="00AC7DA7"/>
    <w:rsid w:val="00AD2538"/>
    <w:rsid w:val="00AD513A"/>
    <w:rsid w:val="00AE7DF7"/>
    <w:rsid w:val="00AF4654"/>
    <w:rsid w:val="00AF4B49"/>
    <w:rsid w:val="00B039E5"/>
    <w:rsid w:val="00B04AA0"/>
    <w:rsid w:val="00B1358F"/>
    <w:rsid w:val="00B2629A"/>
    <w:rsid w:val="00B263EC"/>
    <w:rsid w:val="00B265CA"/>
    <w:rsid w:val="00B30E45"/>
    <w:rsid w:val="00B3437F"/>
    <w:rsid w:val="00B35E63"/>
    <w:rsid w:val="00B36CD5"/>
    <w:rsid w:val="00B42663"/>
    <w:rsid w:val="00B440B6"/>
    <w:rsid w:val="00B472C1"/>
    <w:rsid w:val="00B47ECE"/>
    <w:rsid w:val="00B51258"/>
    <w:rsid w:val="00B62EE1"/>
    <w:rsid w:val="00B668EF"/>
    <w:rsid w:val="00B66AE3"/>
    <w:rsid w:val="00B72C51"/>
    <w:rsid w:val="00B73508"/>
    <w:rsid w:val="00B81366"/>
    <w:rsid w:val="00B8299F"/>
    <w:rsid w:val="00B83063"/>
    <w:rsid w:val="00B83417"/>
    <w:rsid w:val="00B8689B"/>
    <w:rsid w:val="00BA031B"/>
    <w:rsid w:val="00BA2FD5"/>
    <w:rsid w:val="00BA4F54"/>
    <w:rsid w:val="00BB2B97"/>
    <w:rsid w:val="00BB53A8"/>
    <w:rsid w:val="00BC296F"/>
    <w:rsid w:val="00BC58BC"/>
    <w:rsid w:val="00BC5FA9"/>
    <w:rsid w:val="00BD5AEC"/>
    <w:rsid w:val="00BD6926"/>
    <w:rsid w:val="00BE4649"/>
    <w:rsid w:val="00BE5311"/>
    <w:rsid w:val="00BE5794"/>
    <w:rsid w:val="00C07D27"/>
    <w:rsid w:val="00C10F15"/>
    <w:rsid w:val="00C14652"/>
    <w:rsid w:val="00C23EB8"/>
    <w:rsid w:val="00C3264E"/>
    <w:rsid w:val="00C35342"/>
    <w:rsid w:val="00C42883"/>
    <w:rsid w:val="00C52B64"/>
    <w:rsid w:val="00C63A76"/>
    <w:rsid w:val="00C75AF7"/>
    <w:rsid w:val="00C943EC"/>
    <w:rsid w:val="00C97B9B"/>
    <w:rsid w:val="00CA0A39"/>
    <w:rsid w:val="00CA5BDE"/>
    <w:rsid w:val="00CA70D2"/>
    <w:rsid w:val="00CB198A"/>
    <w:rsid w:val="00CB1EC5"/>
    <w:rsid w:val="00CB237C"/>
    <w:rsid w:val="00CB3D59"/>
    <w:rsid w:val="00CB69E3"/>
    <w:rsid w:val="00CB6C0A"/>
    <w:rsid w:val="00CC1C3F"/>
    <w:rsid w:val="00CD1DC4"/>
    <w:rsid w:val="00CD4B87"/>
    <w:rsid w:val="00CE3D31"/>
    <w:rsid w:val="00CF1339"/>
    <w:rsid w:val="00D00BCB"/>
    <w:rsid w:val="00D068B9"/>
    <w:rsid w:val="00D27CDA"/>
    <w:rsid w:val="00D34334"/>
    <w:rsid w:val="00D3505F"/>
    <w:rsid w:val="00D369CF"/>
    <w:rsid w:val="00D36C6E"/>
    <w:rsid w:val="00D40BD5"/>
    <w:rsid w:val="00D52B8A"/>
    <w:rsid w:val="00D52E47"/>
    <w:rsid w:val="00D56532"/>
    <w:rsid w:val="00D60891"/>
    <w:rsid w:val="00D82DB3"/>
    <w:rsid w:val="00D850CA"/>
    <w:rsid w:val="00D95DCF"/>
    <w:rsid w:val="00D9766D"/>
    <w:rsid w:val="00DA0724"/>
    <w:rsid w:val="00DA4549"/>
    <w:rsid w:val="00DA5FB1"/>
    <w:rsid w:val="00DC1E2B"/>
    <w:rsid w:val="00DC6E90"/>
    <w:rsid w:val="00DD20EF"/>
    <w:rsid w:val="00DD40B9"/>
    <w:rsid w:val="00DE0C72"/>
    <w:rsid w:val="00DE71D5"/>
    <w:rsid w:val="00DF340E"/>
    <w:rsid w:val="00DF5023"/>
    <w:rsid w:val="00E01C6D"/>
    <w:rsid w:val="00E0479B"/>
    <w:rsid w:val="00E070BA"/>
    <w:rsid w:val="00E14CA3"/>
    <w:rsid w:val="00E21F34"/>
    <w:rsid w:val="00E3210C"/>
    <w:rsid w:val="00E34780"/>
    <w:rsid w:val="00E35DCE"/>
    <w:rsid w:val="00E45E82"/>
    <w:rsid w:val="00E52C15"/>
    <w:rsid w:val="00E57556"/>
    <w:rsid w:val="00E579E8"/>
    <w:rsid w:val="00E67674"/>
    <w:rsid w:val="00E67954"/>
    <w:rsid w:val="00E700AD"/>
    <w:rsid w:val="00E717E5"/>
    <w:rsid w:val="00E80A29"/>
    <w:rsid w:val="00E846C2"/>
    <w:rsid w:val="00E85D9B"/>
    <w:rsid w:val="00E9369C"/>
    <w:rsid w:val="00E943E8"/>
    <w:rsid w:val="00E951B4"/>
    <w:rsid w:val="00EA0B55"/>
    <w:rsid w:val="00EA0FC6"/>
    <w:rsid w:val="00EA35E5"/>
    <w:rsid w:val="00EB362A"/>
    <w:rsid w:val="00EB45B1"/>
    <w:rsid w:val="00EC182E"/>
    <w:rsid w:val="00EC2EB9"/>
    <w:rsid w:val="00EC3F47"/>
    <w:rsid w:val="00EC6017"/>
    <w:rsid w:val="00EE3F02"/>
    <w:rsid w:val="00EE7057"/>
    <w:rsid w:val="00EE7471"/>
    <w:rsid w:val="00EF084A"/>
    <w:rsid w:val="00EF600E"/>
    <w:rsid w:val="00F00279"/>
    <w:rsid w:val="00F0112C"/>
    <w:rsid w:val="00F04618"/>
    <w:rsid w:val="00F061A0"/>
    <w:rsid w:val="00F06517"/>
    <w:rsid w:val="00F13B6E"/>
    <w:rsid w:val="00F157FA"/>
    <w:rsid w:val="00F22EC7"/>
    <w:rsid w:val="00F33E97"/>
    <w:rsid w:val="00F35DC4"/>
    <w:rsid w:val="00F54863"/>
    <w:rsid w:val="00F6470A"/>
    <w:rsid w:val="00F80CEF"/>
    <w:rsid w:val="00F810EA"/>
    <w:rsid w:val="00F83813"/>
    <w:rsid w:val="00F901E0"/>
    <w:rsid w:val="00F9406E"/>
    <w:rsid w:val="00F94F4A"/>
    <w:rsid w:val="00FA11E3"/>
    <w:rsid w:val="00FA6784"/>
    <w:rsid w:val="00FB1D4E"/>
    <w:rsid w:val="00FB64B4"/>
    <w:rsid w:val="00FD0B62"/>
    <w:rsid w:val="00FE0BF7"/>
    <w:rsid w:val="00FE0D98"/>
    <w:rsid w:val="00FE5013"/>
    <w:rsid w:val="01660C16"/>
    <w:rsid w:val="02905FD2"/>
    <w:rsid w:val="056114C8"/>
    <w:rsid w:val="05FD6D69"/>
    <w:rsid w:val="06B530F1"/>
    <w:rsid w:val="088B53E2"/>
    <w:rsid w:val="0E7B2721"/>
    <w:rsid w:val="0F107320"/>
    <w:rsid w:val="0FFA7E5D"/>
    <w:rsid w:val="12D46B40"/>
    <w:rsid w:val="13E67C65"/>
    <w:rsid w:val="153876C0"/>
    <w:rsid w:val="1C9B387A"/>
    <w:rsid w:val="1E931693"/>
    <w:rsid w:val="1F7F5FF6"/>
    <w:rsid w:val="207D0236"/>
    <w:rsid w:val="216419BF"/>
    <w:rsid w:val="269C1B24"/>
    <w:rsid w:val="27CC4312"/>
    <w:rsid w:val="28A1102A"/>
    <w:rsid w:val="2BA9BD0B"/>
    <w:rsid w:val="2D946D27"/>
    <w:rsid w:val="2E122BAF"/>
    <w:rsid w:val="2F63253B"/>
    <w:rsid w:val="2FF79BF9"/>
    <w:rsid w:val="30484233"/>
    <w:rsid w:val="348627E2"/>
    <w:rsid w:val="35A06AD4"/>
    <w:rsid w:val="38FE38D5"/>
    <w:rsid w:val="3A9F75B9"/>
    <w:rsid w:val="3B3B4D28"/>
    <w:rsid w:val="3F1E4465"/>
    <w:rsid w:val="3FD16A2F"/>
    <w:rsid w:val="3FE77767"/>
    <w:rsid w:val="44AA3B74"/>
    <w:rsid w:val="452677B9"/>
    <w:rsid w:val="4A806065"/>
    <w:rsid w:val="4CFC3FC5"/>
    <w:rsid w:val="4DB94E67"/>
    <w:rsid w:val="4E445F24"/>
    <w:rsid w:val="4FDD110B"/>
    <w:rsid w:val="52611798"/>
    <w:rsid w:val="55F3611F"/>
    <w:rsid w:val="5799C8E9"/>
    <w:rsid w:val="59317E1B"/>
    <w:rsid w:val="59913C4C"/>
    <w:rsid w:val="5DF14BA7"/>
    <w:rsid w:val="5EE281ED"/>
    <w:rsid w:val="60790FA3"/>
    <w:rsid w:val="63270894"/>
    <w:rsid w:val="63E25F23"/>
    <w:rsid w:val="668F5913"/>
    <w:rsid w:val="699C6B9E"/>
    <w:rsid w:val="6A8A5F06"/>
    <w:rsid w:val="6AEF1576"/>
    <w:rsid w:val="6B205613"/>
    <w:rsid w:val="6D6F0823"/>
    <w:rsid w:val="6DFF34EF"/>
    <w:rsid w:val="6DFF9B47"/>
    <w:rsid w:val="6F65F1E9"/>
    <w:rsid w:val="70306CF9"/>
    <w:rsid w:val="7597C512"/>
    <w:rsid w:val="77432AB8"/>
    <w:rsid w:val="77753F7E"/>
    <w:rsid w:val="777F5F25"/>
    <w:rsid w:val="77FB99A5"/>
    <w:rsid w:val="78F3DB35"/>
    <w:rsid w:val="7B7F3506"/>
    <w:rsid w:val="7BAF7901"/>
    <w:rsid w:val="7E715D64"/>
    <w:rsid w:val="7F8B6D14"/>
    <w:rsid w:val="7FF5536C"/>
    <w:rsid w:val="7FF7656F"/>
    <w:rsid w:val="7FFF865D"/>
    <w:rsid w:val="8FE7FF1C"/>
    <w:rsid w:val="9DE9603A"/>
    <w:rsid w:val="9FFA8750"/>
    <w:rsid w:val="AE6D47DB"/>
    <w:rsid w:val="B613ADCA"/>
    <w:rsid w:val="B77E141D"/>
    <w:rsid w:val="BB2C9498"/>
    <w:rsid w:val="BEF79F2E"/>
    <w:rsid w:val="CFC2A989"/>
    <w:rsid w:val="D27DE005"/>
    <w:rsid w:val="D2FDA611"/>
    <w:rsid w:val="D4EEE377"/>
    <w:rsid w:val="D6FE2300"/>
    <w:rsid w:val="DBFF33AD"/>
    <w:rsid w:val="DF7BADBF"/>
    <w:rsid w:val="E7F69CE6"/>
    <w:rsid w:val="EDA38EF5"/>
    <w:rsid w:val="EDEE618E"/>
    <w:rsid w:val="EDFFAA8A"/>
    <w:rsid w:val="EF67CB9D"/>
    <w:rsid w:val="F7B73B7E"/>
    <w:rsid w:val="F7FB6037"/>
    <w:rsid w:val="F9BD711B"/>
    <w:rsid w:val="FB777250"/>
    <w:rsid w:val="FBFE956C"/>
    <w:rsid w:val="FD28B7AC"/>
    <w:rsid w:val="FD5DFDB2"/>
    <w:rsid w:val="FE9FD14C"/>
    <w:rsid w:val="FEEB51A8"/>
    <w:rsid w:val="FFF7E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rPr>
      <w:rFonts w:asciiTheme="minorHAnsi" w:hAnsiTheme="minorHAnsi" w:eastAsiaTheme="minorEastAsia" w:cstheme="minorBidi"/>
      <w:szCs w:val="22"/>
    </w:rPr>
  </w:style>
  <w:style w:type="paragraph" w:styleId="3">
    <w:name w:val="Body Text"/>
    <w:basedOn w:val="1"/>
    <w:semiHidden/>
    <w:qFormat/>
    <w:uiPriority w:val="0"/>
    <w:rPr>
      <w:rFonts w:ascii="宋体" w:hAnsi="宋体" w:cs="宋体"/>
      <w:sz w:val="59"/>
      <w:szCs w:val="59"/>
      <w:lang w:eastAsia="en-US"/>
    </w:rPr>
  </w:style>
  <w:style w:type="paragraph" w:styleId="4">
    <w:name w:val="Plain Text"/>
    <w:basedOn w:val="1"/>
    <w:link w:val="21"/>
    <w:qFormat/>
    <w:uiPriority w:val="0"/>
    <w:rPr>
      <w:rFonts w:ascii="宋体" w:hAnsi="宋体" w:cs="Courier New"/>
      <w:kern w:val="1"/>
      <w:szCs w:val="21"/>
    </w:rPr>
  </w:style>
  <w:style w:type="paragraph" w:styleId="5">
    <w:name w:val="Balloon Text"/>
    <w:basedOn w:val="1"/>
    <w:link w:val="19"/>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9">
    <w:name w:val="annotation subject"/>
    <w:basedOn w:val="2"/>
    <w:next w:val="2"/>
    <w:link w:val="22"/>
    <w:unhideWhenUsed/>
    <w:qFormat/>
    <w:uiPriority w:val="99"/>
    <w:rPr>
      <w:rFonts w:ascii="Times New Roman" w:hAnsi="Times New Roman" w:eastAsia="宋体" w:cs="Times New Roman"/>
      <w:b/>
      <w:bCs/>
      <w:szCs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unhideWhenUsed/>
    <w:qFormat/>
    <w:uiPriority w:val="99"/>
    <w:rPr>
      <w:sz w:val="21"/>
      <w:szCs w:val="21"/>
    </w:rPr>
  </w:style>
  <w:style w:type="paragraph" w:customStyle="1" w:styleId="14">
    <w:name w:val="Char"/>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5">
    <w:name w:val="页眉 字符"/>
    <w:basedOn w:val="12"/>
    <w:link w:val="7"/>
    <w:qFormat/>
    <w:uiPriority w:val="99"/>
    <w:rPr>
      <w:rFonts w:ascii="Times New Roman" w:hAnsi="Times New Roman" w:eastAsia="宋体" w:cs="Times New Roman"/>
      <w:sz w:val="18"/>
      <w:szCs w:val="18"/>
    </w:rPr>
  </w:style>
  <w:style w:type="character" w:customStyle="1" w:styleId="16">
    <w:name w:val="页脚 字符"/>
    <w:basedOn w:val="12"/>
    <w:link w:val="6"/>
    <w:qFormat/>
    <w:uiPriority w:val="99"/>
    <w:rPr>
      <w:rFonts w:ascii="Times New Roman" w:hAnsi="Times New Roman" w:eastAsia="宋体" w:cs="Times New Roman"/>
      <w:sz w:val="18"/>
      <w:szCs w:val="18"/>
    </w:rPr>
  </w:style>
  <w:style w:type="paragraph" w:customStyle="1" w:styleId="17">
    <w:name w:val="Char1"/>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8">
    <w:name w:val="批注文字 字符"/>
    <w:basedOn w:val="12"/>
    <w:link w:val="2"/>
    <w:semiHidden/>
    <w:qFormat/>
    <w:uiPriority w:val="99"/>
  </w:style>
  <w:style w:type="character" w:customStyle="1" w:styleId="19">
    <w:name w:val="批注框文本 字符"/>
    <w:basedOn w:val="12"/>
    <w:link w:val="5"/>
    <w:semiHidden/>
    <w:qFormat/>
    <w:uiPriority w:val="99"/>
    <w:rPr>
      <w:rFonts w:ascii="Times New Roman" w:hAnsi="Times New Roman" w:eastAsia="宋体" w:cs="Times New Roman"/>
      <w:sz w:val="18"/>
      <w:szCs w:val="18"/>
    </w:rPr>
  </w:style>
  <w:style w:type="paragraph" w:customStyle="1" w:styleId="20">
    <w:name w:val="列表段落1"/>
    <w:basedOn w:val="1"/>
    <w:qFormat/>
    <w:uiPriority w:val="34"/>
    <w:pPr>
      <w:ind w:firstLine="420" w:firstLineChars="200"/>
    </w:pPr>
  </w:style>
  <w:style w:type="character" w:customStyle="1" w:styleId="21">
    <w:name w:val="纯文本 字符"/>
    <w:basedOn w:val="12"/>
    <w:link w:val="4"/>
    <w:qFormat/>
    <w:uiPriority w:val="0"/>
    <w:rPr>
      <w:rFonts w:ascii="宋体" w:hAnsi="宋体" w:eastAsia="宋体" w:cs="Courier New"/>
      <w:kern w:val="1"/>
      <w:szCs w:val="21"/>
    </w:rPr>
  </w:style>
  <w:style w:type="character" w:customStyle="1" w:styleId="22">
    <w:name w:val="批注主题 字符"/>
    <w:basedOn w:val="18"/>
    <w:link w:val="9"/>
    <w:semiHidden/>
    <w:qFormat/>
    <w:uiPriority w:val="99"/>
    <w:rPr>
      <w:rFonts w:ascii="Times New Roman" w:hAnsi="Times New Roman" w:eastAsia="宋体" w:cs="Times New Roman"/>
      <w:b/>
      <w:bCs/>
      <w:szCs w:val="24"/>
    </w:rPr>
  </w:style>
  <w:style w:type="paragraph" w:customStyle="1" w:styleId="23">
    <w:name w:val="Char2"/>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2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5">
    <w:name w:val="修订2"/>
    <w:hidden/>
    <w:semiHidden/>
    <w:qFormat/>
    <w:uiPriority w:val="99"/>
    <w:rPr>
      <w:rFonts w:ascii="Times New Roman" w:hAnsi="Times New Roman" w:eastAsia="宋体" w:cs="Times New Roman"/>
      <w:kern w:val="2"/>
      <w:sz w:val="21"/>
      <w:szCs w:val="24"/>
      <w:lang w:val="en-US" w:eastAsia="zh-CN" w:bidi="ar-SA"/>
    </w:rPr>
  </w:style>
  <w:style w:type="paragraph" w:styleId="26">
    <w:name w:val="List Paragraph"/>
    <w:basedOn w:val="1"/>
    <w:qFormat/>
    <w:uiPriority w:val="99"/>
    <w:pPr>
      <w:ind w:firstLine="420" w:firstLineChars="200"/>
    </w:pPr>
  </w:style>
  <w:style w:type="paragraph" w:customStyle="1" w:styleId="27">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5846D9-CDC1-4AC0-A5E2-4723C8856C8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3554</Words>
  <Characters>3593</Characters>
  <Lines>157</Lines>
  <Paragraphs>110</Paragraphs>
  <TotalTime>0</TotalTime>
  <ScaleCrop>false</ScaleCrop>
  <LinksUpToDate>false</LinksUpToDate>
  <CharactersWithSpaces>3636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2025-12-16T17:13:00Z</dcterms:created>
  <dc:creator>tucy</dc:creator>
  <cp:lastModifiedBy>CHEN LIYAN</cp:lastModifiedBy>
  <cp:lastPrinted>2025-06-12T21:50:00Z</cp:lastPrinted>
  <dcterms:modified xsi:type="dcterms:W3CDTF">2026-04-02T05:42:31Z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eyJoZGlkIjoiMGJmNjQ0OWZkYzczOTI0ZjY2MWU3NWM5MjRhNzU3ODkiLCJ1c2VySWQiOiIxNzg2NDU0MzIwIn0=</vt:lpwstr>
  </property>
  <property fmtid="{D5CDD505-2E9C-101B-9397-08002B2CF9AE}" pid="4" name="ICV">
    <vt:lpwstr>1192B49C5F2A441397BFD1B3B26BB2E0_13</vt:lpwstr>
  </property>
</Properties>
</file>