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FC9E46">
      <w:pPr>
        <w:pStyle w:val="16"/>
        <w:shd w:val="clear" w:color="auto" w:fill="FFFFFF"/>
        <w:spacing w:before="0" w:beforeAutospacing="0" w:after="0" w:afterAutospacing="0" w:line="560" w:lineRule="exact"/>
        <w:jc w:val="right"/>
        <w:rPr>
          <w:rFonts w:hint="eastAsia" w:ascii="方正小标宋简体" w:hAnsi="黑体" w:eastAsia="方正小标宋简体" w:cs="黑体"/>
          <w:bCs/>
          <w:color w:val="auto"/>
          <w:kern w:val="24"/>
          <w:sz w:val="36"/>
          <w:szCs w:val="36"/>
        </w:rPr>
      </w:pPr>
      <w:r>
        <w:rPr>
          <w:rFonts w:hint="eastAsia" w:ascii="FangSong_GB2312" w:hAnsi="FangSong_GB2312" w:eastAsia="FangSong_GB2312" w:cs="FangSong_GB2312"/>
          <w:color w:val="auto"/>
          <w:sz w:val="32"/>
          <w:szCs w:val="32"/>
        </w:rPr>
        <w:t>清深国院规〔202</w:t>
      </w:r>
      <w:r>
        <w:rPr>
          <w:rFonts w:hint="eastAsia" w:ascii="FangSong_GB2312" w:hAnsi="FangSong_GB2312" w:eastAsia="FangSong_GB2312" w:cs="FangSong_GB2312"/>
          <w:color w:val="auto"/>
          <w:sz w:val="32"/>
          <w:szCs w:val="32"/>
          <w:lang w:val="en-US" w:eastAsia="zh-CN"/>
        </w:rPr>
        <w:t>6</w:t>
      </w:r>
      <w:r>
        <w:rPr>
          <w:rFonts w:hint="eastAsia" w:ascii="FangSong_GB2312" w:hAnsi="FangSong_GB2312" w:eastAsia="FangSong_GB2312" w:cs="FangSong_GB2312"/>
          <w:color w:val="auto"/>
          <w:sz w:val="32"/>
          <w:szCs w:val="32"/>
        </w:rPr>
        <w:t>〕</w:t>
      </w:r>
      <w:r>
        <w:rPr>
          <w:rFonts w:hint="eastAsia" w:ascii="FangSong_GB2312" w:hAnsi="FangSong_GB2312" w:eastAsia="FangSong_GB2312" w:cs="FangSong_GB2312"/>
          <w:color w:val="auto"/>
          <w:sz w:val="32"/>
          <w:szCs w:val="32"/>
          <w:lang w:val="en-US" w:eastAsia="zh-CN"/>
        </w:rPr>
        <w:t>16</w:t>
      </w:r>
      <w:r>
        <w:rPr>
          <w:rFonts w:hint="eastAsia" w:ascii="FangSong_GB2312" w:hAnsi="FangSong_GB2312" w:eastAsia="FangSong_GB2312" w:cs="FangSong_GB2312"/>
          <w:color w:val="auto"/>
          <w:sz w:val="32"/>
          <w:szCs w:val="32"/>
        </w:rPr>
        <w:t>号</w:t>
      </w:r>
    </w:p>
    <w:p w14:paraId="2DE83938">
      <w:pPr>
        <w:pStyle w:val="16"/>
        <w:shd w:val="clear" w:color="auto" w:fill="FFFFFF"/>
        <w:spacing w:before="0" w:beforeAutospacing="0" w:after="0" w:afterAutospacing="0" w:line="560" w:lineRule="exact"/>
        <w:jc w:val="center"/>
        <w:rPr>
          <w:rFonts w:hint="eastAsia" w:ascii="方正小标宋简体" w:hAnsi="黑体" w:eastAsia="方正小标宋简体" w:cs="黑体"/>
          <w:bCs/>
          <w:color w:val="auto"/>
          <w:kern w:val="24"/>
          <w:sz w:val="36"/>
          <w:szCs w:val="36"/>
        </w:rPr>
      </w:pPr>
      <w:r>
        <w:rPr>
          <w:rFonts w:hint="eastAsia" w:ascii="方正小标宋简体" w:hAnsi="黑体" w:eastAsia="方正小标宋简体" w:cs="黑体"/>
          <w:bCs/>
          <w:color w:val="auto"/>
          <w:kern w:val="24"/>
          <w:sz w:val="36"/>
          <w:szCs w:val="36"/>
        </w:rPr>
        <w:t>清华大学深圳国际研究生院研究生</w:t>
      </w:r>
    </w:p>
    <w:p w14:paraId="40E7E3BF">
      <w:pPr>
        <w:pStyle w:val="16"/>
        <w:shd w:val="clear" w:color="auto" w:fill="FFFFFF"/>
        <w:spacing w:before="0" w:beforeAutospacing="0" w:after="0" w:afterAutospacing="0" w:line="560" w:lineRule="exact"/>
        <w:jc w:val="center"/>
        <w:rPr>
          <w:rFonts w:hint="eastAsia" w:ascii="方正小标宋简体" w:hAnsi="黑体" w:eastAsia="方正小标宋简体" w:cs="黑体"/>
          <w:bCs/>
          <w:color w:val="auto"/>
          <w:kern w:val="24"/>
          <w:sz w:val="36"/>
          <w:szCs w:val="36"/>
        </w:rPr>
      </w:pPr>
      <w:r>
        <w:rPr>
          <w:rFonts w:hint="eastAsia" w:ascii="方正小标宋简体" w:hAnsi="黑体" w:eastAsia="方正小标宋简体" w:cs="黑体"/>
          <w:bCs/>
          <w:color w:val="auto"/>
          <w:kern w:val="24"/>
          <w:sz w:val="36"/>
          <w:szCs w:val="36"/>
        </w:rPr>
        <w:t>校外导师聘任管理办法</w:t>
      </w:r>
    </w:p>
    <w:p w14:paraId="1B18FE64">
      <w:pPr>
        <w:pStyle w:val="15"/>
        <w:widowControl/>
        <w:spacing w:after="0" w:line="560" w:lineRule="exact"/>
        <w:rPr>
          <w:rFonts w:hint="eastAsia" w:ascii="仿宋_GB2312" w:hAnsi="仿宋_GB2312" w:eastAsia="仿宋_GB2312" w:cs="仿宋_GB2312"/>
          <w:color w:val="auto"/>
          <w:spacing w:val="0"/>
          <w:kern w:val="0"/>
          <w:sz w:val="32"/>
          <w:szCs w:val="32"/>
          <w14:ligatures w14:val="none"/>
        </w:rPr>
      </w:pPr>
      <w:r>
        <w:rPr>
          <w:rFonts w:hint="eastAsia" w:ascii="仿宋_GB2312" w:hAnsi="仿宋_GB2312" w:eastAsia="仿宋_GB2312" w:cs="仿宋_GB2312"/>
          <w:color w:val="auto"/>
          <w:spacing w:val="0"/>
          <w:kern w:val="0"/>
          <w:sz w:val="32"/>
          <w:szCs w:val="32"/>
          <w14:ligatures w14:val="none"/>
        </w:rPr>
        <w:t>二〇一六年第六次院务会（2016年7月6日）审议通过，</w:t>
      </w:r>
    </w:p>
    <w:p w14:paraId="4D0629BF">
      <w:pPr>
        <w:pStyle w:val="16"/>
        <w:shd w:val="clear" w:color="auto" w:fill="FFFFFF"/>
        <w:spacing w:before="0" w:beforeAutospacing="0" w:after="0" w:afterAutospacing="0" w:line="56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二〇二五年第七十一次党政联席会议（2025年12月17日）修订</w:t>
      </w:r>
    </w:p>
    <w:p w14:paraId="007C730F">
      <w:pPr>
        <w:pStyle w:val="16"/>
        <w:shd w:val="clear" w:color="auto" w:fill="FFFFFF"/>
        <w:spacing w:before="0" w:beforeAutospacing="0" w:after="150" w:afterAutospacing="0" w:line="560" w:lineRule="exact"/>
        <w:rPr>
          <w:rFonts w:hint="eastAsia" w:ascii="仿宋_GB2312" w:hAnsi="仿宋_GB2312" w:eastAsia="仿宋_GB2312" w:cs="仿宋_GB2312"/>
          <w:color w:val="auto"/>
          <w:sz w:val="32"/>
          <w:szCs w:val="32"/>
        </w:rPr>
      </w:pPr>
    </w:p>
    <w:p w14:paraId="4156C4CA">
      <w:pPr>
        <w:pStyle w:val="16"/>
        <w:shd w:val="clear" w:color="auto" w:fill="FFFFFF"/>
        <w:spacing w:before="0" w:beforeAutospacing="0" w:after="0" w:afterAutospacing="0" w:line="56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 xml:space="preserve">第一条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rPr>
        <w:t>为促进清华大学深圳国际研究生院</w:t>
      </w:r>
      <w:r>
        <w:rPr>
          <w:rFonts w:hint="eastAsia" w:ascii="仿宋_GB2312" w:hAnsi="仿宋_GB2312" w:eastAsia="仿宋_GB2312" w:cs="仿宋_GB2312"/>
          <w:color w:val="auto"/>
          <w:sz w:val="32"/>
          <w:szCs w:val="32"/>
        </w:rPr>
        <w:t>（以下简称学院）</w:t>
      </w:r>
      <w:r>
        <w:rPr>
          <w:rFonts w:hint="eastAsia" w:ascii="仿宋_GB2312" w:hAnsi="仿宋_GB2312" w:eastAsia="仿宋_GB2312" w:cs="仿宋_GB2312"/>
          <w:color w:val="auto"/>
          <w:sz w:val="32"/>
          <w:szCs w:val="32"/>
        </w:rPr>
        <w:t>研究生校外指导教师队伍建设，规范聘用管理，根据《教育部人力资源社会保障部关于深入推进专业学位研究生培养模式改革的意见》《清华大学关于专业学位研究生培养工作的原则意见》的有关规定，结合学院实际，制定本办法。</w:t>
      </w:r>
    </w:p>
    <w:p w14:paraId="38C85805">
      <w:pPr>
        <w:pStyle w:val="16"/>
        <w:shd w:val="clear" w:color="auto" w:fill="FFFFFF"/>
        <w:spacing w:before="0" w:beforeAutospacing="0" w:after="0" w:afterAutospacing="0" w:line="560" w:lineRule="exact"/>
        <w:ind w:firstLine="643" w:firstLineChars="200"/>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 xml:space="preserve">第二条  </w:t>
      </w:r>
      <w:r>
        <w:rPr>
          <w:rFonts w:hint="eastAsia" w:ascii="仿宋_GB2312" w:hAnsi="仿宋_GB2312" w:eastAsia="仿宋_GB2312" w:cs="仿宋_GB2312"/>
          <w:color w:val="auto"/>
          <w:sz w:val="32"/>
          <w:szCs w:val="32"/>
        </w:rPr>
        <w:t>校外导师的聘任条件</w:t>
      </w:r>
    </w:p>
    <w:p w14:paraId="78E58690">
      <w:pPr>
        <w:pStyle w:val="16"/>
        <w:shd w:val="clear" w:color="auto" w:fill="FFFFFF"/>
        <w:spacing w:before="0" w:beforeAutospacing="0" w:after="0" w:afterAutospacing="0"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（一）具有扎实专业知识和丰富实践经验的专家（人才）、技术骨干、企业家、投资人和创业成功校友；熟悉所指导的研究领域，具备解决本领域实际问题的能力，或有比较丰富的创业扶持资源。</w:t>
      </w:r>
    </w:p>
    <w:p w14:paraId="18683ED9">
      <w:pPr>
        <w:pStyle w:val="12"/>
        <w:ind w:firstLine="640"/>
        <w:rPr>
          <w:rFonts w:hint="eastAsia" w:hAnsi="仿宋_GB2312" w:cs="仿宋_GB2312"/>
          <w:color w:val="auto"/>
          <w:szCs w:val="32"/>
        </w:rPr>
      </w:pPr>
      <w:r>
        <w:rPr>
          <w:rFonts w:hint="eastAsia" w:hAnsi="仿宋_GB2312" w:cs="仿宋_GB2312"/>
          <w:color w:val="auto"/>
          <w:szCs w:val="32"/>
        </w:rPr>
        <w:t>（二）</w:t>
      </w:r>
      <w:r>
        <w:rPr>
          <w:rFonts w:hint="eastAsia" w:hAnsi="仿宋_GB2312" w:cs="仿宋_GB2312"/>
          <w:color w:val="auto"/>
          <w:szCs w:val="32"/>
        </w:rPr>
        <w:t>指导研究生用于申请学位的学位论文/实践成果工作的校外导师，原则上需具有高级职称或博士学位，且具有3年以上工作经历；指导专业实践或创业指导工作的校外导师，原则上应具有硕士及以上学位且在行（企）业有3年以上工作经历，或具有学士学位且在行（企）业有10年以上工作经历。</w:t>
      </w:r>
    </w:p>
    <w:p w14:paraId="723FBA1C">
      <w:pPr>
        <w:pStyle w:val="12"/>
        <w:ind w:firstLine="640"/>
        <w:rPr>
          <w:rFonts w:hint="eastAsia" w:hAnsi="仿宋_GB2312" w:cs="仿宋_GB2312"/>
          <w:color w:val="auto"/>
          <w:szCs w:val="32"/>
        </w:rPr>
      </w:pPr>
      <w:r>
        <w:rPr>
          <w:rFonts w:hint="eastAsia" w:hAnsi="仿宋_GB2312" w:cs="仿宋_GB2312"/>
          <w:color w:val="auto"/>
          <w:szCs w:val="32"/>
        </w:rPr>
        <w:t>（三）</w:t>
      </w:r>
      <w:r>
        <w:rPr>
          <w:rFonts w:hint="eastAsia" w:hAnsi="仿宋_GB2312" w:cs="仿宋_GB2312"/>
          <w:color w:val="auto"/>
          <w:szCs w:val="32"/>
        </w:rPr>
        <w:t>申请人在所在单位规定退休年龄前三年内，原则上不可新申请学院校外导师资格。</w:t>
      </w:r>
    </w:p>
    <w:p w14:paraId="11D3B59E">
      <w:pPr>
        <w:pStyle w:val="16"/>
        <w:shd w:val="clear" w:color="auto" w:fill="FFFFFF"/>
        <w:spacing w:before="0" w:beforeAutospacing="0" w:after="0" w:afterAutospacing="0"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（四）具有良好的信誉和职业道德。</w:t>
      </w:r>
    </w:p>
    <w:p w14:paraId="01EB222E">
      <w:pPr>
        <w:pStyle w:val="16"/>
        <w:shd w:val="clear" w:color="auto" w:fill="FFFFFF"/>
        <w:spacing w:before="0" w:beforeAutospacing="0" w:after="0" w:afterAutospacing="0" w:line="56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 xml:space="preserve">第三条  </w:t>
      </w:r>
      <w:r>
        <w:rPr>
          <w:rFonts w:hint="eastAsia" w:ascii="仿宋_GB2312" w:hAnsi="仿宋_GB2312" w:eastAsia="仿宋_GB2312" w:cs="仿宋_GB2312"/>
          <w:color w:val="auto"/>
          <w:sz w:val="32"/>
          <w:szCs w:val="32"/>
        </w:rPr>
        <w:t>校外导师职责</w:t>
      </w:r>
    </w:p>
    <w:p w14:paraId="348ADF88">
      <w:pPr>
        <w:pStyle w:val="12"/>
        <w:ind w:firstLine="640"/>
        <w:rPr>
          <w:rFonts w:hint="eastAsia" w:hAnsi="仿宋_GB2312" w:cs="仿宋_GB2312"/>
          <w:color w:val="auto"/>
          <w:szCs w:val="32"/>
        </w:rPr>
      </w:pPr>
      <w:r>
        <w:rPr>
          <w:rFonts w:hint="eastAsia" w:hAnsi="仿宋_GB2312" w:cs="仿宋_GB2312"/>
          <w:color w:val="auto"/>
          <w:szCs w:val="32"/>
        </w:rPr>
        <w:t>各类校外导师应分别满足下列职责要求：</w:t>
      </w:r>
    </w:p>
    <w:p w14:paraId="4EAE2D50">
      <w:pPr>
        <w:pStyle w:val="12"/>
        <w:ind w:firstLine="640"/>
        <w:rPr>
          <w:rFonts w:hint="eastAsia" w:hAnsi="仿宋_GB2312" w:cs="仿宋_GB2312"/>
          <w:color w:val="auto"/>
          <w:szCs w:val="32"/>
        </w:rPr>
      </w:pPr>
      <w:r>
        <w:rPr>
          <w:rFonts w:hint="eastAsia" w:hAnsi="仿宋_GB2312" w:cs="仿宋_GB2312"/>
          <w:color w:val="auto"/>
          <w:szCs w:val="32"/>
        </w:rPr>
        <w:t>（一）学位论文/实践成果类校外导师：协助校内导师确定研究生学位论文/实践成果选题；对论文研究工作/实践工作进行具体指导，定期听取汇报并协助解决论文/实践工作中的问题；必要时可参与研究生学位论文/实践成果选题、中期检查、答辩等环节；聘期内至少指导2名研究生，且每届指导的学生人数不得超过3人。</w:t>
      </w:r>
    </w:p>
    <w:p w14:paraId="0B0D3CCB">
      <w:pPr>
        <w:pStyle w:val="12"/>
        <w:ind w:firstLine="640"/>
        <w:rPr>
          <w:rFonts w:hint="eastAsia" w:hAnsi="仿宋_GB2312" w:cs="仿宋_GB2312"/>
          <w:color w:val="auto"/>
          <w:szCs w:val="32"/>
        </w:rPr>
      </w:pPr>
      <w:r>
        <w:rPr>
          <w:rFonts w:hint="eastAsia" w:hAnsi="仿宋_GB2312" w:cs="仿宋_GB2312"/>
          <w:color w:val="auto"/>
          <w:szCs w:val="32"/>
        </w:rPr>
        <w:t>（二）专业实践类校外导师：为研究生提供实践条件，并给予专业指导；协助校内导师做好学生的校外实践管理及实践总结撰写等工作；必要时参与全日制专业学位研究生的招生面试或学位论文答辩环节；聘期内至少指导2名研究生，且每届指导的学生人数不得超过3人。</w:t>
      </w:r>
    </w:p>
    <w:p w14:paraId="15E1EC59">
      <w:pPr>
        <w:pStyle w:val="12"/>
        <w:ind w:firstLine="640" w:firstLineChars="0"/>
        <w:rPr>
          <w:rFonts w:hint="eastAsia" w:hAnsi="仿宋_GB2312" w:cs="仿宋_GB2312"/>
          <w:color w:val="auto"/>
          <w:szCs w:val="32"/>
        </w:rPr>
      </w:pPr>
      <w:r>
        <w:rPr>
          <w:rFonts w:hint="eastAsia" w:hAnsi="仿宋_GB2312" w:cs="仿宋_GB2312"/>
          <w:color w:val="auto"/>
          <w:szCs w:val="32"/>
        </w:rPr>
        <w:t>（三）创业指导类校外导师：有时间、有能力、有意愿为学生提供创业辅导；开展创业培训，指导创业实践，解决创业过程中遇到的商业运行和融资等困难；聘期内至少指导1个创业项目或学生创业团队。</w:t>
      </w:r>
    </w:p>
    <w:p w14:paraId="1734D971">
      <w:pPr>
        <w:pStyle w:val="16"/>
        <w:shd w:val="clear" w:color="auto" w:fill="FFFFFF"/>
        <w:spacing w:before="0" w:beforeAutospacing="0" w:after="0" w:afterAutospacing="0" w:line="56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 xml:space="preserve">第四条  </w:t>
      </w:r>
      <w:r>
        <w:rPr>
          <w:rFonts w:hint="eastAsia" w:ascii="仿宋_GB2312" w:hAnsi="仿宋_GB2312" w:eastAsia="仿宋_GB2312" w:cs="仿宋_GB2312"/>
          <w:color w:val="auto"/>
          <w:sz w:val="32"/>
          <w:szCs w:val="32"/>
        </w:rPr>
        <w:t>校外导师的选聘程序</w:t>
      </w:r>
    </w:p>
    <w:p w14:paraId="618685FC">
      <w:pPr>
        <w:pStyle w:val="16"/>
        <w:shd w:val="clear" w:color="auto" w:fill="FFFFFF"/>
        <w:spacing w:before="0" w:beforeAutospacing="0" w:after="0" w:afterAutospacing="0"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（一）申请人填写校外导师申</w:t>
      </w:r>
      <w:bookmarkStart w:id="1" w:name="_GoBack"/>
      <w:bookmarkEnd w:id="1"/>
      <w:r>
        <w:rPr>
          <w:rFonts w:hint="eastAsia" w:ascii="仿宋_GB2312" w:hAnsi="仿宋_GB2312" w:eastAsia="仿宋_GB2312" w:cs="仿宋_GB2312"/>
          <w:color w:val="auto"/>
          <w:sz w:val="32"/>
          <w:szCs w:val="32"/>
        </w:rPr>
        <w:t>请表，并由所在单位填写推荐意见。</w:t>
      </w:r>
    </w:p>
    <w:p w14:paraId="00CF0EC2">
      <w:pPr>
        <w:pStyle w:val="16"/>
        <w:shd w:val="clear" w:color="auto" w:fill="FFFFFF"/>
        <w:spacing w:before="0" w:beforeAutospacing="0" w:after="0" w:afterAutospacing="0"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（二）分类审批</w:t>
      </w:r>
    </w:p>
    <w:p w14:paraId="2275E5C5">
      <w:pPr>
        <w:pStyle w:val="12"/>
        <w:ind w:firstLine="640"/>
        <w:rPr>
          <w:rFonts w:hint="eastAsia" w:hAnsi="仿宋_GB2312" w:cs="仿宋_GB2312"/>
          <w:color w:val="auto"/>
          <w:szCs w:val="32"/>
        </w:rPr>
      </w:pPr>
      <w:r>
        <w:rPr>
          <w:rFonts w:hint="eastAsia" w:hAnsi="仿宋_GB2312" w:cs="仿宋_GB2312"/>
          <w:color w:val="auto"/>
          <w:szCs w:val="32"/>
        </w:rPr>
        <w:t>1.学位论文/实践成果类校外导师申请表报学院各项目指导委员会初审，推荐符合条件的申请人报学院学位评定分委员会审批；</w:t>
      </w:r>
    </w:p>
    <w:p w14:paraId="1FFC8060">
      <w:pPr>
        <w:pStyle w:val="12"/>
        <w:ind w:firstLine="640"/>
        <w:rPr>
          <w:rFonts w:hint="eastAsia" w:hAnsi="仿宋_GB2312" w:cs="仿宋_GB2312"/>
          <w:color w:val="auto"/>
          <w:szCs w:val="32"/>
        </w:rPr>
      </w:pPr>
      <w:r>
        <w:rPr>
          <w:rFonts w:hint="eastAsia" w:hAnsi="仿宋_GB2312" w:cs="仿宋_GB2312"/>
          <w:color w:val="auto"/>
          <w:szCs w:val="32"/>
        </w:rPr>
        <w:t>2.专业实践类校外导师申请表报学院各项目指导委员会初审，推荐符合条件的申请人报学院教学委员会审批；</w:t>
      </w:r>
    </w:p>
    <w:p w14:paraId="34D59EA2">
      <w:pPr>
        <w:pStyle w:val="12"/>
        <w:ind w:firstLine="640"/>
        <w:rPr>
          <w:rFonts w:hint="eastAsia" w:hAnsi="仿宋_GB2312" w:cs="仿宋_GB2312"/>
          <w:color w:val="auto"/>
          <w:szCs w:val="32"/>
        </w:rPr>
      </w:pPr>
      <w:r>
        <w:rPr>
          <w:rFonts w:hint="eastAsia" w:hAnsi="仿宋_GB2312" w:cs="仿宋_GB2312"/>
          <w:color w:val="auto"/>
          <w:szCs w:val="32"/>
        </w:rPr>
        <w:t>3.创业指导类校外导师申请表报学院各项目指导委员会初审，推荐符合条件的申请人报学院教学委员会审批。</w:t>
      </w:r>
    </w:p>
    <w:p w14:paraId="02336E15">
      <w:pPr>
        <w:pStyle w:val="16"/>
        <w:shd w:val="clear" w:color="auto" w:fill="FFFFFF"/>
        <w:spacing w:before="0" w:beforeAutospacing="0" w:after="0" w:afterAutospacing="0"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（三）审批通过后，学院向申请人颁发校外导师聘书。</w:t>
      </w:r>
    </w:p>
    <w:p w14:paraId="0A12C076">
      <w:pPr>
        <w:pStyle w:val="16"/>
        <w:shd w:val="clear" w:color="auto" w:fill="FFFFFF"/>
        <w:spacing w:before="0" w:beforeAutospacing="0" w:after="0" w:afterAutospacing="0"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（四）校外导师的聘任工作每年集中开展2-4次。</w:t>
      </w:r>
    </w:p>
    <w:p w14:paraId="0C6E19C5">
      <w:pPr>
        <w:pStyle w:val="16"/>
        <w:shd w:val="clear" w:color="auto" w:fill="FFFFFF"/>
        <w:spacing w:before="0" w:beforeAutospacing="0" w:after="0" w:afterAutospacing="0" w:line="56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 xml:space="preserve">第五条 </w:t>
      </w:r>
      <w:r>
        <w:rPr>
          <w:rFonts w:hint="eastAsia" w:ascii="仿宋_GB2312" w:hAnsi="仿宋_GB2312" w:eastAsia="仿宋_GB2312" w:cs="仿宋_GB2312"/>
          <w:color w:val="auto"/>
          <w:sz w:val="32"/>
          <w:szCs w:val="32"/>
        </w:rPr>
        <w:t xml:space="preserve"> 校外导师的管理</w:t>
      </w:r>
    </w:p>
    <w:p w14:paraId="76DF5170">
      <w:pPr>
        <w:pStyle w:val="16"/>
        <w:shd w:val="clear" w:color="auto" w:fill="FFFFFF"/>
        <w:spacing w:before="0" w:beforeAutospacing="0" w:after="0" w:afterAutospacing="0"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（一）聘期管理：校外导师的聘期一般为3年。聘期满后导师资格自动解除，但可根据学院需求、本人意愿和聘期考核结果申请续聘。</w:t>
      </w:r>
    </w:p>
    <w:p w14:paraId="70443BCC">
      <w:pPr>
        <w:pStyle w:val="16"/>
        <w:shd w:val="clear" w:color="auto" w:fill="FFFFFF"/>
        <w:spacing w:before="0" w:beforeAutospacing="0" w:after="0" w:afterAutospacing="0"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（二）资格终止与取消：</w:t>
      </w:r>
      <w:bookmarkStart w:id="0" w:name="_Hlk213514528"/>
      <w:r>
        <w:rPr>
          <w:rFonts w:hint="eastAsia" w:ascii="仿宋_GB2312" w:hAnsi="仿宋_GB2312" w:eastAsia="仿宋_GB2312" w:cs="仿宋_GB2312"/>
          <w:color w:val="auto"/>
          <w:sz w:val="32"/>
          <w:szCs w:val="32"/>
        </w:rPr>
        <w:t>受党纪或政纪处分、</w:t>
      </w:r>
      <w:bookmarkEnd w:id="0"/>
      <w:r>
        <w:rPr>
          <w:rFonts w:hint="eastAsia" w:ascii="仿宋_GB2312" w:hAnsi="仿宋_GB2312" w:eastAsia="仿宋_GB2312" w:cs="仿宋_GB2312"/>
          <w:color w:val="auto"/>
          <w:sz w:val="32"/>
          <w:szCs w:val="32"/>
        </w:rPr>
        <w:t>聘期内校外导师如不履行导师职责、因故不宜继续指导研究生的，学院可中止或取消其导师资格。因个人原因需提前中止导师资格的，需提交书面说明，经培养项目初审、学院审批后中止其导师资格。</w:t>
      </w:r>
    </w:p>
    <w:p w14:paraId="04B6F76D">
      <w:pPr>
        <w:pStyle w:val="16"/>
        <w:shd w:val="clear" w:color="auto" w:fill="FFFFFF"/>
        <w:spacing w:before="0" w:beforeAutospacing="0" w:after="0" w:afterAutospacing="0"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（三）导师库管理：学院组建校外导师库，所有已颁发聘书的校外导师纳入导师库，根据聘期、考核情况等实行动态管理。</w:t>
      </w:r>
    </w:p>
    <w:p w14:paraId="7A3EBCE1">
      <w:pPr>
        <w:pStyle w:val="16"/>
        <w:shd w:val="clear" w:color="auto" w:fill="FFFFFF"/>
        <w:spacing w:before="0" w:beforeAutospacing="0" w:after="0" w:afterAutospacing="0" w:line="560" w:lineRule="exact"/>
        <w:ind w:firstLine="643" w:firstLineChars="200"/>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第六条</w:t>
      </w:r>
      <w:r>
        <w:rPr>
          <w:rFonts w:hint="eastAsia" w:ascii="仿宋_GB2312" w:hAnsi="仿宋_GB2312" w:eastAsia="仿宋_GB2312" w:cs="仿宋_GB2312"/>
          <w:color w:val="auto"/>
          <w:sz w:val="32"/>
          <w:szCs w:val="32"/>
        </w:rPr>
        <w:t xml:space="preserve">  校外导师考核</w:t>
      </w:r>
    </w:p>
    <w:p w14:paraId="53E0EAFD">
      <w:pPr>
        <w:pStyle w:val="12"/>
        <w:ind w:firstLine="640"/>
        <w:rPr>
          <w:rFonts w:hint="eastAsia" w:hAnsi="仿宋_GB2312" w:cs="仿宋_GB2312"/>
          <w:color w:val="auto"/>
          <w:szCs w:val="32"/>
        </w:rPr>
      </w:pPr>
      <w:r>
        <w:rPr>
          <w:rFonts w:hint="eastAsia" w:hAnsi="仿宋_GB2312" w:cs="仿宋_GB2312"/>
          <w:color w:val="auto"/>
          <w:szCs w:val="32"/>
        </w:rPr>
        <w:t>（一）考核范围：学院所有聘期期满的校外导师，均需在聘期结束时参加聘期考核。</w:t>
      </w:r>
    </w:p>
    <w:p w14:paraId="76A3D16F">
      <w:pPr>
        <w:pStyle w:val="12"/>
        <w:ind w:firstLine="640"/>
        <w:rPr>
          <w:rFonts w:hint="eastAsia" w:hAnsi="仿宋_GB2312" w:cs="仿宋_GB2312"/>
          <w:color w:val="auto"/>
          <w:szCs w:val="32"/>
        </w:rPr>
      </w:pPr>
      <w:r>
        <w:rPr>
          <w:rFonts w:hint="eastAsia" w:hAnsi="仿宋_GB2312" w:cs="仿宋_GB2312"/>
          <w:color w:val="auto"/>
          <w:szCs w:val="32"/>
        </w:rPr>
        <w:t>（二）考核内容：根据校外导师职责要求，对校外导师聘期内培养学生情况及成效进行考核。</w:t>
      </w:r>
    </w:p>
    <w:p w14:paraId="05A69440">
      <w:pPr>
        <w:pStyle w:val="12"/>
        <w:ind w:firstLine="640"/>
        <w:rPr>
          <w:rFonts w:hint="eastAsia" w:hAnsi="仿宋_GB2312" w:cs="仿宋_GB2312"/>
          <w:color w:val="auto"/>
          <w:szCs w:val="32"/>
        </w:rPr>
      </w:pPr>
      <w:r>
        <w:rPr>
          <w:rFonts w:hint="eastAsia" w:hAnsi="仿宋_GB2312" w:cs="仿宋_GB2312"/>
          <w:color w:val="auto"/>
          <w:szCs w:val="32"/>
        </w:rPr>
        <w:t>（三）考核流程：学院每学期开展一次校外导师聘期满考核工作，校外导师在聘期到期前三个月内填写聘期内工作总结表；考核工作由各培养项目自行组织，获评优秀校外导师的人数不超过当年考核总人数的10%；考核结果报培养处备案，培养处为优秀校外导师颁发证书。</w:t>
      </w:r>
    </w:p>
    <w:p w14:paraId="629217B7">
      <w:pPr>
        <w:pStyle w:val="12"/>
        <w:shd w:val="clear" w:color="auto" w:fill="FFFFFF"/>
        <w:ind w:firstLine="640"/>
        <w:rPr>
          <w:rFonts w:hint="eastAsia" w:hAnsi="仿宋_GB2312" w:cs="仿宋_GB2312"/>
          <w:color w:val="auto"/>
          <w:szCs w:val="32"/>
        </w:rPr>
      </w:pPr>
      <w:r>
        <w:rPr>
          <w:rFonts w:hint="eastAsia" w:hAnsi="仿宋_GB2312" w:cs="仿宋_GB2312"/>
          <w:color w:val="auto"/>
          <w:szCs w:val="32"/>
        </w:rPr>
        <w:t>（四）考核结果应用：考核结果作为校外导师评优及续聘的依据。</w:t>
      </w:r>
    </w:p>
    <w:p w14:paraId="19A4B7BA">
      <w:pPr>
        <w:pStyle w:val="16"/>
        <w:shd w:val="clear" w:color="auto" w:fill="FFFFFF"/>
        <w:spacing w:before="0" w:beforeAutospacing="0" w:after="0" w:afterAutospacing="0" w:line="56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 xml:space="preserve">第七条  </w:t>
      </w:r>
      <w:r>
        <w:rPr>
          <w:rFonts w:hint="eastAsia" w:ascii="仿宋_GB2312" w:hAnsi="仿宋_GB2312" w:eastAsia="仿宋_GB2312" w:cs="仿宋_GB2312"/>
          <w:color w:val="auto"/>
          <w:sz w:val="32"/>
          <w:szCs w:val="32"/>
        </w:rPr>
        <w:t>本办法由培养处负责解释。</w:t>
      </w:r>
    </w:p>
    <w:p w14:paraId="459C6D91">
      <w:pPr>
        <w:pStyle w:val="16"/>
        <w:shd w:val="clear" w:color="auto" w:fill="FFFFFF"/>
        <w:spacing w:before="0" w:beforeAutospacing="0" w:after="0" w:afterAutospacing="0" w:line="56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 xml:space="preserve">第八条 </w:t>
      </w:r>
      <w:r>
        <w:rPr>
          <w:rFonts w:hint="eastAsia" w:ascii="仿宋_GB2312" w:hAnsi="仿宋_GB2312" w:eastAsia="仿宋_GB2312" w:cs="仿宋_GB2312"/>
          <w:color w:val="auto"/>
          <w:sz w:val="32"/>
          <w:szCs w:val="32"/>
        </w:rPr>
        <w:t xml:space="preserve"> 本办法自公布之日起施行。</w:t>
      </w:r>
    </w:p>
    <w:sectPr>
      <w:headerReference r:id="rId6" w:type="first"/>
      <w:footerReference r:id="rId9" w:type="first"/>
      <w:footerReference r:id="rId7" w:type="default"/>
      <w:headerReference r:id="rId5" w:type="even"/>
      <w:footerReference r:id="rId8" w:type="even"/>
      <w:pgSz w:w="11906" w:h="16838"/>
      <w:pgMar w:top="1440" w:right="1418" w:bottom="1440" w:left="1418"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FangSong_GB2312">
    <w:panose1 w:val="02010609030101010101"/>
    <w:charset w:val="86"/>
    <w:family w:val="modern"/>
    <w:pitch w:val="default"/>
    <w:sig w:usb0="00000001" w:usb1="080E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 w:name="汉仪中等线KW">
    <w:panose1 w:val="01010104010101010101"/>
    <w:charset w:val="86"/>
    <w:family w:val="auto"/>
    <w:pitch w:val="default"/>
    <w:sig w:usb0="800002BF" w:usb1="004F7CFA" w:usb2="00000000" w:usb3="00000000" w:csb0="00040001" w:csb1="00000000"/>
  </w:font>
  <w:font w:name="宋体-简">
    <w:panose1 w:val="02010800040101010101"/>
    <w:charset w:val="86"/>
    <w:family w:val="auto"/>
    <w:pitch w:val="default"/>
    <w:sig w:usb0="00000001" w:usb1="080F0000" w:usb2="00000000" w:usb3="00000000" w:csb0="00040000" w:csb1="00000000"/>
  </w:font>
  <w:font w:name="等线 Light">
    <w:altName w:val="汉仪中等线KW"/>
    <w:panose1 w:val="00000000000000000000"/>
    <w:charset w:val="00"/>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C652B">
    <w:pPr>
      <w:pStyle w:val="13"/>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5220A58">
                          <w:pPr>
                            <w:pStyle w:val="13"/>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 xml:space="preserve">— </w:t>
                          </w:r>
                          <w:r>
                            <w:rPr>
                              <w:rFonts w:hint="default" w:ascii="Times New Roman Regular" w:hAnsi="Times New Roman Regular" w:cs="Times New Roman Regular"/>
                              <w:sz w:val="20"/>
                              <w:szCs w:val="20"/>
                            </w:rPr>
                            <w:fldChar w:fldCharType="begin"/>
                          </w:r>
                          <w:r>
                            <w:rPr>
                              <w:rFonts w:hint="default" w:ascii="Times New Roman Regular" w:hAnsi="Times New Roman Regular" w:cs="Times New Roman Regular"/>
                              <w:sz w:val="20"/>
                              <w:szCs w:val="20"/>
                            </w:rPr>
                            <w:instrText xml:space="preserve"> PAGE  \* MERGEFORMAT </w:instrText>
                          </w:r>
                          <w:r>
                            <w:rPr>
                              <w:rFonts w:hint="default" w:ascii="Times New Roman Regular" w:hAnsi="Times New Roman Regular" w:cs="Times New Roman Regular"/>
                              <w:sz w:val="20"/>
                              <w:szCs w:val="20"/>
                            </w:rPr>
                            <w:fldChar w:fldCharType="separate"/>
                          </w:r>
                          <w:r>
                            <w:rPr>
                              <w:rFonts w:hint="default" w:ascii="Times New Roman Regular" w:hAnsi="Times New Roman Regular" w:cs="Times New Roman Regular"/>
                              <w:sz w:val="20"/>
                              <w:szCs w:val="20"/>
                            </w:rPr>
                            <w:t>1</w:t>
                          </w:r>
                          <w:r>
                            <w:rPr>
                              <w:rFonts w:hint="default" w:ascii="Times New Roman Regular" w:hAnsi="Times New Roman Regular" w:cs="Times New Roman Regular"/>
                              <w:sz w:val="20"/>
                              <w:szCs w:val="20"/>
                            </w:rPr>
                            <w:fldChar w:fldCharType="end"/>
                          </w:r>
                          <w:r>
                            <w:rPr>
                              <w:rFonts w:hint="default" w:ascii="Times New Roman Regular" w:hAnsi="Times New Roman Regular" w:cs="Times New Roman Regular"/>
                              <w:sz w:val="20"/>
                              <w:szCs w:val="2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05220A58">
                    <w:pPr>
                      <w:pStyle w:val="13"/>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 xml:space="preserve">— </w:t>
                    </w:r>
                    <w:r>
                      <w:rPr>
                        <w:rFonts w:hint="default" w:ascii="Times New Roman Regular" w:hAnsi="Times New Roman Regular" w:cs="Times New Roman Regular"/>
                        <w:sz w:val="20"/>
                        <w:szCs w:val="20"/>
                      </w:rPr>
                      <w:fldChar w:fldCharType="begin"/>
                    </w:r>
                    <w:r>
                      <w:rPr>
                        <w:rFonts w:hint="default" w:ascii="Times New Roman Regular" w:hAnsi="Times New Roman Regular" w:cs="Times New Roman Regular"/>
                        <w:sz w:val="20"/>
                        <w:szCs w:val="20"/>
                      </w:rPr>
                      <w:instrText xml:space="preserve"> PAGE  \* MERGEFORMAT </w:instrText>
                    </w:r>
                    <w:r>
                      <w:rPr>
                        <w:rFonts w:hint="default" w:ascii="Times New Roman Regular" w:hAnsi="Times New Roman Regular" w:cs="Times New Roman Regular"/>
                        <w:sz w:val="20"/>
                        <w:szCs w:val="20"/>
                      </w:rPr>
                      <w:fldChar w:fldCharType="separate"/>
                    </w:r>
                    <w:r>
                      <w:rPr>
                        <w:rFonts w:hint="default" w:ascii="Times New Roman Regular" w:hAnsi="Times New Roman Regular" w:cs="Times New Roman Regular"/>
                        <w:sz w:val="20"/>
                        <w:szCs w:val="20"/>
                      </w:rPr>
                      <w:t>1</w:t>
                    </w:r>
                    <w:r>
                      <w:rPr>
                        <w:rFonts w:hint="default" w:ascii="Times New Roman Regular" w:hAnsi="Times New Roman Regular" w:cs="Times New Roman Regular"/>
                        <w:sz w:val="20"/>
                        <w:szCs w:val="20"/>
                      </w:rPr>
                      <w:fldChar w:fldCharType="end"/>
                    </w:r>
                    <w:r>
                      <w:rPr>
                        <w:rFonts w:hint="default" w:ascii="Times New Roman Regular" w:hAnsi="Times New Roman Regular" w:cs="Times New Roman Regular"/>
                        <w:sz w:val="20"/>
                        <w:szCs w:val="20"/>
                      </w:rPr>
                      <w:t xml:space="preserve"> —</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F79361">
                          <w:pPr>
                            <w:pStyle w:val="13"/>
                            <w:rPr>
                              <w:rFonts w:ascii="Times New Roman Regular" w:hAnsi="Times New Roman Regular" w:cs="Times New Roman Regular"/>
                              <w:sz w:val="20"/>
                              <w:szCs w:val="20"/>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3F79361">
                    <w:pPr>
                      <w:pStyle w:val="13"/>
                      <w:rPr>
                        <w:rFonts w:ascii="Times New Roman Regular" w:hAnsi="Times New Roman Regular" w:cs="Times New Roman Regular"/>
                        <w:sz w:val="20"/>
                        <w:szCs w:val="20"/>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A0744">
    <w:pPr>
      <w:pStyle w:val="13"/>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CF6BA">
    <w:pPr>
      <w:pStyle w:val="13"/>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CD4D8">
    <w:pPr>
      <w:pStyle w:val="14"/>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EF08E">
    <w:pPr>
      <w:pStyle w:val="14"/>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A2E"/>
    <w:rsid w:val="000C3512"/>
    <w:rsid w:val="000D4525"/>
    <w:rsid w:val="000E0461"/>
    <w:rsid w:val="000F61FE"/>
    <w:rsid w:val="00100075"/>
    <w:rsid w:val="00293CCB"/>
    <w:rsid w:val="0032315A"/>
    <w:rsid w:val="00383F63"/>
    <w:rsid w:val="004168D9"/>
    <w:rsid w:val="00497E25"/>
    <w:rsid w:val="004E15C6"/>
    <w:rsid w:val="005C4B35"/>
    <w:rsid w:val="005D6C79"/>
    <w:rsid w:val="00606F0F"/>
    <w:rsid w:val="00622FA3"/>
    <w:rsid w:val="006E484A"/>
    <w:rsid w:val="00757A2E"/>
    <w:rsid w:val="00875F67"/>
    <w:rsid w:val="008E0D2B"/>
    <w:rsid w:val="00910131"/>
    <w:rsid w:val="009D7641"/>
    <w:rsid w:val="009E5070"/>
    <w:rsid w:val="00AB21CB"/>
    <w:rsid w:val="00AC5274"/>
    <w:rsid w:val="00AD34EB"/>
    <w:rsid w:val="00B6142B"/>
    <w:rsid w:val="00BA3849"/>
    <w:rsid w:val="00BC2997"/>
    <w:rsid w:val="00BF3CE0"/>
    <w:rsid w:val="00C001CF"/>
    <w:rsid w:val="00C37CFE"/>
    <w:rsid w:val="00C436B4"/>
    <w:rsid w:val="00C86BBE"/>
    <w:rsid w:val="00CC52A4"/>
    <w:rsid w:val="00D34ACA"/>
    <w:rsid w:val="00D51EFA"/>
    <w:rsid w:val="00DC47FE"/>
    <w:rsid w:val="00DF6A02"/>
    <w:rsid w:val="00E24004"/>
    <w:rsid w:val="00E4538B"/>
    <w:rsid w:val="00EE23CE"/>
    <w:rsid w:val="00F31821"/>
    <w:rsid w:val="00F64205"/>
    <w:rsid w:val="00FA1E08"/>
    <w:rsid w:val="01150CE5"/>
    <w:rsid w:val="0F674D0B"/>
    <w:rsid w:val="21B947C8"/>
    <w:rsid w:val="2BEB27D1"/>
    <w:rsid w:val="3EEDF021"/>
    <w:rsid w:val="627FF110"/>
    <w:rsid w:val="63636377"/>
    <w:rsid w:val="652E53AD"/>
    <w:rsid w:val="67765BB4"/>
    <w:rsid w:val="6F3FDD62"/>
    <w:rsid w:val="742D09F5"/>
    <w:rsid w:val="75BFB557"/>
    <w:rsid w:val="7F8F5ACD"/>
    <w:rsid w:val="DBA9B9B6"/>
    <w:rsid w:val="DBFF976D"/>
    <w:rsid w:val="E53D00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1"/>
    <w:qFormat/>
    <w:uiPriority w:val="0"/>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6"/>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7"/>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2"/>
    <w:qFormat/>
    <w:uiPriority w:val="0"/>
    <w:pPr>
      <w:spacing w:after="0" w:line="240" w:lineRule="auto"/>
    </w:pPr>
    <w:rPr>
      <w:kern w:val="0"/>
      <w:sz w:val="21"/>
      <w:szCs w:val="22"/>
      <w14:ligatures w14:val="none"/>
    </w:rPr>
  </w:style>
  <w:style w:type="paragraph" w:styleId="12">
    <w:name w:val="Body Text"/>
    <w:link w:val="43"/>
    <w:qFormat/>
    <w:uiPriority w:val="0"/>
    <w:pPr>
      <w:spacing w:line="560" w:lineRule="exact"/>
      <w:ind w:firstLine="643" w:firstLineChars="200"/>
    </w:pPr>
    <w:rPr>
      <w:rFonts w:ascii="仿宋_GB2312" w:hAnsi="Calibri" w:eastAsia="仿宋_GB2312" w:cs="Times New Roman"/>
      <w:sz w:val="32"/>
      <w:lang w:val="en-US" w:eastAsia="zh-CN" w:bidi="ar-SA"/>
    </w:rPr>
  </w:style>
  <w:style w:type="paragraph" w:styleId="13">
    <w:name w:val="footer"/>
    <w:basedOn w:val="1"/>
    <w:link w:val="40"/>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39"/>
    <w:unhideWhenUsed/>
    <w:qFormat/>
    <w:uiPriority w:val="99"/>
    <w:pPr>
      <w:tabs>
        <w:tab w:val="center" w:pos="4153"/>
        <w:tab w:val="right" w:pos="8306"/>
      </w:tabs>
      <w:snapToGrid w:val="0"/>
      <w:spacing w:line="240" w:lineRule="auto"/>
      <w:jc w:val="center"/>
    </w:pPr>
    <w:rPr>
      <w:sz w:val="18"/>
      <w:szCs w:val="18"/>
    </w:rPr>
  </w:style>
  <w:style w:type="paragraph" w:styleId="15">
    <w:name w:val="Subtitle"/>
    <w:basedOn w:val="1"/>
    <w:next w:val="1"/>
    <w:link w:val="31"/>
    <w:qFormat/>
    <w:uiPriority w:val="0"/>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Normal (Web)"/>
    <w:basedOn w:val="1"/>
    <w:unhideWhenUsed/>
    <w:qFormat/>
    <w:uiPriority w:val="99"/>
    <w:pPr>
      <w:widowControl/>
      <w:spacing w:before="100" w:beforeAutospacing="1" w:after="100" w:afterAutospacing="1" w:line="240" w:lineRule="auto"/>
    </w:pPr>
    <w:rPr>
      <w:rFonts w:ascii="宋体" w:hAnsi="宋体" w:eastAsia="宋体" w:cs="宋体"/>
      <w:kern w:val="0"/>
      <w:sz w:val="24"/>
      <w14:ligatures w14:val="none"/>
    </w:rPr>
  </w:style>
  <w:style w:type="paragraph" w:styleId="17">
    <w:name w:val="Title"/>
    <w:basedOn w:val="1"/>
    <w:next w:val="1"/>
    <w:link w:val="30"/>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20">
    <w:name w:val="annotation reference"/>
    <w:basedOn w:val="19"/>
    <w:qFormat/>
    <w:uiPriority w:val="0"/>
    <w:rPr>
      <w:sz w:val="21"/>
      <w:szCs w:val="21"/>
    </w:rPr>
  </w:style>
  <w:style w:type="character" w:customStyle="1" w:styleId="21">
    <w:name w:val="标题 1 字符"/>
    <w:basedOn w:val="19"/>
    <w:link w:val="2"/>
    <w:qFormat/>
    <w:uiPriority w:val="0"/>
    <w:rPr>
      <w:rFonts w:asciiTheme="majorHAnsi" w:hAnsiTheme="majorHAnsi" w:eastAsiaTheme="majorEastAsia" w:cstheme="majorBidi"/>
      <w:color w:val="2F5597" w:themeColor="accent1" w:themeShade="BF"/>
      <w:sz w:val="48"/>
      <w:szCs w:val="48"/>
    </w:rPr>
  </w:style>
  <w:style w:type="character" w:customStyle="1" w:styleId="22">
    <w:name w:val="标题 2 字符"/>
    <w:basedOn w:val="19"/>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3">
    <w:name w:val="标题 3 字符"/>
    <w:basedOn w:val="19"/>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4">
    <w:name w:val="标题 4 字符"/>
    <w:basedOn w:val="19"/>
    <w:link w:val="5"/>
    <w:semiHidden/>
    <w:qFormat/>
    <w:uiPriority w:val="9"/>
    <w:rPr>
      <w:rFonts w:cstheme="majorBidi"/>
      <w:color w:val="2F5597" w:themeColor="accent1" w:themeShade="BF"/>
      <w:sz w:val="28"/>
      <w:szCs w:val="28"/>
    </w:rPr>
  </w:style>
  <w:style w:type="character" w:customStyle="1" w:styleId="25">
    <w:name w:val="标题 5 字符"/>
    <w:basedOn w:val="19"/>
    <w:link w:val="6"/>
    <w:semiHidden/>
    <w:qFormat/>
    <w:uiPriority w:val="9"/>
    <w:rPr>
      <w:rFonts w:cstheme="majorBidi"/>
      <w:color w:val="2F5597" w:themeColor="accent1" w:themeShade="BF"/>
      <w:sz w:val="24"/>
    </w:rPr>
  </w:style>
  <w:style w:type="character" w:customStyle="1" w:styleId="26">
    <w:name w:val="标题 6 字符"/>
    <w:basedOn w:val="19"/>
    <w:link w:val="7"/>
    <w:semiHidden/>
    <w:qFormat/>
    <w:uiPriority w:val="9"/>
    <w:rPr>
      <w:rFonts w:cstheme="majorBidi"/>
      <w:b/>
      <w:bCs/>
      <w:color w:val="2F5597" w:themeColor="accent1" w:themeShade="BF"/>
    </w:rPr>
  </w:style>
  <w:style w:type="character" w:customStyle="1" w:styleId="27">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7"/>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5"/>
    <w:qFormat/>
    <w:uiPriority w:val="0"/>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9"/>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明显强调1"/>
    <w:basedOn w:val="19"/>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7">
    <w:name w:val="明显引用 字符"/>
    <w:basedOn w:val="19"/>
    <w:link w:val="36"/>
    <w:qFormat/>
    <w:uiPriority w:val="30"/>
    <w:rPr>
      <w:i/>
      <w:iCs/>
      <w:color w:val="2F5597" w:themeColor="accent1" w:themeShade="BF"/>
    </w:rPr>
  </w:style>
  <w:style w:type="character" w:customStyle="1" w:styleId="38">
    <w:name w:val="明显参考1"/>
    <w:basedOn w:val="19"/>
    <w:qFormat/>
    <w:uiPriority w:val="32"/>
    <w:rPr>
      <w:b/>
      <w:bCs/>
      <w:smallCaps/>
      <w:color w:val="2F5597" w:themeColor="accent1" w:themeShade="BF"/>
      <w:spacing w:val="5"/>
    </w:rPr>
  </w:style>
  <w:style w:type="character" w:customStyle="1" w:styleId="39">
    <w:name w:val="页眉 字符"/>
    <w:basedOn w:val="19"/>
    <w:link w:val="14"/>
    <w:qFormat/>
    <w:uiPriority w:val="99"/>
    <w:rPr>
      <w:sz w:val="18"/>
      <w:szCs w:val="18"/>
    </w:rPr>
  </w:style>
  <w:style w:type="character" w:customStyle="1" w:styleId="40">
    <w:name w:val="页脚 字符"/>
    <w:basedOn w:val="19"/>
    <w:link w:val="13"/>
    <w:qFormat/>
    <w:uiPriority w:val="99"/>
    <w:rPr>
      <w:sz w:val="18"/>
      <w:szCs w:val="18"/>
    </w:rPr>
  </w:style>
  <w:style w:type="paragraph" w:customStyle="1" w:styleId="41">
    <w:name w:val="修订1"/>
    <w:hidden/>
    <w:semiHidden/>
    <w:qFormat/>
    <w:uiPriority w:val="99"/>
    <w:rPr>
      <w:rFonts w:asciiTheme="minorHAnsi" w:hAnsiTheme="minorHAnsi" w:eastAsiaTheme="minorEastAsia" w:cstheme="minorBidi"/>
      <w:kern w:val="2"/>
      <w:sz w:val="22"/>
      <w:szCs w:val="24"/>
      <w:lang w:val="en-US" w:eastAsia="zh-CN" w:bidi="ar-SA"/>
      <w14:ligatures w14:val="standardContextual"/>
    </w:rPr>
  </w:style>
  <w:style w:type="character" w:customStyle="1" w:styleId="42">
    <w:name w:val="批注文字 字符"/>
    <w:basedOn w:val="19"/>
    <w:link w:val="11"/>
    <w:qFormat/>
    <w:uiPriority w:val="0"/>
    <w:rPr>
      <w:kern w:val="0"/>
      <w:sz w:val="21"/>
      <w:szCs w:val="22"/>
      <w14:ligatures w14:val="none"/>
    </w:rPr>
  </w:style>
  <w:style w:type="character" w:customStyle="1" w:styleId="43">
    <w:name w:val="正文文本 字符"/>
    <w:basedOn w:val="19"/>
    <w:link w:val="12"/>
    <w:qFormat/>
    <w:uiPriority w:val="0"/>
    <w:rPr>
      <w:rFonts w:ascii="仿宋_GB2312" w:hAnsi="Calibri" w:eastAsia="仿宋_GB2312" w:cs="Times New Roman"/>
      <w:kern w:val="0"/>
      <w:sz w:val="32"/>
      <w:szCs w:val="20"/>
      <w14:ligatures w14:val="none"/>
    </w:rPr>
  </w:style>
  <w:style w:type="paragraph" w:customStyle="1" w:styleId="44">
    <w:name w:val="修订2"/>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45">
    <w:name w:val="修订3"/>
    <w:hidden/>
    <w:unhideWhenUsed/>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46">
    <w:name w:val="修订4"/>
    <w:hidden/>
    <w:unhideWhenUsed/>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47">
    <w:name w:val="Revision"/>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477454-C407-4A82-93F0-6C6B63379CEB}">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1622</Words>
  <Characters>1642</Characters>
  <Lines>42</Lines>
  <Paragraphs>34</Paragraphs>
  <TotalTime>0</TotalTime>
  <ScaleCrop>false</ScaleCrop>
  <LinksUpToDate>false</LinksUpToDate>
  <CharactersWithSpaces>1658</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2026-01-04T22:33:00Z</dcterms:created>
  <dc:creator>王国全</dc:creator>
  <cp:lastModifiedBy>谭沙丽</cp:lastModifiedBy>
  <dcterms:modified xsi:type="dcterms:W3CDTF">2026-01-08T17:25:54Z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eyJoZGlkIjoiYmJiNDY5ODA2NTFiODdlMmM3NTkwZGM3Y2QwMzI4NDYiLCJ1c2VySWQiOiIyNDk0NzU3ODcifQ==</vt:lpwstr>
  </property>
  <property fmtid="{D5CDD505-2E9C-101B-9397-08002B2CF9AE}" pid="3" name="KSOProductBuildVer">
    <vt:lpwstr>2052-12.1.24031.24031</vt:lpwstr>
  </property>
  <property fmtid="{D5CDD505-2E9C-101B-9397-08002B2CF9AE}" pid="4" name="ICV">
    <vt:lpwstr>5A5386BF28E8071A79935A69883BC276_43</vt:lpwstr>
  </property>
</Properties>
</file>