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A11860">
      <w:pPr>
        <w:pStyle w:val="3"/>
        <w:spacing w:line="560" w:lineRule="exact"/>
        <w:ind w:left="0" w:firstLine="643"/>
        <w:jc w:val="right"/>
        <w:rPr>
          <w:rFonts w:hint="eastAsia" w:ascii="FangSong_GB2312" w:hAnsi="FangSong_GB2312" w:eastAsia="FangSong_GB2312" w:cs="FangSong_GB2312"/>
          <w:color w:val="000000"/>
          <w:sz w:val="32"/>
          <w:szCs w:val="32"/>
        </w:rPr>
      </w:pPr>
      <w:bookmarkStart w:id="0" w:name="_GoBack"/>
      <w:r>
        <w:rPr>
          <w:rFonts w:hint="eastAsia" w:ascii="FangSong_GB2312" w:hAnsi="FangSong_GB2312" w:eastAsia="FangSong_GB2312" w:cs="FangSong_GB2312"/>
          <w:color w:val="000000"/>
          <w:sz w:val="32"/>
          <w:szCs w:val="32"/>
        </w:rPr>
        <w:t>清深国院规〔202</w:t>
      </w:r>
      <w:r>
        <w:rPr>
          <w:rFonts w:hint="eastAsia" w:ascii="FangSong_GB2312" w:hAnsi="FangSong_GB2312" w:eastAsia="FangSong_GB2312" w:cs="FangSong_GB2312"/>
          <w:color w:val="000000"/>
          <w:sz w:val="32"/>
          <w:szCs w:val="32"/>
          <w:lang w:val="en-US" w:eastAsia="zh-CN"/>
        </w:rPr>
        <w:t>6</w:t>
      </w:r>
      <w:r>
        <w:rPr>
          <w:rFonts w:hint="eastAsia" w:ascii="FangSong_GB2312" w:hAnsi="FangSong_GB2312" w:eastAsia="FangSong_GB2312" w:cs="FangSong_GB2312"/>
          <w:color w:val="000000"/>
          <w:sz w:val="32"/>
          <w:szCs w:val="32"/>
        </w:rPr>
        <w:t>〕</w:t>
      </w:r>
      <w:r>
        <w:rPr>
          <w:rFonts w:hint="eastAsia" w:ascii="FangSong_GB2312" w:hAnsi="FangSong_GB2312" w:eastAsia="FangSong_GB2312" w:cs="FangSong_GB2312"/>
          <w:color w:val="000000"/>
          <w:sz w:val="32"/>
          <w:szCs w:val="32"/>
          <w:lang w:val="en-US" w:eastAsia="zh-CN"/>
        </w:rPr>
        <w:t>6</w:t>
      </w:r>
      <w:r>
        <w:rPr>
          <w:rFonts w:hint="eastAsia" w:ascii="FangSong_GB2312" w:hAnsi="FangSong_GB2312" w:eastAsia="FangSong_GB2312" w:cs="FangSong_GB2312"/>
          <w:color w:val="000000"/>
          <w:sz w:val="32"/>
          <w:szCs w:val="32"/>
        </w:rPr>
        <w:t>号</w:t>
      </w:r>
    </w:p>
    <w:bookmarkEnd w:id="0"/>
    <w:p w14:paraId="10B66EC7">
      <w:pPr>
        <w:pStyle w:val="3"/>
        <w:spacing w:line="560" w:lineRule="exact"/>
        <w:ind w:left="0" w:firstLine="643"/>
        <w:jc w:val="right"/>
        <w:rPr>
          <w:rFonts w:hint="eastAsia" w:ascii="FangSong_GB2312" w:hAnsi="FangSong_GB2312" w:eastAsia="FangSong_GB2312" w:cs="FangSong_GB2312"/>
          <w:color w:val="000000"/>
          <w:sz w:val="32"/>
          <w:szCs w:val="32"/>
        </w:rPr>
      </w:pPr>
    </w:p>
    <w:p w14:paraId="228F9C19">
      <w:pPr>
        <w:jc w:val="center"/>
        <w:rPr>
          <w:rFonts w:ascii="方正小标宋简体" w:eastAsia="方正小标宋简体"/>
          <w:bCs/>
          <w:sz w:val="36"/>
          <w:szCs w:val="36"/>
        </w:rPr>
      </w:pPr>
      <w:r>
        <w:rPr>
          <w:rFonts w:hint="eastAsia" w:ascii="方正小标宋简体" w:eastAsia="方正小标宋简体"/>
          <w:bCs/>
          <w:sz w:val="36"/>
          <w:szCs w:val="36"/>
        </w:rPr>
        <w:t>清华大学深圳国际研究生院博士后招收办法</w:t>
      </w:r>
    </w:p>
    <w:p w14:paraId="7A642932">
      <w:pPr>
        <w:spacing w:line="560" w:lineRule="exact"/>
        <w:jc w:val="center"/>
        <w:rPr>
          <w:rFonts w:ascii="Times New Roman" w:hAnsi="Times New Roman" w:eastAsia="FangSong_GB2312"/>
          <w:color w:val="000000" w:themeColor="text1"/>
          <w:sz w:val="32"/>
          <w:szCs w:val="32"/>
          <w14:textFill>
            <w14:solidFill>
              <w14:schemeClr w14:val="tx1"/>
            </w14:solidFill>
          </w14:textFill>
        </w:rPr>
      </w:pPr>
      <w:r>
        <w:rPr>
          <w:rFonts w:hint="eastAsia" w:ascii="Times New Roman" w:hAnsi="Times New Roman" w:eastAsia="FangSong_GB2312"/>
          <w:color w:val="000000" w:themeColor="text1"/>
          <w:sz w:val="32"/>
          <w:szCs w:val="32"/>
          <w14:textFill>
            <w14:solidFill>
              <w14:schemeClr w14:val="tx1"/>
            </w14:solidFill>
          </w14:textFill>
        </w:rPr>
        <w:t>二</w:t>
      </w:r>
      <w:r>
        <w:rPr>
          <w:rFonts w:hint="eastAsia" w:ascii="FangSong_GB2312" w:hAnsi="FangSong_GB2312" w:eastAsia="FangSong_GB2312" w:cs="FangSong_GB2312"/>
          <w:color w:val="000000"/>
          <w:sz w:val="30"/>
          <w:szCs w:val="30"/>
        </w:rPr>
        <w:t>〇</w:t>
      </w:r>
      <w:r>
        <w:rPr>
          <w:rFonts w:hint="eastAsia" w:ascii="FangSong_GB2312" w:hAnsi="FangSong_GB2312" w:eastAsia="FangSong_GB2312" w:cs="FangSong_GB2312"/>
          <w:color w:val="000000" w:themeColor="text1"/>
          <w:sz w:val="32"/>
          <w:szCs w:val="32"/>
          <w14:textFill>
            <w14:solidFill>
              <w14:schemeClr w14:val="tx1"/>
            </w14:solidFill>
          </w14:textFill>
        </w:rPr>
        <w:t>二一年第二次院务会</w:t>
      </w:r>
      <w:r>
        <w:rPr>
          <w:rFonts w:hint="eastAsia" w:ascii="Times New Roman" w:hAnsi="Times New Roman" w:eastAsia="FangSong_GB2312"/>
          <w:color w:val="000000" w:themeColor="text1"/>
          <w:sz w:val="32"/>
          <w:szCs w:val="32"/>
          <w14:textFill>
            <w14:solidFill>
              <w14:schemeClr w14:val="tx1"/>
            </w14:solidFill>
          </w14:textFill>
        </w:rPr>
        <w:t>（2021年1月12日）审议通过</w:t>
      </w:r>
    </w:p>
    <w:p w14:paraId="6F8D5341">
      <w:pPr>
        <w:spacing w:line="560" w:lineRule="exact"/>
        <w:jc w:val="center"/>
        <w:rPr>
          <w:rFonts w:ascii="Times New Roman" w:hAnsi="Times New Roman" w:eastAsia="FangSong_GB2312"/>
          <w:color w:val="000000" w:themeColor="text1"/>
          <w:sz w:val="32"/>
          <w:szCs w:val="32"/>
          <w14:textFill>
            <w14:solidFill>
              <w14:schemeClr w14:val="tx1"/>
            </w14:solidFill>
          </w14:textFill>
        </w:rPr>
      </w:pPr>
      <w:r>
        <w:rPr>
          <w:rFonts w:hint="eastAsia" w:ascii="Times New Roman" w:hAnsi="Times New Roman" w:eastAsia="FangSong_GB2312"/>
          <w:color w:val="000000" w:themeColor="text1"/>
          <w:sz w:val="32"/>
          <w:szCs w:val="32"/>
          <w14:textFill>
            <w14:solidFill>
              <w14:schemeClr w14:val="tx1"/>
            </w14:solidFill>
          </w14:textFill>
        </w:rPr>
        <w:t>二</w:t>
      </w:r>
      <w:r>
        <w:rPr>
          <w:rFonts w:hint="eastAsia" w:ascii="FangSong_GB2312" w:hAnsi="FangSong_GB2312" w:eastAsia="FangSong_GB2312" w:cs="FangSong_GB2312"/>
          <w:color w:val="000000"/>
          <w:sz w:val="30"/>
          <w:szCs w:val="30"/>
        </w:rPr>
        <w:t>〇</w:t>
      </w:r>
      <w:r>
        <w:rPr>
          <w:rFonts w:hint="eastAsia" w:ascii="Times New Roman" w:hAnsi="Times New Roman" w:eastAsia="FangSong_GB2312"/>
          <w:color w:val="000000" w:themeColor="text1"/>
          <w:sz w:val="32"/>
          <w:szCs w:val="32"/>
          <w14:textFill>
            <w14:solidFill>
              <w14:schemeClr w14:val="tx1"/>
            </w14:solidFill>
          </w14:textFill>
        </w:rPr>
        <w:t>二五年第七十三次党政联席会议（2025年12月22日）修订</w:t>
      </w:r>
    </w:p>
    <w:p w14:paraId="1BBFDAA1">
      <w:pPr>
        <w:spacing w:line="560" w:lineRule="exact"/>
        <w:ind w:firstLine="640" w:firstLineChars="200"/>
        <w:rPr>
          <w:rFonts w:hint="eastAsia" w:ascii="FangSong_GB2312" w:hAnsi="宋体" w:eastAsia="FangSong_GB2312" w:cs="宋体"/>
          <w:color w:val="000000"/>
          <w:kern w:val="0"/>
          <w:sz w:val="32"/>
          <w:szCs w:val="32"/>
        </w:rPr>
      </w:pPr>
    </w:p>
    <w:p w14:paraId="2A330943">
      <w:pPr>
        <w:spacing w:line="560" w:lineRule="exact"/>
        <w:ind w:firstLine="643" w:firstLineChars="200"/>
        <w:rPr>
          <w:rFonts w:hint="eastAsia" w:ascii="FangSong_GB2312" w:hAnsi="宋体" w:eastAsia="FangSong_GB2312" w:cs="宋体"/>
          <w:color w:val="000000"/>
          <w:kern w:val="0"/>
          <w:sz w:val="32"/>
          <w:szCs w:val="32"/>
        </w:rPr>
      </w:pPr>
      <w:r>
        <w:rPr>
          <w:rFonts w:hint="eastAsia" w:ascii="FangSong_GB2312" w:hAnsi="宋体" w:eastAsia="FangSong_GB2312" w:cs="宋体"/>
          <w:b/>
          <w:bCs/>
          <w:color w:val="000000"/>
          <w:kern w:val="0"/>
          <w:sz w:val="32"/>
          <w:szCs w:val="32"/>
        </w:rPr>
        <w:t>第一条</w:t>
      </w:r>
      <w:r>
        <w:rPr>
          <w:rFonts w:hint="eastAsia" w:ascii="FangSong_GB2312" w:hAnsi="宋体" w:eastAsia="FangSong_GB2312" w:cs="宋体"/>
          <w:color w:val="000000"/>
          <w:kern w:val="0"/>
          <w:sz w:val="32"/>
          <w:szCs w:val="32"/>
        </w:rPr>
        <w:t xml:space="preserve"> 为了进一步规范清华大学深圳国际研究生院（以下简称学院）博士后招收管理，根据清华大学和深圳市博士后管理的有关文件精神，结合学院实际，制定本办法。</w:t>
      </w:r>
    </w:p>
    <w:p w14:paraId="02F720B7">
      <w:pPr>
        <w:spacing w:line="560" w:lineRule="exact"/>
        <w:ind w:firstLine="643" w:firstLineChars="200"/>
        <w:jc w:val="left"/>
        <w:rPr>
          <w:rFonts w:hint="eastAsia" w:ascii="FangSong_GB2312" w:eastAsia="FangSong_GB2312" w:hAnsiTheme="minorEastAsia"/>
          <w:sz w:val="32"/>
          <w:szCs w:val="32"/>
        </w:rPr>
      </w:pPr>
      <w:r>
        <w:rPr>
          <w:rFonts w:hint="eastAsia" w:ascii="FangSong_GB2312" w:eastAsia="FangSong_GB2312" w:hAnsiTheme="minorEastAsia"/>
          <w:b/>
          <w:bCs/>
          <w:sz w:val="32"/>
          <w:szCs w:val="32"/>
        </w:rPr>
        <w:t>第二条</w:t>
      </w:r>
      <w:r>
        <w:rPr>
          <w:rFonts w:hint="eastAsia" w:ascii="FangSong_GB2312" w:eastAsia="FangSong_GB2312" w:hAnsiTheme="minorEastAsia"/>
          <w:sz w:val="32"/>
          <w:szCs w:val="32"/>
        </w:rPr>
        <w:t xml:space="preserve">  合作导师资格 </w:t>
      </w:r>
    </w:p>
    <w:p w14:paraId="5DAEC9FF">
      <w:pPr>
        <w:spacing w:line="560" w:lineRule="exact"/>
        <w:ind w:firstLine="640" w:firstLineChars="200"/>
        <w:jc w:val="left"/>
        <w:rPr>
          <w:rFonts w:hint="eastAsia" w:ascii="FangSong_GB2312" w:eastAsia="FangSong_GB2312" w:hAnsiTheme="minorEastAsia"/>
          <w:sz w:val="32"/>
          <w:szCs w:val="32"/>
        </w:rPr>
      </w:pPr>
      <w:r>
        <w:rPr>
          <w:rFonts w:hint="eastAsia" w:ascii="FangSong_GB2312" w:eastAsia="FangSong_GB2312" w:hAnsiTheme="minorEastAsia"/>
          <w:sz w:val="32"/>
          <w:szCs w:val="32"/>
        </w:rPr>
        <w:t>（一）人事关系在学院的教研系列教师、具有博导资格的其他系列正副高教师，或经学校审批通过的共建教师，可在学院招收博士后。</w:t>
      </w:r>
    </w:p>
    <w:p w14:paraId="15881A5A">
      <w:pPr>
        <w:spacing w:line="560" w:lineRule="exact"/>
        <w:ind w:firstLine="640" w:firstLineChars="200"/>
        <w:jc w:val="left"/>
        <w:rPr>
          <w:rFonts w:hint="eastAsia" w:ascii="FangSong_GB2312" w:eastAsia="FangSong_GB2312" w:hAnsiTheme="minorEastAsia"/>
          <w:sz w:val="32"/>
          <w:szCs w:val="32"/>
        </w:rPr>
      </w:pPr>
      <w:r>
        <w:rPr>
          <w:rFonts w:hint="eastAsia" w:ascii="FangSong_GB2312" w:eastAsia="FangSong_GB2312" w:hAnsiTheme="minorEastAsia"/>
          <w:sz w:val="32"/>
          <w:szCs w:val="32"/>
        </w:rPr>
        <w:t>（二）合作导师需有符合要求的项目方可招收博士后，根据学校《流动站单位审批意见表》中的说明，一般要求博士后来校从事的研究课题必须是合作导师的校内科研项目，主要指纵向科研项目，经费合同额度不少于30万元，且项目起止时间应包含博士后在站期间的时长。</w:t>
      </w:r>
    </w:p>
    <w:p w14:paraId="2167A997">
      <w:pPr>
        <w:spacing w:line="560" w:lineRule="exact"/>
        <w:ind w:firstLine="643" w:firstLineChars="200"/>
        <w:jc w:val="left"/>
        <w:rPr>
          <w:rFonts w:hint="eastAsia" w:ascii="FangSong_GB2312" w:eastAsia="FangSong_GB2312" w:hAnsiTheme="minorEastAsia"/>
          <w:sz w:val="32"/>
          <w:szCs w:val="32"/>
        </w:rPr>
      </w:pPr>
      <w:r>
        <w:rPr>
          <w:rFonts w:hint="eastAsia" w:ascii="FangSong_GB2312" w:eastAsia="FangSong_GB2312" w:hAnsiTheme="minorEastAsia"/>
          <w:b/>
          <w:bCs/>
          <w:sz w:val="32"/>
          <w:szCs w:val="32"/>
        </w:rPr>
        <w:t>第三条</w:t>
      </w:r>
      <w:r>
        <w:rPr>
          <w:rFonts w:hint="eastAsia" w:ascii="FangSong_GB2312" w:eastAsia="FangSong_GB2312" w:hAnsiTheme="minorEastAsia"/>
          <w:sz w:val="32"/>
          <w:szCs w:val="32"/>
        </w:rPr>
        <w:t xml:space="preserve"> 博士后基本要求 </w:t>
      </w:r>
    </w:p>
    <w:p w14:paraId="20E1D6DB">
      <w:pPr>
        <w:spacing w:line="560" w:lineRule="exact"/>
        <w:ind w:firstLine="640" w:firstLineChars="200"/>
        <w:jc w:val="left"/>
        <w:rPr>
          <w:rFonts w:hint="eastAsia" w:ascii="FangSong_GB2312" w:eastAsia="FangSong_GB2312" w:hAnsiTheme="minorEastAsia"/>
          <w:sz w:val="32"/>
          <w:szCs w:val="32"/>
        </w:rPr>
      </w:pPr>
      <w:r>
        <w:rPr>
          <w:rFonts w:hint="eastAsia" w:ascii="FangSong_GB2312" w:eastAsia="FangSong_GB2312" w:hAnsiTheme="minorEastAsia"/>
          <w:sz w:val="32"/>
          <w:szCs w:val="32"/>
        </w:rPr>
        <w:t>（一）年龄一般在三十五岁以下，获得博士学位后的年限一般不超过三年，学校博士毕业生原则上不能申请进入本校相同一级学科的流动站。特殊情况需提前向主管博士后工作院领导提交申请，审批通过后方可招收。</w:t>
      </w:r>
    </w:p>
    <w:p w14:paraId="12FC5099">
      <w:pPr>
        <w:spacing w:line="560" w:lineRule="exact"/>
        <w:ind w:firstLine="640" w:firstLineChars="200"/>
        <w:jc w:val="left"/>
        <w:rPr>
          <w:rFonts w:hint="eastAsia" w:ascii="FangSong_GB2312" w:eastAsia="FangSong_GB2312" w:hAnsiTheme="minorEastAsia"/>
          <w:sz w:val="32"/>
          <w:szCs w:val="32"/>
        </w:rPr>
      </w:pPr>
      <w:r>
        <w:rPr>
          <w:rFonts w:hint="eastAsia" w:ascii="FangSong_GB2312" w:eastAsia="FangSong_GB2312" w:hAnsiTheme="minorEastAsia"/>
          <w:sz w:val="32"/>
          <w:szCs w:val="32"/>
        </w:rPr>
        <w:t>（二）学院原则上不招收超龄及在职博士后。</w:t>
      </w:r>
    </w:p>
    <w:p w14:paraId="74ACCA88">
      <w:pPr>
        <w:spacing w:line="560" w:lineRule="exact"/>
        <w:ind w:firstLine="643" w:firstLineChars="200"/>
        <w:jc w:val="left"/>
        <w:rPr>
          <w:rFonts w:hint="eastAsia" w:ascii="FangSong_GB2312" w:eastAsia="FangSong_GB2312" w:hAnsiTheme="minorEastAsia"/>
          <w:sz w:val="32"/>
          <w:szCs w:val="32"/>
        </w:rPr>
      </w:pPr>
      <w:r>
        <w:rPr>
          <w:rFonts w:hint="eastAsia" w:ascii="FangSong_GB2312" w:eastAsia="FangSong_GB2312" w:hAnsiTheme="minorEastAsia"/>
          <w:b/>
          <w:bCs/>
          <w:sz w:val="32"/>
          <w:szCs w:val="32"/>
        </w:rPr>
        <w:t xml:space="preserve">第四条 </w:t>
      </w:r>
      <w:r>
        <w:rPr>
          <w:rFonts w:hint="eastAsia" w:ascii="FangSong_GB2312" w:eastAsia="FangSong_GB2312" w:hAnsiTheme="minorEastAsia"/>
          <w:sz w:val="32"/>
          <w:szCs w:val="32"/>
        </w:rPr>
        <w:t>学院支持</w:t>
      </w:r>
    </w:p>
    <w:p w14:paraId="23E2B227">
      <w:pPr>
        <w:spacing w:line="560" w:lineRule="exact"/>
        <w:ind w:firstLine="640" w:firstLineChars="200"/>
        <w:jc w:val="left"/>
        <w:rPr>
          <w:rFonts w:hint="eastAsia" w:ascii="FangSong_GB2312" w:eastAsia="FangSong_GB2312" w:hAnsiTheme="minorEastAsia"/>
          <w:sz w:val="32"/>
          <w:szCs w:val="32"/>
        </w:rPr>
      </w:pPr>
      <w:r>
        <w:rPr>
          <w:rFonts w:hint="eastAsia" w:ascii="FangSong_GB2312" w:eastAsia="FangSong_GB2312" w:hAnsiTheme="minorEastAsia"/>
          <w:sz w:val="32"/>
          <w:szCs w:val="32"/>
        </w:rPr>
        <w:t>博士后的社保、公积金、租房补贴（符合条件可申请）、科研资助、日常活动经费等由学院承担。</w:t>
      </w:r>
    </w:p>
    <w:p w14:paraId="4AD947A0">
      <w:pPr>
        <w:spacing w:line="560" w:lineRule="exact"/>
        <w:ind w:firstLine="640" w:firstLineChars="200"/>
        <w:jc w:val="left"/>
        <w:rPr>
          <w:rFonts w:hint="eastAsia" w:ascii="FangSong_GB2312" w:eastAsia="FangSong_GB2312" w:hAnsiTheme="minorEastAsia"/>
          <w:sz w:val="32"/>
          <w:szCs w:val="32"/>
        </w:rPr>
      </w:pPr>
      <w:r>
        <w:rPr>
          <w:rFonts w:hint="eastAsia" w:ascii="FangSong_GB2312" w:eastAsia="FangSong_GB2312" w:hAnsiTheme="minorEastAsia"/>
          <w:sz w:val="32"/>
          <w:szCs w:val="32"/>
        </w:rPr>
        <w:t>经费相关未尽事宜，详见《清华大学深圳国际研究生院博士后经费管理办法》。</w:t>
      </w:r>
    </w:p>
    <w:p w14:paraId="0C9DAD94">
      <w:pPr>
        <w:spacing w:line="560" w:lineRule="exact"/>
        <w:ind w:firstLine="643" w:firstLineChars="200"/>
        <w:jc w:val="left"/>
        <w:rPr>
          <w:rFonts w:hint="eastAsia" w:ascii="FangSong_GB2312" w:eastAsia="FangSong_GB2312" w:hAnsiTheme="minorEastAsia"/>
          <w:sz w:val="32"/>
          <w:szCs w:val="32"/>
        </w:rPr>
      </w:pPr>
      <w:r>
        <w:rPr>
          <w:rFonts w:hint="eastAsia" w:ascii="FangSong_GB2312" w:eastAsia="FangSong_GB2312" w:hAnsiTheme="minorEastAsia"/>
          <w:b/>
          <w:bCs/>
          <w:sz w:val="32"/>
          <w:szCs w:val="32"/>
        </w:rPr>
        <w:t>第五条</w:t>
      </w:r>
      <w:r>
        <w:rPr>
          <w:rFonts w:hint="eastAsia" w:ascii="FangSong_GB2312" w:eastAsia="FangSong_GB2312" w:hAnsiTheme="minorEastAsia"/>
          <w:sz w:val="32"/>
          <w:szCs w:val="32"/>
        </w:rPr>
        <w:t xml:space="preserve"> 在本办法通过前已在站的博士后(含已向学校报送进站材料、待办理进站手续博士后)仍维持原办法。</w:t>
      </w:r>
    </w:p>
    <w:p w14:paraId="1818C230">
      <w:pPr>
        <w:spacing w:line="560" w:lineRule="exact"/>
        <w:ind w:firstLine="643" w:firstLineChars="200"/>
        <w:jc w:val="left"/>
        <w:rPr>
          <w:rFonts w:hint="eastAsia" w:ascii="FangSong_GB2312" w:eastAsia="FangSong_GB2312" w:hAnsiTheme="minorEastAsia"/>
          <w:sz w:val="32"/>
          <w:szCs w:val="32"/>
        </w:rPr>
      </w:pPr>
      <w:r>
        <w:rPr>
          <w:rFonts w:hint="eastAsia" w:ascii="FangSong_GB2312" w:eastAsia="FangSong_GB2312" w:hAnsiTheme="minorEastAsia"/>
          <w:b/>
          <w:bCs/>
          <w:sz w:val="32"/>
          <w:szCs w:val="32"/>
        </w:rPr>
        <w:t>第六条</w:t>
      </w:r>
      <w:r>
        <w:rPr>
          <w:rFonts w:hint="eastAsia" w:ascii="FangSong_GB2312" w:eastAsia="FangSong_GB2312" w:hAnsiTheme="minorEastAsia"/>
          <w:sz w:val="32"/>
          <w:szCs w:val="32"/>
        </w:rPr>
        <w:t xml:space="preserve"> 本办法未尽事宜，参照清华大学和深圳市的相关规定执行。</w:t>
      </w:r>
    </w:p>
    <w:p w14:paraId="08DE607E">
      <w:pPr>
        <w:spacing w:line="560" w:lineRule="exact"/>
        <w:ind w:firstLine="643" w:firstLineChars="200"/>
        <w:jc w:val="left"/>
        <w:rPr>
          <w:rFonts w:hint="eastAsia" w:ascii="FangSong_GB2312" w:eastAsia="FangSong_GB2312" w:hAnsiTheme="minorEastAsia"/>
          <w:sz w:val="32"/>
          <w:szCs w:val="32"/>
        </w:rPr>
      </w:pPr>
      <w:r>
        <w:rPr>
          <w:rFonts w:hint="eastAsia" w:ascii="FangSong_GB2312" w:eastAsia="FangSong_GB2312" w:hAnsiTheme="minorEastAsia"/>
          <w:b/>
          <w:bCs/>
          <w:sz w:val="32"/>
          <w:szCs w:val="32"/>
        </w:rPr>
        <w:t>第七条</w:t>
      </w:r>
      <w:r>
        <w:rPr>
          <w:rFonts w:hint="eastAsia" w:ascii="FangSong_GB2312" w:eastAsia="FangSong_GB2312" w:hAnsiTheme="minorEastAsia"/>
          <w:sz w:val="32"/>
          <w:szCs w:val="32"/>
        </w:rPr>
        <w:t xml:space="preserve"> 本办法由人事办公室负责解释。</w:t>
      </w:r>
    </w:p>
    <w:p w14:paraId="562865F6">
      <w:pPr>
        <w:spacing w:line="560" w:lineRule="exact"/>
        <w:ind w:firstLine="643" w:firstLineChars="200"/>
        <w:jc w:val="left"/>
        <w:rPr>
          <w:rFonts w:hint="eastAsia" w:ascii="FangSong_GB2312" w:eastAsia="FangSong_GB2312" w:hAnsiTheme="minorEastAsia"/>
          <w:sz w:val="32"/>
          <w:szCs w:val="32"/>
        </w:rPr>
      </w:pPr>
      <w:r>
        <w:rPr>
          <w:rFonts w:hint="eastAsia" w:ascii="FangSong_GB2312" w:eastAsia="FangSong_GB2312" w:hAnsiTheme="minorEastAsia"/>
          <w:b/>
          <w:bCs/>
          <w:sz w:val="32"/>
          <w:szCs w:val="32"/>
        </w:rPr>
        <w:t>第八条</w:t>
      </w:r>
      <w:r>
        <w:rPr>
          <w:rFonts w:hint="eastAsia" w:ascii="FangSong_GB2312" w:eastAsia="FangSong_GB2312" w:hAnsiTheme="minorEastAsia"/>
          <w:sz w:val="32"/>
          <w:szCs w:val="32"/>
        </w:rPr>
        <w:t xml:space="preserve"> 本办法自公布之日起施行。</w:t>
      </w:r>
    </w:p>
    <w:p w14:paraId="66DC844D">
      <w:pPr>
        <w:spacing w:line="360" w:lineRule="auto"/>
        <w:ind w:firstLine="480" w:firstLineChars="200"/>
        <w:rPr>
          <w:rFonts w:ascii="Times New Roman" w:hAnsi="Times New Roman" w:cs="Times New Roman"/>
          <w:sz w:val="24"/>
          <w:szCs w:val="24"/>
        </w:rPr>
      </w:pPr>
    </w:p>
    <w:sectPr>
      <w:footerReference r:id="rId3" w:type="default"/>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FangSong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Times New Roman Regular">
    <w:panose1 w:val="02020503050405090304"/>
    <w:charset w:val="00"/>
    <w:family w:val="auto"/>
    <w:pitch w:val="default"/>
    <w:sig w:usb0="E0000AFF" w:usb1="00007843" w:usb2="00000001" w:usb3="00000000" w:csb0="400001BF" w:csb1="DFF7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4E024">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5CAA40">
                          <w:pPr>
                            <w:pStyle w:val="5"/>
                            <w:rPr>
                              <w:rFonts w:ascii="Times New Roman Regular" w:hAnsi="Times New Roman Regular" w:cs="Times New Roman Regular"/>
                              <w:sz w:val="20"/>
                              <w:szCs w:val="20"/>
                            </w:rPr>
                          </w:pPr>
                          <w:r>
                            <w:rPr>
                              <w:rFonts w:ascii="Times New Roman Regular" w:hAnsi="Times New Roman Regular" w:cs="Times New Roman Regular"/>
                              <w:sz w:val="20"/>
                              <w:szCs w:val="20"/>
                            </w:rPr>
                            <w:t xml:space="preserve">— </w:t>
                          </w:r>
                          <w:r>
                            <w:rPr>
                              <w:rFonts w:ascii="Times New Roman Regular" w:hAnsi="Times New Roman Regular" w:cs="Times New Roman Regular"/>
                              <w:sz w:val="20"/>
                              <w:szCs w:val="20"/>
                            </w:rPr>
                            <w:fldChar w:fldCharType="begin"/>
                          </w:r>
                          <w:r>
                            <w:rPr>
                              <w:rFonts w:ascii="Times New Roman Regular" w:hAnsi="Times New Roman Regular" w:cs="Times New Roman Regular"/>
                              <w:sz w:val="20"/>
                              <w:szCs w:val="20"/>
                            </w:rPr>
                            <w:instrText xml:space="preserve"> PAGE  \* MERGEFORMAT </w:instrText>
                          </w:r>
                          <w:r>
                            <w:rPr>
                              <w:rFonts w:ascii="Times New Roman Regular" w:hAnsi="Times New Roman Regular" w:cs="Times New Roman Regular"/>
                              <w:sz w:val="20"/>
                              <w:szCs w:val="20"/>
                            </w:rPr>
                            <w:fldChar w:fldCharType="separate"/>
                          </w:r>
                          <w:r>
                            <w:rPr>
                              <w:rFonts w:ascii="Times New Roman Regular" w:hAnsi="Times New Roman Regular" w:cs="Times New Roman Regular"/>
                              <w:sz w:val="20"/>
                              <w:szCs w:val="20"/>
                            </w:rPr>
                            <w:t>1</w:t>
                          </w:r>
                          <w:r>
                            <w:rPr>
                              <w:rFonts w:ascii="Times New Roman Regular" w:hAnsi="Times New Roman Regular" w:cs="Times New Roman Regular"/>
                              <w:sz w:val="20"/>
                              <w:szCs w:val="20"/>
                            </w:rPr>
                            <w:fldChar w:fldCharType="end"/>
                          </w:r>
                          <w:r>
                            <w:rPr>
                              <w:rFonts w:ascii="Times New Roman Regular" w:hAnsi="Times New Roman Regular" w:cs="Times New Roman Regular"/>
                              <w:sz w:val="20"/>
                              <w:szCs w:val="20"/>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85CAA40">
                    <w:pPr>
                      <w:pStyle w:val="5"/>
                      <w:rPr>
                        <w:rFonts w:ascii="Times New Roman Regular" w:hAnsi="Times New Roman Regular" w:cs="Times New Roman Regular"/>
                        <w:sz w:val="20"/>
                        <w:szCs w:val="20"/>
                      </w:rPr>
                    </w:pPr>
                    <w:r>
                      <w:rPr>
                        <w:rFonts w:ascii="Times New Roman Regular" w:hAnsi="Times New Roman Regular" w:cs="Times New Roman Regular"/>
                        <w:sz w:val="20"/>
                        <w:szCs w:val="20"/>
                      </w:rPr>
                      <w:t xml:space="preserve">— </w:t>
                    </w:r>
                    <w:r>
                      <w:rPr>
                        <w:rFonts w:ascii="Times New Roman Regular" w:hAnsi="Times New Roman Regular" w:cs="Times New Roman Regular"/>
                        <w:sz w:val="20"/>
                        <w:szCs w:val="20"/>
                      </w:rPr>
                      <w:fldChar w:fldCharType="begin"/>
                    </w:r>
                    <w:r>
                      <w:rPr>
                        <w:rFonts w:ascii="Times New Roman Regular" w:hAnsi="Times New Roman Regular" w:cs="Times New Roman Regular"/>
                        <w:sz w:val="20"/>
                        <w:szCs w:val="20"/>
                      </w:rPr>
                      <w:instrText xml:space="preserve"> PAGE  \* MERGEFORMAT </w:instrText>
                    </w:r>
                    <w:r>
                      <w:rPr>
                        <w:rFonts w:ascii="Times New Roman Regular" w:hAnsi="Times New Roman Regular" w:cs="Times New Roman Regular"/>
                        <w:sz w:val="20"/>
                        <w:szCs w:val="20"/>
                      </w:rPr>
                      <w:fldChar w:fldCharType="separate"/>
                    </w:r>
                    <w:r>
                      <w:rPr>
                        <w:rFonts w:ascii="Times New Roman Regular" w:hAnsi="Times New Roman Regular" w:cs="Times New Roman Regular"/>
                        <w:sz w:val="20"/>
                        <w:szCs w:val="20"/>
                      </w:rPr>
                      <w:t>1</w:t>
                    </w:r>
                    <w:r>
                      <w:rPr>
                        <w:rFonts w:ascii="Times New Roman Regular" w:hAnsi="Times New Roman Regular" w:cs="Times New Roman Regular"/>
                        <w:sz w:val="20"/>
                        <w:szCs w:val="20"/>
                      </w:rPr>
                      <w:fldChar w:fldCharType="end"/>
                    </w:r>
                    <w:r>
                      <w:rPr>
                        <w:rFonts w:ascii="Times New Roman Regular" w:hAnsi="Times New Roman Regular" w:cs="Times New Roman Regular"/>
                        <w:sz w:val="20"/>
                        <w:szCs w:val="20"/>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D5F"/>
    <w:rsid w:val="000163EE"/>
    <w:rsid w:val="00017457"/>
    <w:rsid w:val="0003539F"/>
    <w:rsid w:val="000532A8"/>
    <w:rsid w:val="00053842"/>
    <w:rsid w:val="00070F0B"/>
    <w:rsid w:val="000849CA"/>
    <w:rsid w:val="00091DFE"/>
    <w:rsid w:val="000961AD"/>
    <w:rsid w:val="000B3C2F"/>
    <w:rsid w:val="000C04B0"/>
    <w:rsid w:val="000C5B61"/>
    <w:rsid w:val="000C7B1B"/>
    <w:rsid w:val="000D0A39"/>
    <w:rsid w:val="000E192B"/>
    <w:rsid w:val="00104492"/>
    <w:rsid w:val="001158DE"/>
    <w:rsid w:val="00116EAD"/>
    <w:rsid w:val="0013115D"/>
    <w:rsid w:val="00137CDC"/>
    <w:rsid w:val="00143113"/>
    <w:rsid w:val="00144C02"/>
    <w:rsid w:val="00146E32"/>
    <w:rsid w:val="00147AD9"/>
    <w:rsid w:val="0017025E"/>
    <w:rsid w:val="00182110"/>
    <w:rsid w:val="00197FEF"/>
    <w:rsid w:val="001B5CC7"/>
    <w:rsid w:val="001C084F"/>
    <w:rsid w:val="001C62AC"/>
    <w:rsid w:val="001E5C77"/>
    <w:rsid w:val="001F766C"/>
    <w:rsid w:val="00212F8C"/>
    <w:rsid w:val="00220C1C"/>
    <w:rsid w:val="00222970"/>
    <w:rsid w:val="002320DD"/>
    <w:rsid w:val="00260B51"/>
    <w:rsid w:val="002730A0"/>
    <w:rsid w:val="00290E52"/>
    <w:rsid w:val="002B6D04"/>
    <w:rsid w:val="002D1B22"/>
    <w:rsid w:val="002E7063"/>
    <w:rsid w:val="002F75E7"/>
    <w:rsid w:val="002F7A29"/>
    <w:rsid w:val="003138D8"/>
    <w:rsid w:val="003401EF"/>
    <w:rsid w:val="0036439F"/>
    <w:rsid w:val="00374D47"/>
    <w:rsid w:val="003924C9"/>
    <w:rsid w:val="00392CD9"/>
    <w:rsid w:val="00396DBF"/>
    <w:rsid w:val="003A35B9"/>
    <w:rsid w:val="003B26A9"/>
    <w:rsid w:val="003C0E61"/>
    <w:rsid w:val="003C62F1"/>
    <w:rsid w:val="003D0C16"/>
    <w:rsid w:val="003D437D"/>
    <w:rsid w:val="003D451D"/>
    <w:rsid w:val="003E4DC9"/>
    <w:rsid w:val="003F7B79"/>
    <w:rsid w:val="00401CD4"/>
    <w:rsid w:val="0041688D"/>
    <w:rsid w:val="0042077F"/>
    <w:rsid w:val="004210E4"/>
    <w:rsid w:val="00426355"/>
    <w:rsid w:val="004427BE"/>
    <w:rsid w:val="004450FB"/>
    <w:rsid w:val="00445A76"/>
    <w:rsid w:val="004535DC"/>
    <w:rsid w:val="00461430"/>
    <w:rsid w:val="00462542"/>
    <w:rsid w:val="00470FC7"/>
    <w:rsid w:val="004B177B"/>
    <w:rsid w:val="004B487A"/>
    <w:rsid w:val="004B5DFE"/>
    <w:rsid w:val="004D4757"/>
    <w:rsid w:val="004E027A"/>
    <w:rsid w:val="004E2C09"/>
    <w:rsid w:val="004F56A7"/>
    <w:rsid w:val="0050528A"/>
    <w:rsid w:val="00505F5E"/>
    <w:rsid w:val="005177F4"/>
    <w:rsid w:val="00521CAF"/>
    <w:rsid w:val="00537D08"/>
    <w:rsid w:val="00545FD5"/>
    <w:rsid w:val="0056302E"/>
    <w:rsid w:val="00565471"/>
    <w:rsid w:val="00567B0F"/>
    <w:rsid w:val="005727CC"/>
    <w:rsid w:val="00582BAA"/>
    <w:rsid w:val="00583579"/>
    <w:rsid w:val="00587DDE"/>
    <w:rsid w:val="00592333"/>
    <w:rsid w:val="005A3137"/>
    <w:rsid w:val="005A573D"/>
    <w:rsid w:val="005B4D05"/>
    <w:rsid w:val="005C4041"/>
    <w:rsid w:val="005C5FDA"/>
    <w:rsid w:val="005C7E26"/>
    <w:rsid w:val="006169F3"/>
    <w:rsid w:val="006328CA"/>
    <w:rsid w:val="0064343C"/>
    <w:rsid w:val="00645972"/>
    <w:rsid w:val="00651F7A"/>
    <w:rsid w:val="00665BB3"/>
    <w:rsid w:val="00684013"/>
    <w:rsid w:val="006B3136"/>
    <w:rsid w:val="006D1F26"/>
    <w:rsid w:val="006D5146"/>
    <w:rsid w:val="006F6D5F"/>
    <w:rsid w:val="00711489"/>
    <w:rsid w:val="00713117"/>
    <w:rsid w:val="007250FC"/>
    <w:rsid w:val="007321C9"/>
    <w:rsid w:val="007442EF"/>
    <w:rsid w:val="00747644"/>
    <w:rsid w:val="007524FA"/>
    <w:rsid w:val="007646A0"/>
    <w:rsid w:val="007647E5"/>
    <w:rsid w:val="0076546E"/>
    <w:rsid w:val="00794027"/>
    <w:rsid w:val="007A6466"/>
    <w:rsid w:val="007C678A"/>
    <w:rsid w:val="007D4D73"/>
    <w:rsid w:val="007F0A13"/>
    <w:rsid w:val="007F5514"/>
    <w:rsid w:val="0081292F"/>
    <w:rsid w:val="00813EFF"/>
    <w:rsid w:val="0081691E"/>
    <w:rsid w:val="00820E13"/>
    <w:rsid w:val="00821E2E"/>
    <w:rsid w:val="00822ACE"/>
    <w:rsid w:val="00840531"/>
    <w:rsid w:val="00845674"/>
    <w:rsid w:val="00872040"/>
    <w:rsid w:val="00896FF8"/>
    <w:rsid w:val="008B788C"/>
    <w:rsid w:val="008D2BFC"/>
    <w:rsid w:val="008D3589"/>
    <w:rsid w:val="008D3DA9"/>
    <w:rsid w:val="008E6FBF"/>
    <w:rsid w:val="008F02DE"/>
    <w:rsid w:val="0091001A"/>
    <w:rsid w:val="00915226"/>
    <w:rsid w:val="0091675C"/>
    <w:rsid w:val="00933618"/>
    <w:rsid w:val="00935677"/>
    <w:rsid w:val="0093685D"/>
    <w:rsid w:val="00941B38"/>
    <w:rsid w:val="00942FF9"/>
    <w:rsid w:val="009478E0"/>
    <w:rsid w:val="00956302"/>
    <w:rsid w:val="00962E45"/>
    <w:rsid w:val="009875A7"/>
    <w:rsid w:val="009B7432"/>
    <w:rsid w:val="009B746C"/>
    <w:rsid w:val="009D2CAF"/>
    <w:rsid w:val="00A01050"/>
    <w:rsid w:val="00A12D40"/>
    <w:rsid w:val="00A21F0E"/>
    <w:rsid w:val="00A351D1"/>
    <w:rsid w:val="00A36A61"/>
    <w:rsid w:val="00A64DF4"/>
    <w:rsid w:val="00A75F45"/>
    <w:rsid w:val="00A82B39"/>
    <w:rsid w:val="00A86DE3"/>
    <w:rsid w:val="00AA08F2"/>
    <w:rsid w:val="00AA2967"/>
    <w:rsid w:val="00AB0B18"/>
    <w:rsid w:val="00AB3B96"/>
    <w:rsid w:val="00AD1C07"/>
    <w:rsid w:val="00AD394D"/>
    <w:rsid w:val="00AE20E0"/>
    <w:rsid w:val="00B02FA2"/>
    <w:rsid w:val="00B2737F"/>
    <w:rsid w:val="00B27AEE"/>
    <w:rsid w:val="00B405A1"/>
    <w:rsid w:val="00B663BB"/>
    <w:rsid w:val="00BB35D6"/>
    <w:rsid w:val="00BB698D"/>
    <w:rsid w:val="00BC239D"/>
    <w:rsid w:val="00BE31F3"/>
    <w:rsid w:val="00BE4553"/>
    <w:rsid w:val="00BF5D99"/>
    <w:rsid w:val="00BF76FB"/>
    <w:rsid w:val="00C05590"/>
    <w:rsid w:val="00C10CDE"/>
    <w:rsid w:val="00C265D0"/>
    <w:rsid w:val="00C30453"/>
    <w:rsid w:val="00C34B6A"/>
    <w:rsid w:val="00C353F9"/>
    <w:rsid w:val="00C6028B"/>
    <w:rsid w:val="00C63642"/>
    <w:rsid w:val="00C639BE"/>
    <w:rsid w:val="00C87352"/>
    <w:rsid w:val="00CA0082"/>
    <w:rsid w:val="00CA4AF8"/>
    <w:rsid w:val="00CB0026"/>
    <w:rsid w:val="00CB01D2"/>
    <w:rsid w:val="00CB255F"/>
    <w:rsid w:val="00CC13EF"/>
    <w:rsid w:val="00CE626C"/>
    <w:rsid w:val="00CF24A5"/>
    <w:rsid w:val="00D00F15"/>
    <w:rsid w:val="00D141A7"/>
    <w:rsid w:val="00D16073"/>
    <w:rsid w:val="00D2745D"/>
    <w:rsid w:val="00D3639F"/>
    <w:rsid w:val="00D418C9"/>
    <w:rsid w:val="00D43656"/>
    <w:rsid w:val="00D51A60"/>
    <w:rsid w:val="00D709F5"/>
    <w:rsid w:val="00D843AF"/>
    <w:rsid w:val="00D87BAB"/>
    <w:rsid w:val="00DC10A4"/>
    <w:rsid w:val="00DD1722"/>
    <w:rsid w:val="00DE1E05"/>
    <w:rsid w:val="00DF0502"/>
    <w:rsid w:val="00E322F5"/>
    <w:rsid w:val="00E8369D"/>
    <w:rsid w:val="00E8427A"/>
    <w:rsid w:val="00E84B1A"/>
    <w:rsid w:val="00E91FC1"/>
    <w:rsid w:val="00E95C53"/>
    <w:rsid w:val="00EC4AE5"/>
    <w:rsid w:val="00ED051F"/>
    <w:rsid w:val="00F443E7"/>
    <w:rsid w:val="00F56E46"/>
    <w:rsid w:val="00F65CA4"/>
    <w:rsid w:val="00F97E50"/>
    <w:rsid w:val="00FA3067"/>
    <w:rsid w:val="00FC5579"/>
    <w:rsid w:val="00FD2BEB"/>
    <w:rsid w:val="00FD6767"/>
    <w:rsid w:val="00FE353A"/>
    <w:rsid w:val="00FE7400"/>
    <w:rsid w:val="00FF15D1"/>
    <w:rsid w:val="00FF43DC"/>
    <w:rsid w:val="0EDC2F4F"/>
    <w:rsid w:val="0F925181"/>
    <w:rsid w:val="19220F4B"/>
    <w:rsid w:val="26280B38"/>
    <w:rsid w:val="2A5D36C6"/>
    <w:rsid w:val="2ED01B1D"/>
    <w:rsid w:val="301C1DA6"/>
    <w:rsid w:val="346471E7"/>
    <w:rsid w:val="3BC0124C"/>
    <w:rsid w:val="3DEC1414"/>
    <w:rsid w:val="3E9D7D8D"/>
    <w:rsid w:val="415F7160"/>
    <w:rsid w:val="42033DC3"/>
    <w:rsid w:val="5B9C3B1D"/>
    <w:rsid w:val="5C8E5CF5"/>
    <w:rsid w:val="662C646F"/>
    <w:rsid w:val="6FF76945"/>
    <w:rsid w:val="75551DB9"/>
    <w:rsid w:val="772D1A0A"/>
    <w:rsid w:val="77FDF1ED"/>
    <w:rsid w:val="7BC31077"/>
    <w:rsid w:val="7D5A15C6"/>
    <w:rsid w:val="7EF873DC"/>
    <w:rsid w:val="7FBD37F6"/>
    <w:rsid w:val="B7D67FF9"/>
    <w:rsid w:val="F7EDA0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ody Text Indent"/>
    <w:basedOn w:val="1"/>
    <w:qFormat/>
    <w:uiPriority w:val="0"/>
    <w:pPr>
      <w:spacing w:line="360" w:lineRule="auto"/>
      <w:ind w:left="210" w:firstLine="420" w:firstLineChars="200"/>
    </w:pPr>
    <w:rPr>
      <w:rFonts w:ascii="宋体"/>
      <w:szCs w:val="20"/>
    </w:rPr>
  </w:style>
  <w:style w:type="paragraph" w:styleId="4">
    <w:name w:val="Balloon Text"/>
    <w:basedOn w:val="1"/>
    <w:link w:val="12"/>
    <w:semiHidden/>
    <w:unhideWhenUsed/>
    <w:qFormat/>
    <w:uiPriority w:val="99"/>
    <w:rPr>
      <w:sz w:val="18"/>
      <w:szCs w:val="18"/>
    </w:rPr>
  </w:style>
  <w:style w:type="paragraph" w:styleId="5">
    <w:name w:val="footer"/>
    <w:basedOn w:val="1"/>
    <w:link w:val="10"/>
    <w:unhideWhenUsed/>
    <w:qFormat/>
    <w:uiPriority w:val="99"/>
    <w:pPr>
      <w:tabs>
        <w:tab w:val="center" w:pos="4153"/>
        <w:tab w:val="right" w:pos="8306"/>
      </w:tabs>
      <w:snapToGrid w:val="0"/>
      <w:jc w:val="left"/>
    </w:pPr>
    <w:rPr>
      <w:sz w:val="18"/>
      <w:szCs w:val="18"/>
    </w:rPr>
  </w:style>
  <w:style w:type="paragraph" w:styleId="6">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9">
    <w:name w:val="页眉 字符"/>
    <w:basedOn w:val="8"/>
    <w:link w:val="6"/>
    <w:qFormat/>
    <w:uiPriority w:val="99"/>
    <w:rPr>
      <w:sz w:val="18"/>
      <w:szCs w:val="18"/>
    </w:rPr>
  </w:style>
  <w:style w:type="character" w:customStyle="1" w:styleId="10">
    <w:name w:val="页脚 字符"/>
    <w:basedOn w:val="8"/>
    <w:link w:val="5"/>
    <w:qFormat/>
    <w:uiPriority w:val="99"/>
    <w:rPr>
      <w:sz w:val="18"/>
      <w:szCs w:val="18"/>
    </w:rPr>
  </w:style>
  <w:style w:type="paragraph" w:styleId="11">
    <w:name w:val="List Paragraph"/>
    <w:basedOn w:val="1"/>
    <w:qFormat/>
    <w:uiPriority w:val="99"/>
    <w:pPr>
      <w:ind w:firstLine="420" w:firstLineChars="200"/>
    </w:pPr>
  </w:style>
  <w:style w:type="character" w:customStyle="1" w:styleId="12">
    <w:name w:val="批注框文本 字符"/>
    <w:basedOn w:val="8"/>
    <w:link w:val="4"/>
    <w:semiHidden/>
    <w:qFormat/>
    <w:uiPriority w:val="99"/>
    <w:rPr>
      <w:kern w:val="2"/>
      <w:sz w:val="18"/>
      <w:szCs w:val="18"/>
    </w:rPr>
  </w:style>
  <w:style w:type="paragraph" w:customStyle="1" w:styleId="13">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4">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5">
    <w:name w:val="Revision"/>
    <w:hidden/>
    <w:unhideWhenUsed/>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9EDFC04-AC27-4F5B-8F46-24CBC1A593C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659</Words>
  <Characters>673</Characters>
  <Lines>17</Lines>
  <Paragraphs>14</Paragraphs>
  <TotalTime>1</TotalTime>
  <ScaleCrop>false</ScaleCrop>
  <LinksUpToDate>false</LinksUpToDate>
  <CharactersWithSpaces>684</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2025-12-31T13:43:00Z</dcterms:created>
  <dc:creator>AutoBVT</dc:creator>
  <cp:lastModifiedBy>谭沙丽</cp:lastModifiedBy>
  <cp:lastPrinted>2021-01-09T02:14:00Z</cp:lastPrinted>
  <dcterms:modified xsi:type="dcterms:W3CDTF">2026-01-07T10:39:30Z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KSOTemplateDocerSaveRecord">
    <vt:lpwstr>eyJoZGlkIjoiMWM3MGU3NGJkOWRlNWZiYzYwMmNiZjNlZDY1MjgzNDEiLCJ1c2VySWQiOiI0MzU5MzMxMzAifQ==</vt:lpwstr>
  </property>
  <property fmtid="{D5CDD505-2E9C-101B-9397-08002B2CF9AE}" pid="4" name="ICV">
    <vt:lpwstr>B4FABA1370BAFD8262C75D69950EF2F7_43</vt:lpwstr>
  </property>
</Properties>
</file>