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96AC91">
      <w:pPr>
        <w:spacing w:line="560" w:lineRule="exact"/>
        <w:jc w:val="right"/>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rPr>
        <w:t>清深国院规〔2025〕</w:t>
      </w:r>
      <w:r>
        <w:rPr>
          <w:rFonts w:hint="eastAsia" w:ascii="仿宋_GB2312" w:hAnsi="Times New Roman" w:eastAsia="仿宋_GB2312" w:cs="Times New Roman"/>
          <w:sz w:val="32"/>
          <w:szCs w:val="32"/>
          <w:lang w:val="en-US" w:eastAsia="zh-CN"/>
        </w:rPr>
        <w:t>1</w:t>
      </w:r>
      <w:bookmarkStart w:id="0" w:name="_GoBack"/>
      <w:bookmarkEnd w:id="0"/>
      <w:r>
        <w:rPr>
          <w:rFonts w:hint="eastAsia" w:ascii="仿宋_GB2312" w:hAnsi="Times New Roman" w:eastAsia="仿宋_GB2312" w:cs="Times New Roman"/>
          <w:sz w:val="32"/>
          <w:szCs w:val="32"/>
          <w:lang w:val="en-US" w:eastAsia="zh-CN"/>
        </w:rPr>
        <w:t>号</w:t>
      </w:r>
    </w:p>
    <w:p w14:paraId="24EE50D2">
      <w:pPr>
        <w:spacing w:line="560" w:lineRule="exact"/>
        <w:jc w:val="center"/>
        <w:rPr>
          <w:rFonts w:hint="eastAsia" w:ascii="方正小标宋简体" w:hAnsi="黑体" w:eastAsia="方正小标宋简体" w:cs="黑体"/>
          <w:sz w:val="36"/>
          <w:szCs w:val="36"/>
        </w:rPr>
      </w:pPr>
    </w:p>
    <w:p w14:paraId="652E0FD6">
      <w:pPr>
        <w:spacing w:line="560" w:lineRule="exact"/>
        <w:jc w:val="center"/>
        <w:rPr>
          <w:rFonts w:ascii="方正小标宋简体" w:hAnsi="黑体" w:eastAsia="方正小标宋简体" w:cs="黑体"/>
          <w:sz w:val="36"/>
          <w:szCs w:val="36"/>
        </w:rPr>
      </w:pPr>
      <w:r>
        <w:rPr>
          <w:rFonts w:hint="eastAsia" w:ascii="方正小标宋简体" w:hAnsi="黑体" w:eastAsia="方正小标宋简体" w:cs="黑体"/>
          <w:sz w:val="36"/>
          <w:szCs w:val="36"/>
        </w:rPr>
        <w:t>清华大学深圳国际研究生院稳定支持项目管理办法</w:t>
      </w:r>
    </w:p>
    <w:p w14:paraId="72FF4354">
      <w:pPr>
        <w:spacing w:line="560" w:lineRule="exact"/>
        <w:jc w:val="center"/>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二〇二〇年第二十一次院务会（2020年7月2日）讨论通过</w:t>
      </w:r>
    </w:p>
    <w:p w14:paraId="754B5286">
      <w:pPr>
        <w:spacing w:line="560" w:lineRule="exact"/>
        <w:jc w:val="center"/>
        <w:rPr>
          <w:rFonts w:ascii="仿宋_GB2312" w:hAnsi="Times New Roman" w:eastAsia="仿宋_GB2312" w:cs="Times New Roman"/>
          <w:sz w:val="32"/>
          <w:szCs w:val="32"/>
        </w:rPr>
      </w:pPr>
      <w:r>
        <w:rPr>
          <w:rFonts w:hint="eastAsia" w:ascii="仿宋_GB2312" w:hAnsi="Times New Roman" w:eastAsia="仿宋_GB2312" w:cs="Times New Roman"/>
          <w:sz w:val="32"/>
          <w:szCs w:val="32"/>
        </w:rPr>
        <w:t>二〇二五年第</w:t>
      </w:r>
      <w:r>
        <w:rPr>
          <w:rFonts w:hint="eastAsia" w:ascii="仿宋_GB2312" w:hAnsi="Times New Roman" w:eastAsia="仿宋_GB2312" w:cs="Times New Roman"/>
          <w:sz w:val="32"/>
          <w:szCs w:val="32"/>
          <w:lang w:val="en-US" w:eastAsia="zh-CN"/>
        </w:rPr>
        <w:t>三十三</w:t>
      </w:r>
      <w:r>
        <w:rPr>
          <w:rFonts w:hint="eastAsia" w:ascii="仿宋_GB2312" w:hAnsi="Times New Roman" w:eastAsia="仿宋_GB2312" w:cs="Times New Roman"/>
          <w:sz w:val="32"/>
          <w:szCs w:val="32"/>
        </w:rPr>
        <w:t>次党政联席会议（2</w:t>
      </w:r>
      <w:r>
        <w:rPr>
          <w:rFonts w:ascii="仿宋_GB2312" w:hAnsi="Times New Roman" w:eastAsia="仿宋_GB2312" w:cs="Times New Roman"/>
          <w:sz w:val="32"/>
          <w:szCs w:val="32"/>
        </w:rPr>
        <w:t>025</w:t>
      </w:r>
      <w:r>
        <w:rPr>
          <w:rFonts w:hint="eastAsia" w:ascii="仿宋_GB2312" w:hAnsi="Times New Roman" w:eastAsia="仿宋_GB2312" w:cs="Times New Roman"/>
          <w:sz w:val="32"/>
          <w:szCs w:val="32"/>
        </w:rPr>
        <w:t>年</w:t>
      </w:r>
      <w:r>
        <w:rPr>
          <w:rFonts w:ascii="仿宋_GB2312" w:hAnsi="Times New Roman" w:eastAsia="仿宋_GB2312" w:cs="Times New Roman"/>
          <w:sz w:val="32"/>
          <w:szCs w:val="32"/>
        </w:rPr>
        <w:t>6</w:t>
      </w:r>
      <w:r>
        <w:rPr>
          <w:rFonts w:hint="eastAsia" w:ascii="仿宋_GB2312" w:hAnsi="Times New Roman" w:eastAsia="仿宋_GB2312" w:cs="Times New Roman"/>
          <w:sz w:val="32"/>
          <w:szCs w:val="32"/>
        </w:rPr>
        <w:t>月</w:t>
      </w:r>
      <w:r>
        <w:rPr>
          <w:rFonts w:ascii="仿宋_GB2312" w:hAnsi="Times New Roman" w:eastAsia="仿宋_GB2312" w:cs="Times New Roman"/>
          <w:sz w:val="32"/>
          <w:szCs w:val="32"/>
        </w:rPr>
        <w:t>1</w:t>
      </w:r>
      <w:r>
        <w:rPr>
          <w:rFonts w:hint="eastAsia" w:ascii="仿宋_GB2312" w:hAnsi="Times New Roman" w:eastAsia="仿宋_GB2312" w:cs="Times New Roman"/>
          <w:sz w:val="32"/>
          <w:szCs w:val="32"/>
          <w:lang w:val="en-US" w:eastAsia="zh-CN"/>
        </w:rPr>
        <w:t>6</w:t>
      </w:r>
      <w:r>
        <w:rPr>
          <w:rFonts w:hint="eastAsia" w:ascii="仿宋_GB2312" w:hAnsi="Times New Roman" w:eastAsia="仿宋_GB2312" w:cs="Times New Roman"/>
          <w:sz w:val="32"/>
          <w:szCs w:val="32"/>
        </w:rPr>
        <w:t>日）修订</w:t>
      </w:r>
    </w:p>
    <w:p w14:paraId="0FC94DFE">
      <w:pPr>
        <w:spacing w:line="560" w:lineRule="exact"/>
        <w:rPr>
          <w:rFonts w:ascii="仿宋_GB2312" w:hAnsi="Times New Roman" w:eastAsia="仿宋_GB2312" w:cs="Times New Roman"/>
          <w:sz w:val="32"/>
          <w:szCs w:val="32"/>
        </w:rPr>
      </w:pPr>
    </w:p>
    <w:p w14:paraId="118EC615">
      <w:pPr>
        <w:pStyle w:val="12"/>
        <w:numPr>
          <w:ilvl w:val="0"/>
          <w:numId w:val="1"/>
        </w:numPr>
        <w:spacing w:line="560" w:lineRule="exact"/>
        <w:ind w:firstLineChars="0"/>
        <w:jc w:val="center"/>
        <w:rPr>
          <w:rFonts w:ascii="黑体" w:hAnsi="黑体" w:eastAsia="黑体" w:cs="黑体"/>
          <w:bCs/>
          <w:sz w:val="32"/>
          <w:szCs w:val="32"/>
        </w:rPr>
      </w:pPr>
      <w:r>
        <w:rPr>
          <w:rFonts w:hint="eastAsia" w:ascii="黑体" w:hAnsi="黑体" w:eastAsia="黑体" w:cs="黑体"/>
          <w:bCs/>
          <w:sz w:val="32"/>
          <w:szCs w:val="32"/>
        </w:rPr>
        <w:t>总则</w:t>
      </w:r>
    </w:p>
    <w:p w14:paraId="70148FB1">
      <w:pPr>
        <w:pStyle w:val="12"/>
        <w:numPr>
          <w:ilvl w:val="0"/>
          <w:numId w:val="2"/>
        </w:numPr>
        <w:tabs>
          <w:tab w:val="left" w:pos="1418"/>
        </w:tabs>
        <w:spacing w:line="560" w:lineRule="exact"/>
        <w:ind w:left="0" w:firstLine="640"/>
        <w:rPr>
          <w:rFonts w:ascii="仿宋_GB2312" w:hAnsi="宋体" w:eastAsia="仿宋_GB2312"/>
          <w:sz w:val="32"/>
          <w:szCs w:val="32"/>
        </w:rPr>
      </w:pPr>
      <w:r>
        <w:rPr>
          <w:rFonts w:hint="eastAsia" w:ascii="仿宋_GB2312" w:hAnsi="宋体" w:eastAsia="仿宋_GB2312"/>
          <w:sz w:val="32"/>
          <w:szCs w:val="32"/>
        </w:rPr>
        <w:t>依据《深圳市高等院校稳定支持项目管理办法》《深圳市基础研究项目管理办法》，为进一步规范清华大学深圳国际研究生院（以下简称学院）承接高等院校稳定支持项目有关管理工作，制定本办法。</w:t>
      </w:r>
    </w:p>
    <w:p w14:paraId="4874AD8D">
      <w:pPr>
        <w:pStyle w:val="12"/>
        <w:numPr>
          <w:ilvl w:val="0"/>
          <w:numId w:val="2"/>
        </w:numPr>
        <w:tabs>
          <w:tab w:val="left" w:pos="1418"/>
        </w:tabs>
        <w:spacing w:line="560" w:lineRule="exact"/>
        <w:ind w:left="0" w:firstLine="640"/>
        <w:rPr>
          <w:rFonts w:ascii="仿宋_GB2312" w:hAnsi="宋体" w:eastAsia="仿宋_GB2312"/>
          <w:sz w:val="32"/>
          <w:szCs w:val="32"/>
        </w:rPr>
      </w:pPr>
      <w:r>
        <w:rPr>
          <w:rFonts w:hint="eastAsia" w:ascii="仿宋_GB2312" w:hAnsi="宋体" w:eastAsia="仿宋_GB2312"/>
          <w:sz w:val="32"/>
          <w:szCs w:val="32"/>
        </w:rPr>
        <w:t>深圳市科技行政主管部门按照稳定支持经费额度，实行财政相对稳定投入，支持高等院校开展基础研究与应用基础研究，重点支持科学技术人员针对已有较好基础的研究方向或者学科生长点开展深入、系统的创新性研究，推动若干重要领域或者科学前沿取得突破，持续增强基础科研创新能力和成果转化能力。</w:t>
      </w:r>
    </w:p>
    <w:p w14:paraId="0F6D2506">
      <w:pPr>
        <w:pStyle w:val="12"/>
        <w:numPr>
          <w:ilvl w:val="0"/>
          <w:numId w:val="2"/>
        </w:numPr>
        <w:tabs>
          <w:tab w:val="left" w:pos="1418"/>
        </w:tabs>
        <w:spacing w:line="560" w:lineRule="exact"/>
        <w:ind w:left="0" w:firstLine="640"/>
        <w:rPr>
          <w:rFonts w:ascii="仿宋_GB2312" w:hAnsi="宋体" w:eastAsia="仿宋_GB2312"/>
          <w:sz w:val="32"/>
          <w:szCs w:val="32"/>
        </w:rPr>
      </w:pPr>
      <w:r>
        <w:rPr>
          <w:rFonts w:hint="eastAsia" w:ascii="仿宋_GB2312" w:hAnsi="宋体" w:eastAsia="仿宋_GB2312"/>
          <w:sz w:val="32"/>
          <w:szCs w:val="32"/>
        </w:rPr>
        <w:t>根据深圳市科技计划管理规定，依托学院“6+1”等学科规划，由科研处按照统筹管理、规划实施、突出绩效的原则，组织学科开展具体实施工作，为学院优势学科建设提供基础科研支撑。</w:t>
      </w:r>
    </w:p>
    <w:p w14:paraId="3C714A04">
      <w:pPr>
        <w:pStyle w:val="12"/>
        <w:numPr>
          <w:ilvl w:val="0"/>
          <w:numId w:val="2"/>
        </w:numPr>
        <w:tabs>
          <w:tab w:val="left" w:pos="1418"/>
        </w:tabs>
        <w:spacing w:line="560" w:lineRule="exact"/>
        <w:ind w:left="0" w:firstLine="640"/>
        <w:rPr>
          <w:rFonts w:ascii="仿宋_GB2312" w:hAnsi="宋体" w:eastAsia="仿宋_GB2312"/>
          <w:sz w:val="32"/>
          <w:szCs w:val="32"/>
        </w:rPr>
      </w:pPr>
      <w:r>
        <w:rPr>
          <w:rFonts w:hint="eastAsia" w:ascii="仿宋_GB2312" w:hAnsi="宋体" w:eastAsia="仿宋_GB2312"/>
          <w:bCs/>
          <w:sz w:val="32"/>
          <w:szCs w:val="32"/>
        </w:rPr>
        <w:t>科研处</w:t>
      </w:r>
      <w:r>
        <w:rPr>
          <w:rFonts w:hint="eastAsia" w:ascii="仿宋_GB2312" w:hAnsi="宋体" w:eastAsia="仿宋_GB2312"/>
          <w:sz w:val="32"/>
          <w:szCs w:val="32"/>
        </w:rPr>
        <w:t>全面负责组织项目申报、项目实施、项目评审、结题验收、监督检查、绩效评价等工作。财务办公室（以下简称财务办）全面负责项目预算编制审核、资金管控配合、项目经费审计及检查等工作。各学科领域由学科负责人牵头组织推荐方案。</w:t>
      </w:r>
    </w:p>
    <w:p w14:paraId="53A70AC1">
      <w:pPr>
        <w:pStyle w:val="12"/>
        <w:numPr>
          <w:ilvl w:val="0"/>
          <w:numId w:val="1"/>
        </w:numPr>
        <w:spacing w:line="560" w:lineRule="exact"/>
        <w:ind w:firstLineChars="0"/>
        <w:jc w:val="center"/>
        <w:rPr>
          <w:rFonts w:ascii="黑体" w:hAnsi="黑体" w:eastAsia="黑体" w:cs="黑体"/>
          <w:bCs/>
          <w:sz w:val="32"/>
          <w:szCs w:val="32"/>
        </w:rPr>
      </w:pPr>
      <w:r>
        <w:rPr>
          <w:rFonts w:hint="eastAsia" w:ascii="黑体" w:hAnsi="黑体" w:eastAsia="黑体" w:cs="黑体"/>
          <w:bCs/>
          <w:sz w:val="32"/>
          <w:szCs w:val="32"/>
        </w:rPr>
        <w:t>项目申报</w:t>
      </w:r>
    </w:p>
    <w:p w14:paraId="5DEB8E93">
      <w:pPr>
        <w:pStyle w:val="12"/>
        <w:numPr>
          <w:ilvl w:val="0"/>
          <w:numId w:val="2"/>
        </w:numPr>
        <w:tabs>
          <w:tab w:val="left" w:pos="1418"/>
        </w:tabs>
        <w:adjustRightInd w:val="0"/>
        <w:snapToGrid w:val="0"/>
        <w:spacing w:line="560" w:lineRule="exact"/>
        <w:ind w:left="0" w:firstLine="640"/>
        <w:rPr>
          <w:rFonts w:ascii="仿宋_GB2312" w:hAnsi="宋体" w:eastAsia="仿宋_GB2312"/>
          <w:sz w:val="32"/>
          <w:szCs w:val="32"/>
        </w:rPr>
      </w:pPr>
      <w:r>
        <w:rPr>
          <w:rFonts w:hint="eastAsia" w:ascii="仿宋_GB2312" w:hAnsi="宋体" w:eastAsia="仿宋_GB2312"/>
          <w:sz w:val="32"/>
          <w:szCs w:val="32"/>
        </w:rPr>
        <w:t>学院结合年度高等院校稳定支持资金预算，在院内组织项目申报工作。原则上每年集中组织申报一次。</w:t>
      </w:r>
    </w:p>
    <w:p w14:paraId="472E79B3">
      <w:pPr>
        <w:pStyle w:val="12"/>
        <w:numPr>
          <w:ilvl w:val="0"/>
          <w:numId w:val="2"/>
        </w:numPr>
        <w:tabs>
          <w:tab w:val="left" w:pos="1418"/>
        </w:tabs>
        <w:adjustRightInd w:val="0"/>
        <w:snapToGrid w:val="0"/>
        <w:spacing w:line="560" w:lineRule="exact"/>
        <w:ind w:left="0" w:firstLine="640"/>
        <w:rPr>
          <w:rFonts w:ascii="仿宋_GB2312" w:hAnsi="宋体" w:eastAsia="仿宋_GB2312"/>
          <w:sz w:val="32"/>
          <w:szCs w:val="32"/>
        </w:rPr>
      </w:pPr>
      <w:r>
        <w:rPr>
          <w:rFonts w:hint="eastAsia" w:ascii="仿宋_GB2312" w:hAnsi="宋体" w:eastAsia="仿宋_GB2312"/>
          <w:bCs/>
          <w:sz w:val="32"/>
          <w:szCs w:val="32"/>
        </w:rPr>
        <w:t>根据主管部门要求，</w:t>
      </w:r>
      <w:r>
        <w:rPr>
          <w:rFonts w:hint="eastAsia" w:ascii="仿宋_GB2312" w:hAnsi="宋体" w:eastAsia="仿宋_GB2312" w:cs="宋体"/>
          <w:sz w:val="32"/>
          <w:szCs w:val="32"/>
        </w:rPr>
        <w:t>高等院校稳定资助项目分为 面上项目和重点项目两类。</w:t>
      </w:r>
    </w:p>
    <w:p w14:paraId="31D290A0">
      <w:pPr>
        <w:pStyle w:val="12"/>
        <w:numPr>
          <w:ilvl w:val="255"/>
          <w:numId w:val="0"/>
        </w:numPr>
        <w:tabs>
          <w:tab w:val="left" w:pos="1134"/>
        </w:tabs>
        <w:adjustRightInd w:val="0"/>
        <w:snapToGrid w:val="0"/>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（一）面上项目支持开展创新性的科学研究，促进各学科均衡、协调和可持续发展，单项最高资助额不超过60万元，</w:t>
      </w:r>
      <w:r>
        <w:rPr>
          <w:rFonts w:hint="eastAsia" w:ascii="仿宋_GB2312" w:hAnsi="宋体" w:eastAsia="仿宋_GB2312" w:cs="宋体"/>
          <w:sz w:val="32"/>
          <w:szCs w:val="32"/>
        </w:rPr>
        <w:t>研究期限为2年。</w:t>
      </w:r>
    </w:p>
    <w:p w14:paraId="7B4E6AD7">
      <w:pPr>
        <w:pStyle w:val="12"/>
        <w:numPr>
          <w:ilvl w:val="255"/>
          <w:numId w:val="0"/>
        </w:numPr>
        <w:tabs>
          <w:tab w:val="left" w:pos="1134"/>
        </w:tabs>
        <w:adjustRightInd w:val="0"/>
        <w:snapToGrid w:val="0"/>
        <w:spacing w:line="560" w:lineRule="exact"/>
        <w:ind w:firstLine="640" w:firstLineChars="200"/>
        <w:rPr>
          <w:rFonts w:ascii="仿宋_GB2312" w:hAnsi="宋体" w:eastAsia="仿宋_GB2312"/>
          <w:sz w:val="32"/>
          <w:szCs w:val="32"/>
        </w:rPr>
      </w:pPr>
      <w:r>
        <w:rPr>
          <w:rFonts w:hint="eastAsia" w:ascii="仿宋_GB2312" w:hAnsi="宋体" w:eastAsia="仿宋_GB2312"/>
          <w:sz w:val="32"/>
          <w:szCs w:val="32"/>
        </w:rPr>
        <w:t>（二）重点项目针对已有较好基础的研究方向或者学科生长点，支持开展深入、系统的创新性研究，推动若干重要领域或者科学前沿取得突破。</w:t>
      </w:r>
      <w:r>
        <w:rPr>
          <w:rFonts w:hint="eastAsia" w:ascii="仿宋_GB2312" w:hAnsi="宋体" w:eastAsia="仿宋_GB2312" w:cs="宋体"/>
          <w:sz w:val="32"/>
          <w:szCs w:val="32"/>
        </w:rPr>
        <w:t>单项最高资助额不超过300万元，研究期限为3年。</w:t>
      </w:r>
    </w:p>
    <w:p w14:paraId="197C7F23">
      <w:pPr>
        <w:pStyle w:val="12"/>
        <w:numPr>
          <w:ilvl w:val="0"/>
          <w:numId w:val="2"/>
        </w:numPr>
        <w:tabs>
          <w:tab w:val="left" w:pos="1418"/>
        </w:tabs>
        <w:adjustRightInd w:val="0"/>
        <w:snapToGrid w:val="0"/>
        <w:spacing w:line="560" w:lineRule="exact"/>
        <w:ind w:left="0" w:firstLine="640"/>
        <w:rPr>
          <w:rFonts w:ascii="仿宋_GB2312" w:hAnsi="宋体" w:eastAsia="仿宋_GB2312" w:cs="宋体"/>
          <w:sz w:val="32"/>
          <w:szCs w:val="32"/>
        </w:rPr>
      </w:pPr>
      <w:r>
        <w:rPr>
          <w:rFonts w:hint="eastAsia" w:ascii="仿宋_GB2312" w:hAnsi="宋体" w:eastAsia="仿宋_GB2312"/>
          <w:sz w:val="32"/>
          <w:szCs w:val="32"/>
        </w:rPr>
        <w:t>申请条件</w:t>
      </w:r>
    </w:p>
    <w:p w14:paraId="2AE19D55">
      <w:pPr>
        <w:pStyle w:val="12"/>
        <w:numPr>
          <w:ilvl w:val="0"/>
          <w:numId w:val="3"/>
        </w:numPr>
        <w:adjustRightInd w:val="0"/>
        <w:snapToGrid w:val="0"/>
        <w:spacing w:line="560" w:lineRule="exact"/>
        <w:ind w:left="0" w:firstLine="640"/>
        <w:rPr>
          <w:rFonts w:ascii="仿宋_GB2312" w:hAnsi="宋体" w:eastAsia="仿宋_GB2312" w:cs="宋体"/>
          <w:sz w:val="32"/>
          <w:szCs w:val="32"/>
        </w:rPr>
      </w:pPr>
      <w:r>
        <w:rPr>
          <w:rFonts w:hint="eastAsia" w:ascii="仿宋_GB2312" w:hAnsi="宋体" w:eastAsia="仿宋_GB2312" w:cs="宋体"/>
          <w:sz w:val="32"/>
          <w:szCs w:val="32"/>
        </w:rPr>
        <w:t>项目申请人须为学院在职研究人员，并具有高级专业技术职务（职称）或博士学位；或在读学生。</w:t>
      </w:r>
    </w:p>
    <w:p w14:paraId="4BAD29D8">
      <w:pPr>
        <w:pStyle w:val="12"/>
        <w:numPr>
          <w:ilvl w:val="0"/>
          <w:numId w:val="3"/>
        </w:numPr>
        <w:adjustRightInd w:val="0"/>
        <w:snapToGrid w:val="0"/>
        <w:spacing w:line="560" w:lineRule="exact"/>
        <w:ind w:left="0" w:firstLine="640"/>
        <w:rPr>
          <w:rFonts w:ascii="仿宋_GB2312" w:hAnsi="宋体" w:eastAsia="仿宋_GB2312" w:cs="宋体"/>
          <w:sz w:val="32"/>
          <w:szCs w:val="32"/>
        </w:rPr>
      </w:pPr>
      <w:r>
        <w:rPr>
          <w:rFonts w:hint="eastAsia" w:ascii="仿宋_GB2312" w:hAnsi="宋体" w:eastAsia="仿宋_GB2312" w:cs="宋体"/>
          <w:sz w:val="32"/>
          <w:szCs w:val="32"/>
        </w:rPr>
        <w:t>课题组应具有相关领域研究基础，具备优秀的科研团队、基本硬件设施和场地。</w:t>
      </w:r>
    </w:p>
    <w:p w14:paraId="442D0C1F">
      <w:pPr>
        <w:pStyle w:val="12"/>
        <w:numPr>
          <w:ilvl w:val="0"/>
          <w:numId w:val="3"/>
        </w:numPr>
        <w:tabs>
          <w:tab w:val="left" w:pos="1134"/>
        </w:tabs>
        <w:adjustRightInd w:val="0"/>
        <w:snapToGrid w:val="0"/>
        <w:spacing w:line="560" w:lineRule="exact"/>
        <w:ind w:left="0" w:firstLine="640"/>
        <w:rPr>
          <w:rFonts w:ascii="仿宋_GB2312" w:hAnsi="宋体" w:eastAsia="仿宋_GB2312" w:cs="宋体"/>
          <w:kern w:val="0"/>
          <w:sz w:val="32"/>
          <w:szCs w:val="32"/>
        </w:rPr>
      </w:pPr>
      <w:r>
        <w:rPr>
          <w:rFonts w:hint="eastAsia" w:ascii="仿宋_GB2312" w:hAnsi="宋体" w:eastAsia="仿宋_GB2312" w:cs="宋体"/>
          <w:kern w:val="0"/>
          <w:sz w:val="32"/>
          <w:szCs w:val="32"/>
        </w:rPr>
        <w:t>项目申报时，项目负责人和项目组成员未列入深圳市科研诚信异常名录。</w:t>
      </w:r>
    </w:p>
    <w:p w14:paraId="153417DB">
      <w:pPr>
        <w:pStyle w:val="12"/>
        <w:numPr>
          <w:ilvl w:val="0"/>
          <w:numId w:val="2"/>
        </w:numPr>
        <w:tabs>
          <w:tab w:val="left" w:pos="1418"/>
        </w:tabs>
        <w:adjustRightInd w:val="0"/>
        <w:snapToGrid w:val="0"/>
        <w:spacing w:line="560" w:lineRule="exact"/>
        <w:ind w:left="0" w:firstLine="640"/>
        <w:rPr>
          <w:rFonts w:ascii="仿宋_GB2312" w:hAnsi="宋体" w:eastAsia="仿宋_GB2312"/>
          <w:sz w:val="32"/>
          <w:szCs w:val="32"/>
        </w:rPr>
      </w:pPr>
      <w:r>
        <w:rPr>
          <w:rFonts w:hint="eastAsia" w:ascii="仿宋_GB2312" w:hAnsi="宋体" w:eastAsia="仿宋_GB2312"/>
          <w:sz w:val="32"/>
          <w:szCs w:val="32"/>
        </w:rPr>
        <w:t>项目负责人每年只能牵头1项稳定支持项目，项目组成员在研（包括牵头和参与）的市级科技计划项目（平台载体、事后补助类除外）合计不得超过3项。稳定支持项目不得与已立项的国家、省部委和深圳市项目重复。当年已获得稳定支持项目资助的项目负责人不得再申报深圳市科技行政主管部门同一年度的基础研究资助计划。</w:t>
      </w:r>
    </w:p>
    <w:p w14:paraId="02EA0082">
      <w:pPr>
        <w:pStyle w:val="12"/>
        <w:numPr>
          <w:ilvl w:val="0"/>
          <w:numId w:val="2"/>
        </w:numPr>
        <w:tabs>
          <w:tab w:val="left" w:pos="1418"/>
        </w:tabs>
        <w:spacing w:line="560" w:lineRule="exact"/>
        <w:ind w:left="0" w:firstLine="640"/>
        <w:rPr>
          <w:rFonts w:ascii="仿宋_GB2312" w:hAnsi="宋体" w:eastAsia="仿宋_GB2312"/>
          <w:sz w:val="32"/>
          <w:szCs w:val="32"/>
        </w:rPr>
      </w:pPr>
      <w:r>
        <w:rPr>
          <w:rFonts w:hint="eastAsia" w:ascii="仿宋_GB2312" w:hAnsi="宋体" w:eastAsia="仿宋_GB2312"/>
          <w:sz w:val="32"/>
          <w:szCs w:val="32"/>
        </w:rPr>
        <w:t>申报流程</w:t>
      </w:r>
    </w:p>
    <w:p w14:paraId="106D0719">
      <w:pPr>
        <w:pStyle w:val="12"/>
        <w:numPr>
          <w:ilvl w:val="1"/>
          <w:numId w:val="4"/>
        </w:numPr>
        <w:spacing w:line="560" w:lineRule="exact"/>
        <w:ind w:left="0" w:firstLine="640"/>
        <w:rPr>
          <w:rFonts w:ascii="仿宋_GB2312" w:hAnsi="宋体" w:eastAsia="仿宋_GB2312" w:cs="宋体"/>
          <w:sz w:val="32"/>
          <w:szCs w:val="32"/>
        </w:rPr>
      </w:pPr>
      <w:r>
        <w:rPr>
          <w:rFonts w:hint="eastAsia" w:ascii="仿宋_GB2312" w:hAnsi="宋体" w:eastAsia="仿宋_GB2312" w:cs="宋体"/>
          <w:sz w:val="32"/>
          <w:szCs w:val="32"/>
        </w:rPr>
        <w:t>科研处根据重点学科规划发展、相关学科发展基础和优势，向深圳市科技行政主管部门提交稳定支持建设方案，包括总体目标、经费使用计划、主要任务等。</w:t>
      </w:r>
    </w:p>
    <w:p w14:paraId="41C72E5C">
      <w:pPr>
        <w:pStyle w:val="12"/>
        <w:numPr>
          <w:ilvl w:val="1"/>
          <w:numId w:val="4"/>
        </w:numPr>
        <w:spacing w:line="560" w:lineRule="exact"/>
        <w:ind w:left="0" w:firstLine="640"/>
        <w:rPr>
          <w:rFonts w:ascii="仿宋_GB2312" w:hAnsi="宋体" w:eastAsia="仿宋_GB2312" w:cs="宋体"/>
          <w:sz w:val="32"/>
          <w:szCs w:val="32"/>
        </w:rPr>
      </w:pPr>
      <w:r>
        <w:rPr>
          <w:rFonts w:hint="eastAsia" w:ascii="仿宋_GB2312" w:hAnsi="宋体" w:eastAsia="仿宋_GB2312" w:cs="宋体"/>
          <w:sz w:val="32"/>
          <w:szCs w:val="32"/>
        </w:rPr>
        <w:t>根据建设方案和相关评审规则，学院确定若干项目，科研处在深圳市科技业务管理系统提交建设方案计划书。</w:t>
      </w:r>
    </w:p>
    <w:p w14:paraId="646AFC8F">
      <w:pPr>
        <w:spacing w:line="56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项目申报人应当同时在深圳市科技业务管理系统提交稳定支持项目申请书，包括项目研发任务、项目预期目标等。</w:t>
      </w:r>
    </w:p>
    <w:p w14:paraId="318D878C">
      <w:pPr>
        <w:pStyle w:val="12"/>
        <w:numPr>
          <w:ilvl w:val="1"/>
          <w:numId w:val="4"/>
        </w:numPr>
        <w:spacing w:line="560" w:lineRule="exact"/>
        <w:ind w:left="0" w:firstLine="640"/>
        <w:rPr>
          <w:rFonts w:ascii="仿宋_GB2312" w:hAnsi="宋体" w:eastAsia="仿宋_GB2312" w:cs="宋体"/>
          <w:sz w:val="32"/>
          <w:szCs w:val="32"/>
        </w:rPr>
      </w:pPr>
      <w:r>
        <w:rPr>
          <w:rFonts w:hint="eastAsia" w:ascii="仿宋_GB2312" w:hAnsi="宋体" w:eastAsia="仿宋_GB2312" w:cs="宋体"/>
          <w:sz w:val="32"/>
          <w:szCs w:val="32"/>
        </w:rPr>
        <w:t>深圳市科技行政主管部门与学院签订项目任务书并拨付资金。</w:t>
      </w:r>
    </w:p>
    <w:p w14:paraId="4DC058FF">
      <w:pPr>
        <w:pStyle w:val="12"/>
        <w:numPr>
          <w:ilvl w:val="0"/>
          <w:numId w:val="2"/>
        </w:numPr>
        <w:tabs>
          <w:tab w:val="left" w:pos="1418"/>
        </w:tabs>
        <w:spacing w:line="560" w:lineRule="exact"/>
        <w:ind w:left="0" w:firstLine="640"/>
        <w:rPr>
          <w:rFonts w:ascii="仿宋_GB2312" w:hAnsi="宋体" w:eastAsia="仿宋_GB2312" w:cs="宋体"/>
          <w:sz w:val="32"/>
          <w:szCs w:val="32"/>
        </w:rPr>
      </w:pPr>
      <w:r>
        <w:rPr>
          <w:rFonts w:hint="eastAsia" w:ascii="仿宋_GB2312" w:hAnsi="宋体" w:eastAsia="仿宋_GB2312" w:cs="宋体"/>
          <w:sz w:val="32"/>
          <w:szCs w:val="32"/>
        </w:rPr>
        <w:t>科研处负责项目评审的组织工作，根据项目立项的必要性、可行性、先进性和创新性、管理与机制的保障性、经费预算的合理性等方面另行制定相应的评审标准。</w:t>
      </w:r>
    </w:p>
    <w:p w14:paraId="2C5FCDFB">
      <w:pPr>
        <w:pStyle w:val="12"/>
        <w:numPr>
          <w:ilvl w:val="0"/>
          <w:numId w:val="1"/>
        </w:numPr>
        <w:spacing w:line="560" w:lineRule="exact"/>
        <w:ind w:firstLineChars="0"/>
        <w:jc w:val="center"/>
        <w:rPr>
          <w:rFonts w:ascii="黑体" w:hAnsi="黑体" w:eastAsia="黑体" w:cs="黑体"/>
          <w:bCs/>
          <w:sz w:val="32"/>
          <w:szCs w:val="32"/>
        </w:rPr>
      </w:pPr>
      <w:r>
        <w:rPr>
          <w:rFonts w:hint="eastAsia" w:ascii="黑体" w:hAnsi="黑体" w:eastAsia="黑体" w:cs="黑体"/>
          <w:bCs/>
          <w:sz w:val="32"/>
          <w:szCs w:val="32"/>
        </w:rPr>
        <w:t>院内立项</w:t>
      </w:r>
    </w:p>
    <w:p w14:paraId="5B36DAEE">
      <w:pPr>
        <w:pStyle w:val="12"/>
        <w:numPr>
          <w:ilvl w:val="0"/>
          <w:numId w:val="2"/>
        </w:numPr>
        <w:tabs>
          <w:tab w:val="left" w:pos="1560"/>
        </w:tabs>
        <w:spacing w:line="560" w:lineRule="exact"/>
        <w:ind w:left="0" w:firstLine="640"/>
        <w:rPr>
          <w:rFonts w:ascii="仿宋_GB2312" w:hAnsi="宋体" w:eastAsia="仿宋_GB2312"/>
          <w:sz w:val="32"/>
          <w:szCs w:val="32"/>
        </w:rPr>
      </w:pPr>
      <w:r>
        <w:rPr>
          <w:rFonts w:hint="eastAsia" w:ascii="仿宋_GB2312" w:hAnsi="宋体" w:eastAsia="仿宋_GB2312"/>
          <w:sz w:val="32"/>
          <w:szCs w:val="32"/>
        </w:rPr>
        <w:t>获得批准的项目需按规定与科研处签署项目合同书，项目负责人按要求填写合同内容，确定研发内容及量化验收指标。财务办负责审核经费预算，科研处负责合同审核和留存备案。</w:t>
      </w:r>
    </w:p>
    <w:p w14:paraId="4DF84581">
      <w:pPr>
        <w:pStyle w:val="12"/>
        <w:numPr>
          <w:ilvl w:val="0"/>
          <w:numId w:val="2"/>
        </w:numPr>
        <w:tabs>
          <w:tab w:val="left" w:pos="567"/>
          <w:tab w:val="left" w:pos="1560"/>
        </w:tabs>
        <w:spacing w:line="560" w:lineRule="exact"/>
        <w:ind w:left="0" w:firstLine="640"/>
        <w:rPr>
          <w:rFonts w:ascii="仿宋_GB2312" w:hAnsi="宋体" w:eastAsia="仿宋_GB2312"/>
          <w:sz w:val="32"/>
          <w:szCs w:val="32"/>
        </w:rPr>
      </w:pPr>
      <w:r>
        <w:rPr>
          <w:rFonts w:hint="eastAsia" w:ascii="仿宋_GB2312" w:hAnsi="宋体" w:eastAsia="仿宋_GB2312"/>
          <w:sz w:val="32"/>
          <w:szCs w:val="32"/>
        </w:rPr>
        <w:t>立项程序</w:t>
      </w:r>
    </w:p>
    <w:p w14:paraId="1CAC145C">
      <w:pPr>
        <w:pStyle w:val="12"/>
        <w:numPr>
          <w:ilvl w:val="1"/>
          <w:numId w:val="5"/>
        </w:numPr>
        <w:spacing w:line="560" w:lineRule="exact"/>
        <w:ind w:left="0" w:firstLine="640"/>
        <w:rPr>
          <w:rFonts w:ascii="仿宋_GB2312" w:hAnsi="宋体" w:eastAsia="仿宋_GB2312"/>
          <w:sz w:val="32"/>
          <w:szCs w:val="32"/>
        </w:rPr>
      </w:pPr>
      <w:r>
        <w:rPr>
          <w:rFonts w:hint="eastAsia" w:ascii="仿宋_GB2312" w:hAnsi="宋体" w:eastAsia="仿宋_GB2312"/>
          <w:sz w:val="32"/>
          <w:szCs w:val="32"/>
        </w:rPr>
        <w:t>项目获批后，项目负责人须在院内科研项目管理系统中立项，录入相关信息。</w:t>
      </w:r>
    </w:p>
    <w:p w14:paraId="5E91A26B">
      <w:pPr>
        <w:pStyle w:val="12"/>
        <w:numPr>
          <w:ilvl w:val="1"/>
          <w:numId w:val="5"/>
        </w:numPr>
        <w:spacing w:line="560" w:lineRule="exact"/>
        <w:ind w:left="0" w:firstLine="640"/>
        <w:rPr>
          <w:rFonts w:ascii="仿宋_GB2312" w:hAnsi="宋体" w:eastAsia="仿宋_GB2312"/>
          <w:sz w:val="32"/>
          <w:szCs w:val="32"/>
        </w:rPr>
      </w:pPr>
      <w:r>
        <w:rPr>
          <w:rFonts w:hint="eastAsia" w:ascii="仿宋_GB2312" w:hAnsi="宋体" w:eastAsia="仿宋_GB2312"/>
          <w:sz w:val="32"/>
          <w:szCs w:val="32"/>
        </w:rPr>
        <w:t>如项目经费由学院多名教师分别支配，则需在科研项目管理系统中明确分拨人员、经费数目、承担任务等具体内容。原则上项目立项后上述信息不予修改。</w:t>
      </w:r>
    </w:p>
    <w:p w14:paraId="1E014447">
      <w:pPr>
        <w:pStyle w:val="12"/>
        <w:numPr>
          <w:ilvl w:val="1"/>
          <w:numId w:val="5"/>
        </w:numPr>
        <w:spacing w:line="560" w:lineRule="exact"/>
        <w:ind w:left="0" w:firstLine="640"/>
        <w:rPr>
          <w:rFonts w:ascii="仿宋_GB2312" w:hAnsi="宋体" w:eastAsia="仿宋_GB2312"/>
          <w:sz w:val="32"/>
          <w:szCs w:val="32"/>
        </w:rPr>
      </w:pPr>
      <w:r>
        <w:rPr>
          <w:rFonts w:hint="eastAsia" w:ascii="仿宋_GB2312" w:hAnsi="宋体" w:eastAsia="仿宋_GB2312"/>
          <w:sz w:val="32"/>
          <w:szCs w:val="32"/>
        </w:rPr>
        <w:t>项目立项后，财务办根据合同书划拨项目经费。</w:t>
      </w:r>
    </w:p>
    <w:p w14:paraId="019E5E64">
      <w:pPr>
        <w:pStyle w:val="12"/>
        <w:numPr>
          <w:ilvl w:val="0"/>
          <w:numId w:val="2"/>
        </w:numPr>
        <w:tabs>
          <w:tab w:val="left" w:pos="1560"/>
        </w:tabs>
        <w:spacing w:line="560" w:lineRule="exact"/>
        <w:ind w:left="0" w:firstLine="640"/>
        <w:rPr>
          <w:rFonts w:ascii="仿宋_GB2312" w:hAnsi="宋体" w:eastAsia="仿宋_GB2312"/>
          <w:sz w:val="32"/>
          <w:szCs w:val="32"/>
        </w:rPr>
      </w:pPr>
      <w:r>
        <w:rPr>
          <w:rFonts w:hint="eastAsia" w:ascii="仿宋_GB2312" w:hAnsi="宋体" w:eastAsia="仿宋_GB2312"/>
          <w:sz w:val="32"/>
          <w:szCs w:val="32"/>
        </w:rPr>
        <w:t>科研项目管理系统中的数据应真实、全面、完整。</w:t>
      </w:r>
    </w:p>
    <w:p w14:paraId="38CA8E12">
      <w:pPr>
        <w:pStyle w:val="12"/>
        <w:numPr>
          <w:ilvl w:val="0"/>
          <w:numId w:val="1"/>
        </w:numPr>
        <w:spacing w:line="560" w:lineRule="exact"/>
        <w:ind w:firstLineChars="0"/>
        <w:jc w:val="center"/>
        <w:rPr>
          <w:rFonts w:ascii="黑体" w:hAnsi="黑体" w:eastAsia="黑体" w:cs="黑体"/>
          <w:bCs/>
          <w:sz w:val="32"/>
          <w:szCs w:val="32"/>
        </w:rPr>
      </w:pPr>
      <w:r>
        <w:rPr>
          <w:rFonts w:hint="eastAsia" w:ascii="黑体" w:hAnsi="黑体" w:eastAsia="黑体" w:cs="黑体"/>
          <w:bCs/>
          <w:sz w:val="32"/>
          <w:szCs w:val="32"/>
        </w:rPr>
        <w:t>过程管理和项目验收</w:t>
      </w:r>
    </w:p>
    <w:p w14:paraId="1A90CF25">
      <w:pPr>
        <w:pStyle w:val="12"/>
        <w:numPr>
          <w:ilvl w:val="0"/>
          <w:numId w:val="2"/>
        </w:numPr>
        <w:tabs>
          <w:tab w:val="left" w:pos="1560"/>
        </w:tabs>
        <w:spacing w:line="560" w:lineRule="exact"/>
        <w:ind w:left="0" w:firstLine="640"/>
        <w:rPr>
          <w:rFonts w:ascii="仿宋_GB2312" w:hAnsi="宋体" w:eastAsia="仿宋_GB2312"/>
          <w:sz w:val="32"/>
          <w:szCs w:val="32"/>
        </w:rPr>
      </w:pPr>
      <w:r>
        <w:rPr>
          <w:rFonts w:hint="eastAsia" w:ascii="仿宋_GB2312" w:hAnsi="宋体" w:eastAsia="仿宋_GB2312"/>
          <w:sz w:val="32"/>
          <w:szCs w:val="32"/>
        </w:rPr>
        <w:t>稳定支持项目需每年配合科研处组织的中期检查、绩效评估、情况报告等工作，同时接受财务办的检查与监督。科研处</w:t>
      </w:r>
      <w:r>
        <w:rPr>
          <w:rFonts w:hint="eastAsia" w:ascii="仿宋_GB2312" w:hAnsi="宋体" w:eastAsia="仿宋_GB2312" w:cs="宋体"/>
          <w:sz w:val="32"/>
          <w:szCs w:val="32"/>
        </w:rPr>
        <w:t>每年4月底前完成上年度稳定支持计划执行情况报告，在院内公示后报深圳市科技主管部门备案。</w:t>
      </w:r>
    </w:p>
    <w:p w14:paraId="7D9391D8">
      <w:pPr>
        <w:pStyle w:val="12"/>
        <w:numPr>
          <w:ilvl w:val="0"/>
          <w:numId w:val="2"/>
        </w:numPr>
        <w:tabs>
          <w:tab w:val="left" w:pos="1560"/>
        </w:tabs>
        <w:spacing w:line="560" w:lineRule="exact"/>
        <w:ind w:left="0" w:firstLine="640"/>
        <w:rPr>
          <w:rFonts w:ascii="仿宋_GB2312" w:hAnsi="宋体" w:eastAsia="仿宋_GB2312" w:cs="宋体"/>
          <w:color w:val="000000"/>
          <w:kern w:val="0"/>
          <w:sz w:val="32"/>
          <w:szCs w:val="32"/>
        </w:rPr>
      </w:pPr>
      <w:r>
        <w:rPr>
          <w:rFonts w:hint="eastAsia" w:ascii="仿宋_GB2312" w:hAnsi="宋体" w:eastAsia="仿宋_GB2312" w:cs="宋体"/>
          <w:sz w:val="32"/>
          <w:szCs w:val="32"/>
        </w:rPr>
        <w:t>项目负责人每年</w:t>
      </w:r>
      <w:r>
        <w:rPr>
          <w:rFonts w:hint="eastAsia" w:ascii="仿宋_GB2312" w:hAnsi="宋体" w:eastAsia="仿宋_GB2312" w:cs="宋体"/>
          <w:color w:val="000000"/>
          <w:kern w:val="0"/>
          <w:sz w:val="32"/>
          <w:szCs w:val="32"/>
        </w:rPr>
        <w:t>开展一次项目执行情况自查，根据主管部门的要求提交相关材料，包括但不限于项目年度执行报告、自评报告、科技报告等。如项目执行中有重大事项，应及时上报。</w:t>
      </w:r>
    </w:p>
    <w:p w14:paraId="229D4028">
      <w:pPr>
        <w:pStyle w:val="12"/>
        <w:numPr>
          <w:ilvl w:val="0"/>
          <w:numId w:val="2"/>
        </w:numPr>
        <w:tabs>
          <w:tab w:val="left" w:pos="1560"/>
        </w:tabs>
        <w:spacing w:line="560" w:lineRule="exact"/>
        <w:ind w:left="0" w:firstLine="640"/>
        <w:rPr>
          <w:rFonts w:ascii="仿宋_GB2312" w:hAnsi="宋体" w:eastAsia="仿宋_GB2312" w:cs="宋体"/>
          <w:color w:val="000000"/>
          <w:kern w:val="0"/>
          <w:sz w:val="32"/>
          <w:szCs w:val="32"/>
        </w:rPr>
      </w:pPr>
      <w:r>
        <w:rPr>
          <w:rFonts w:hint="eastAsia" w:ascii="仿宋_GB2312" w:hAnsi="宋体" w:eastAsia="仿宋_GB2312" w:cs="仿宋_GB2312"/>
          <w:kern w:val="0"/>
          <w:sz w:val="32"/>
          <w:szCs w:val="32"/>
        </w:rPr>
        <w:t>项目实施期内，项目合同内容一般不作调整；确需变更合同内容的，项目负责人应当提出申请，经科研处审查同意后方可变更，否则项目负责人应当承担违约责任。</w:t>
      </w:r>
    </w:p>
    <w:p w14:paraId="2D937904">
      <w:pPr>
        <w:pStyle w:val="12"/>
        <w:numPr>
          <w:ilvl w:val="0"/>
          <w:numId w:val="2"/>
        </w:numPr>
        <w:tabs>
          <w:tab w:val="left" w:pos="1560"/>
        </w:tabs>
        <w:spacing w:line="560" w:lineRule="exact"/>
        <w:ind w:left="0" w:firstLine="640"/>
        <w:rPr>
          <w:rFonts w:ascii="仿宋_GB2312" w:hAnsi="宋体" w:eastAsia="仿宋_GB2312" w:cs="宋体"/>
          <w:color w:val="000000"/>
          <w:kern w:val="0"/>
          <w:sz w:val="32"/>
          <w:szCs w:val="32"/>
        </w:rPr>
      </w:pPr>
      <w:r>
        <w:rPr>
          <w:rFonts w:hint="eastAsia" w:ascii="仿宋_GB2312" w:hAnsi="宋体" w:eastAsia="仿宋_GB2312" w:cs="仿宋_GB2312"/>
          <w:kern w:val="0"/>
          <w:sz w:val="32"/>
          <w:szCs w:val="32"/>
        </w:rPr>
        <w:t>如存在项目无法完成的情况，项目负责人应向科研处主动申请停止研发活动，退回全部财政资助资金。</w:t>
      </w:r>
    </w:p>
    <w:p w14:paraId="48CBEF57">
      <w:pPr>
        <w:pStyle w:val="12"/>
        <w:numPr>
          <w:ilvl w:val="0"/>
          <w:numId w:val="2"/>
        </w:numPr>
        <w:tabs>
          <w:tab w:val="left" w:pos="1560"/>
        </w:tabs>
        <w:spacing w:line="560" w:lineRule="exact"/>
        <w:ind w:left="0" w:firstLine="640"/>
        <w:rPr>
          <w:rFonts w:ascii="仿宋_GB2312" w:hAnsi="宋体" w:eastAsia="仿宋_GB2312" w:cs="宋体"/>
          <w:color w:val="000000"/>
          <w:kern w:val="0"/>
          <w:sz w:val="32"/>
          <w:szCs w:val="32"/>
        </w:rPr>
      </w:pPr>
      <w:r>
        <w:rPr>
          <w:rFonts w:hint="eastAsia" w:ascii="仿宋_GB2312" w:hAnsi="宋体" w:eastAsia="仿宋_GB2312" w:cs="仿宋_GB2312"/>
          <w:kern w:val="0"/>
          <w:sz w:val="32"/>
          <w:szCs w:val="32"/>
        </w:rPr>
        <w:t>科研处通过检查等形式发现项目无法继续实施的，应主动终止项目负责人研发活动，停止后续拨款，视情况收回财政资金、利息和追究项目负责人相关责任。</w:t>
      </w:r>
    </w:p>
    <w:p w14:paraId="51AF0F3A">
      <w:pPr>
        <w:pStyle w:val="12"/>
        <w:widowControl/>
        <w:numPr>
          <w:ilvl w:val="0"/>
          <w:numId w:val="2"/>
        </w:numPr>
        <w:tabs>
          <w:tab w:val="left" w:pos="1560"/>
        </w:tabs>
        <w:spacing w:line="560" w:lineRule="exact"/>
        <w:ind w:left="0" w:firstLine="640"/>
        <w:rPr>
          <w:rFonts w:ascii="仿宋_GB2312" w:hAnsi="宋体" w:eastAsia="仿宋_GB2312" w:cs="宋体"/>
          <w:color w:val="000000"/>
          <w:kern w:val="0"/>
          <w:sz w:val="32"/>
          <w:szCs w:val="32"/>
        </w:rPr>
      </w:pPr>
      <w:r>
        <w:rPr>
          <w:rFonts w:hint="eastAsia" w:ascii="仿宋_GB2312" w:hAnsi="宋体" w:eastAsia="仿宋_GB2312" w:cs="Calibri"/>
          <w:color w:val="000000"/>
          <w:kern w:val="0"/>
          <w:sz w:val="32"/>
          <w:szCs w:val="32"/>
        </w:rPr>
        <w:t>稳定支持项目经费预算和支出应符合深圳市科技研发资金管理、高等院校稳定支持资金管理及院内专项资金管理的有关规定和要求。财务办对项目</w:t>
      </w:r>
      <w:r>
        <w:rPr>
          <w:rFonts w:hint="eastAsia" w:ascii="仿宋_GB2312" w:hAnsi="宋体" w:eastAsia="仿宋_GB2312" w:cs="宋体"/>
          <w:color w:val="000000"/>
          <w:kern w:val="0"/>
          <w:sz w:val="32"/>
          <w:szCs w:val="32"/>
        </w:rPr>
        <w:t>独立核算并完善财务相关内部控制制度，规范资金使用，保障专款专用。</w:t>
      </w:r>
    </w:p>
    <w:p w14:paraId="1CFB234C">
      <w:pPr>
        <w:widowControl/>
        <w:spacing w:line="560" w:lineRule="exact"/>
        <w:ind w:firstLine="640" w:firstLineChars="20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财务办应履行以下管理职责：</w:t>
      </w:r>
    </w:p>
    <w:p w14:paraId="633DB3E7">
      <w:pPr>
        <w:pStyle w:val="12"/>
        <w:widowControl/>
        <w:numPr>
          <w:ilvl w:val="0"/>
          <w:numId w:val="6"/>
        </w:numPr>
        <w:spacing w:line="560" w:lineRule="exact"/>
        <w:ind w:left="0" w:firstLine="64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项目经费预算管理，包括预算编制的审核、预算调整的审核、预算执行情况的监督及反馈。</w:t>
      </w:r>
    </w:p>
    <w:p w14:paraId="2199D1EF">
      <w:pPr>
        <w:pStyle w:val="12"/>
        <w:widowControl/>
        <w:numPr>
          <w:ilvl w:val="0"/>
          <w:numId w:val="6"/>
        </w:numPr>
        <w:spacing w:line="560" w:lineRule="exact"/>
        <w:ind w:left="0" w:firstLine="64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严格按照财经法律、法规及院内财务管理办法审核经费支出，保障专款专用。</w:t>
      </w:r>
    </w:p>
    <w:p w14:paraId="1EADCEEC">
      <w:pPr>
        <w:pStyle w:val="12"/>
        <w:widowControl/>
        <w:numPr>
          <w:ilvl w:val="0"/>
          <w:numId w:val="6"/>
        </w:numPr>
        <w:spacing w:line="560" w:lineRule="exact"/>
        <w:ind w:left="0" w:firstLine="64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提供项目经费的财务数据及资料查询，配合科研处对外报送财务资料。</w:t>
      </w:r>
    </w:p>
    <w:p w14:paraId="4CCC11BB">
      <w:pPr>
        <w:pStyle w:val="12"/>
        <w:widowControl/>
        <w:numPr>
          <w:ilvl w:val="0"/>
          <w:numId w:val="6"/>
        </w:numPr>
        <w:spacing w:line="560" w:lineRule="exact"/>
        <w:ind w:left="0" w:firstLine="64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审核项目组提交的财务验收资料。</w:t>
      </w:r>
    </w:p>
    <w:p w14:paraId="4E8ED766">
      <w:pPr>
        <w:pStyle w:val="12"/>
        <w:widowControl/>
        <w:numPr>
          <w:ilvl w:val="0"/>
          <w:numId w:val="6"/>
        </w:numPr>
        <w:spacing w:line="560" w:lineRule="exact"/>
        <w:ind w:left="0" w:firstLine="64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监督经费使用情况，配合科研处、第三方及主管部门的项目经费审计和专项检查。</w:t>
      </w:r>
    </w:p>
    <w:p w14:paraId="152C8EC6">
      <w:pPr>
        <w:pStyle w:val="12"/>
        <w:widowControl/>
        <w:numPr>
          <w:ilvl w:val="0"/>
          <w:numId w:val="6"/>
        </w:numPr>
        <w:spacing w:line="560" w:lineRule="exact"/>
        <w:ind w:left="0" w:firstLine="64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按照院内管理要求，提供项目经费使用数据的统计和分析。</w:t>
      </w:r>
    </w:p>
    <w:p w14:paraId="06DF147E">
      <w:pPr>
        <w:pStyle w:val="12"/>
        <w:widowControl/>
        <w:numPr>
          <w:ilvl w:val="0"/>
          <w:numId w:val="6"/>
        </w:numPr>
        <w:spacing w:line="560" w:lineRule="exact"/>
        <w:ind w:left="0" w:firstLine="64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协助处理其他与项目经费使用相关的财务事宜。</w:t>
      </w:r>
    </w:p>
    <w:p w14:paraId="1F32792E">
      <w:pPr>
        <w:pStyle w:val="12"/>
        <w:numPr>
          <w:ilvl w:val="0"/>
          <w:numId w:val="7"/>
        </w:numPr>
        <w:tabs>
          <w:tab w:val="left" w:pos="1560"/>
        </w:tabs>
        <w:spacing w:line="560" w:lineRule="exact"/>
        <w:ind w:left="0" w:firstLine="640"/>
        <w:rPr>
          <w:rFonts w:ascii="仿宋_GB2312" w:hAnsi="宋体" w:eastAsia="仿宋_GB2312" w:cs="宋体"/>
          <w:sz w:val="32"/>
          <w:szCs w:val="32"/>
        </w:rPr>
      </w:pPr>
      <w:r>
        <w:rPr>
          <w:rFonts w:hint="eastAsia" w:ascii="仿宋_GB2312" w:hAnsi="宋体" w:eastAsia="仿宋_GB2312" w:cs="Calibri"/>
          <w:color w:val="000000"/>
          <w:kern w:val="0"/>
          <w:sz w:val="32"/>
          <w:szCs w:val="32"/>
        </w:rPr>
        <w:t>在稳定支</w:t>
      </w:r>
      <w:r>
        <w:rPr>
          <w:rFonts w:hint="eastAsia" w:ascii="仿宋_GB2312" w:hAnsi="宋体" w:eastAsia="仿宋_GB2312" w:cs="宋体"/>
          <w:sz w:val="32"/>
          <w:szCs w:val="32"/>
        </w:rPr>
        <w:t>持经费资助下产生的全部知识产权，包括专著、论文、软件和数据库等科技成果，须注明深圳市高等院校稳定支持项目资助和项目编号。</w:t>
      </w:r>
    </w:p>
    <w:p w14:paraId="7EE245E6">
      <w:pPr>
        <w:pStyle w:val="12"/>
        <w:numPr>
          <w:ilvl w:val="0"/>
          <w:numId w:val="7"/>
        </w:numPr>
        <w:tabs>
          <w:tab w:val="left" w:pos="1843"/>
        </w:tabs>
        <w:spacing w:line="560" w:lineRule="exact"/>
        <w:ind w:left="0" w:firstLine="640"/>
        <w:rPr>
          <w:rFonts w:ascii="仿宋_GB2312" w:hAnsi="宋体" w:eastAsia="仿宋_GB2312" w:cs="宋体"/>
          <w:b/>
          <w:sz w:val="32"/>
          <w:szCs w:val="32"/>
        </w:rPr>
      </w:pPr>
      <w:r>
        <w:rPr>
          <w:rFonts w:hint="eastAsia" w:ascii="仿宋_GB2312" w:hAnsi="宋体" w:eastAsia="仿宋_GB2312" w:cs="宋体"/>
          <w:sz w:val="32"/>
          <w:szCs w:val="32"/>
        </w:rPr>
        <w:t>稳定支持项目到期后6个月内，科研处组织完成结题验收，形成验收意见，具体验收方式按相关管理规定实施。</w:t>
      </w:r>
    </w:p>
    <w:p w14:paraId="30710EDE">
      <w:pPr>
        <w:pStyle w:val="12"/>
        <w:numPr>
          <w:ilvl w:val="0"/>
          <w:numId w:val="1"/>
        </w:numPr>
        <w:spacing w:line="560" w:lineRule="exact"/>
        <w:ind w:firstLineChars="0"/>
        <w:jc w:val="center"/>
        <w:rPr>
          <w:rFonts w:ascii="黑体" w:hAnsi="黑体" w:eastAsia="黑体" w:cs="黑体"/>
          <w:bCs/>
          <w:sz w:val="32"/>
          <w:szCs w:val="32"/>
        </w:rPr>
      </w:pPr>
      <w:r>
        <w:rPr>
          <w:rFonts w:hint="eastAsia" w:ascii="黑体" w:hAnsi="黑体" w:eastAsia="黑体" w:cs="黑体"/>
          <w:bCs/>
          <w:sz w:val="32"/>
          <w:szCs w:val="32"/>
        </w:rPr>
        <w:t>监督检查</w:t>
      </w:r>
    </w:p>
    <w:p w14:paraId="50921477">
      <w:pPr>
        <w:pStyle w:val="12"/>
        <w:numPr>
          <w:ilvl w:val="0"/>
          <w:numId w:val="7"/>
        </w:numPr>
        <w:tabs>
          <w:tab w:val="left" w:pos="1843"/>
        </w:tabs>
        <w:spacing w:line="560" w:lineRule="exact"/>
        <w:ind w:left="0" w:firstLine="640"/>
        <w:rPr>
          <w:rFonts w:ascii="仿宋_GB2312" w:hAnsi="宋体" w:eastAsia="仿宋_GB2312" w:cs="宋体"/>
          <w:sz w:val="32"/>
          <w:szCs w:val="32"/>
        </w:rPr>
      </w:pPr>
      <w:r>
        <w:rPr>
          <w:rFonts w:hint="eastAsia" w:ascii="仿宋_GB2312" w:hAnsi="宋体" w:eastAsia="仿宋_GB2312" w:cs="宋体"/>
          <w:bCs/>
          <w:sz w:val="32"/>
          <w:szCs w:val="32"/>
        </w:rPr>
        <w:t>科研处每三年按主管部门要求组织一次项目绩效评估，并向主管部门提交稳定支持绩效自评报告。自评报告包括周期内稳定支持总体建设方案和年度任务书，全面阐述项目总体进展情况。</w:t>
      </w:r>
      <w:r>
        <w:rPr>
          <w:rFonts w:hint="eastAsia" w:ascii="仿宋_GB2312" w:hAnsi="宋体" w:eastAsia="仿宋_GB2312" w:cs="宋体"/>
          <w:sz w:val="32"/>
          <w:szCs w:val="32"/>
        </w:rPr>
        <w:t>项目负责人应严格按照项目合同书开展研究工作，对项目执行情况进行全面详实的记录，在项目完成后积极配合科研处开展绩效评估。</w:t>
      </w:r>
    </w:p>
    <w:p w14:paraId="3E980F86">
      <w:pPr>
        <w:pStyle w:val="12"/>
        <w:numPr>
          <w:ilvl w:val="0"/>
          <w:numId w:val="7"/>
        </w:numPr>
        <w:tabs>
          <w:tab w:val="left" w:pos="1843"/>
        </w:tabs>
        <w:spacing w:line="560" w:lineRule="exact"/>
        <w:ind w:left="0" w:firstLine="640"/>
        <w:rPr>
          <w:rFonts w:ascii="仿宋_GB2312" w:hAnsi="宋体" w:eastAsia="仿宋_GB2312" w:cs="宋体"/>
          <w:sz w:val="32"/>
          <w:szCs w:val="32"/>
        </w:rPr>
      </w:pPr>
      <w:r>
        <w:rPr>
          <w:rFonts w:hint="eastAsia" w:ascii="仿宋_GB2312" w:hAnsi="宋体" w:eastAsia="仿宋_GB2312" w:cs="宋体"/>
          <w:sz w:val="32"/>
          <w:szCs w:val="32"/>
        </w:rPr>
        <w:t>科研处可采取抽查、专项检查、举报核查等方式，对稳定支持项目的实施情况进行监督检查。</w:t>
      </w:r>
    </w:p>
    <w:p w14:paraId="0088CB24">
      <w:pPr>
        <w:pStyle w:val="12"/>
        <w:numPr>
          <w:ilvl w:val="0"/>
          <w:numId w:val="7"/>
        </w:numPr>
        <w:tabs>
          <w:tab w:val="left" w:pos="1843"/>
        </w:tabs>
        <w:spacing w:line="560" w:lineRule="exact"/>
        <w:ind w:left="0" w:firstLine="640"/>
        <w:rPr>
          <w:rFonts w:ascii="仿宋_GB2312" w:hAnsi="宋体" w:eastAsia="仿宋_GB2312" w:cs="宋体"/>
          <w:sz w:val="32"/>
          <w:szCs w:val="32"/>
        </w:rPr>
      </w:pPr>
      <w:r>
        <w:rPr>
          <w:rFonts w:hint="eastAsia" w:ascii="仿宋_GB2312" w:hAnsi="宋体" w:eastAsia="仿宋_GB2312" w:cs="宋体"/>
          <w:sz w:val="32"/>
          <w:szCs w:val="32"/>
        </w:rPr>
        <w:t>获得稳定支持的项目应根据学院档案管理相关规定，及时向科研处提交各类技术文件和科技报告等资料。</w:t>
      </w:r>
    </w:p>
    <w:p w14:paraId="4D648CED">
      <w:pPr>
        <w:pStyle w:val="12"/>
        <w:numPr>
          <w:ilvl w:val="0"/>
          <w:numId w:val="7"/>
        </w:numPr>
        <w:tabs>
          <w:tab w:val="left" w:pos="1843"/>
        </w:tabs>
        <w:spacing w:line="560" w:lineRule="exact"/>
        <w:ind w:left="0" w:firstLine="640"/>
        <w:rPr>
          <w:rFonts w:ascii="仿宋_GB2312" w:hAnsi="宋体" w:eastAsia="仿宋_GB2312" w:cs="宋体"/>
          <w:sz w:val="32"/>
          <w:szCs w:val="32"/>
        </w:rPr>
      </w:pPr>
      <w:r>
        <w:rPr>
          <w:rFonts w:hint="eastAsia" w:ascii="仿宋_GB2312" w:hAnsi="宋体" w:eastAsia="仿宋_GB2312" w:cs="宋体"/>
          <w:sz w:val="32"/>
          <w:szCs w:val="32"/>
        </w:rPr>
        <w:t>项目负责人或项目组成员在项目申报、实施及验收过程中存在多头重复申报、弄虚作假、伪造成果、违规使用资金行为等不端行为的，视情节作出暂停资助、整改、变更项目团队或负责人等处理意见，并报深圳市科技行政主管部门备案。根据深圳市科技行政主管部门政策，将对项目相关责任人员列入科研诚信异常名录，并按相关规定进行处理。</w:t>
      </w:r>
    </w:p>
    <w:p w14:paraId="443FF988">
      <w:pPr>
        <w:pStyle w:val="12"/>
        <w:numPr>
          <w:ilvl w:val="0"/>
          <w:numId w:val="7"/>
        </w:numPr>
        <w:tabs>
          <w:tab w:val="left" w:pos="1843"/>
        </w:tabs>
        <w:spacing w:line="560" w:lineRule="exact"/>
        <w:ind w:left="0" w:firstLine="640"/>
        <w:rPr>
          <w:rFonts w:ascii="仿宋_GB2312" w:hAnsi="宋体" w:eastAsia="仿宋_GB2312" w:cs="宋体"/>
          <w:sz w:val="32"/>
          <w:szCs w:val="32"/>
        </w:rPr>
      </w:pPr>
      <w:r>
        <w:rPr>
          <w:rFonts w:hint="eastAsia" w:ascii="仿宋_GB2312" w:hAnsi="宋体" w:eastAsia="仿宋_GB2312" w:cs="宋体"/>
          <w:sz w:val="32"/>
          <w:szCs w:val="32"/>
        </w:rPr>
        <w:t>研发涉及实验动物和动物实验、人的生物医学研究的，必须严格遵守国家和有关部委关于伦理和生物安全的有关规定，并提供学院生命伦理委员会出具的相关证明。</w:t>
      </w:r>
    </w:p>
    <w:p w14:paraId="50D4CC97">
      <w:pPr>
        <w:pStyle w:val="12"/>
        <w:numPr>
          <w:ilvl w:val="0"/>
          <w:numId w:val="1"/>
        </w:numPr>
        <w:spacing w:line="560" w:lineRule="exact"/>
        <w:ind w:firstLineChars="0"/>
        <w:jc w:val="center"/>
        <w:rPr>
          <w:rFonts w:ascii="黑体" w:hAnsi="黑体" w:eastAsia="黑体" w:cs="黑体"/>
          <w:bCs/>
          <w:sz w:val="32"/>
          <w:szCs w:val="32"/>
        </w:rPr>
      </w:pPr>
      <w:r>
        <w:rPr>
          <w:rFonts w:hint="eastAsia" w:ascii="黑体" w:hAnsi="黑体" w:eastAsia="黑体" w:cs="黑体"/>
          <w:bCs/>
          <w:sz w:val="32"/>
          <w:szCs w:val="32"/>
        </w:rPr>
        <w:t>附则</w:t>
      </w:r>
    </w:p>
    <w:p w14:paraId="5EE49C32">
      <w:pPr>
        <w:pStyle w:val="12"/>
        <w:numPr>
          <w:ilvl w:val="0"/>
          <w:numId w:val="7"/>
        </w:numPr>
        <w:tabs>
          <w:tab w:val="left" w:pos="1843"/>
        </w:tabs>
        <w:spacing w:line="560" w:lineRule="exact"/>
        <w:ind w:left="0" w:firstLine="640"/>
        <w:rPr>
          <w:rFonts w:ascii="仿宋_GB2312" w:hAnsi="宋体" w:eastAsia="仿宋_GB2312"/>
          <w:sz w:val="32"/>
          <w:szCs w:val="32"/>
        </w:rPr>
      </w:pPr>
      <w:r>
        <w:rPr>
          <w:rFonts w:hint="eastAsia" w:ascii="仿宋_GB2312" w:hAnsi="宋体" w:eastAsia="仿宋_GB2312"/>
          <w:sz w:val="32"/>
          <w:szCs w:val="32"/>
        </w:rPr>
        <w:t>除深圳市科技主管部门特别规定外，稳定支持项目资助下所产生的科技成果和知识产权归学院所有。</w:t>
      </w:r>
    </w:p>
    <w:p w14:paraId="78F5F615">
      <w:pPr>
        <w:pStyle w:val="12"/>
        <w:numPr>
          <w:ilvl w:val="0"/>
          <w:numId w:val="7"/>
        </w:numPr>
        <w:tabs>
          <w:tab w:val="left" w:pos="1843"/>
        </w:tabs>
        <w:spacing w:line="560" w:lineRule="exact"/>
        <w:ind w:left="0" w:firstLine="640"/>
        <w:rPr>
          <w:rFonts w:ascii="仿宋_GB2312" w:hAnsi="宋体" w:eastAsia="仿宋_GB2312"/>
          <w:sz w:val="32"/>
          <w:szCs w:val="32"/>
        </w:rPr>
      </w:pPr>
      <w:r>
        <w:rPr>
          <w:rFonts w:hint="eastAsia" w:ascii="仿宋_GB2312" w:hAnsi="宋体" w:eastAsia="仿宋_GB2312"/>
          <w:sz w:val="32"/>
          <w:szCs w:val="32"/>
        </w:rPr>
        <w:t>本办法未尽事宜，参照《深圳市基础研究项目管理办法》等相关文件执行。</w:t>
      </w:r>
    </w:p>
    <w:p w14:paraId="52F670F5">
      <w:pPr>
        <w:pStyle w:val="12"/>
        <w:numPr>
          <w:ilvl w:val="0"/>
          <w:numId w:val="7"/>
        </w:numPr>
        <w:tabs>
          <w:tab w:val="left" w:pos="1843"/>
        </w:tabs>
        <w:spacing w:line="560" w:lineRule="exact"/>
        <w:ind w:left="0" w:firstLine="640"/>
        <w:rPr>
          <w:rFonts w:ascii="仿宋_GB2312" w:hAnsi="仿宋" w:eastAsia="仿宋_GB2312"/>
          <w:sz w:val="32"/>
          <w:szCs w:val="32"/>
        </w:rPr>
      </w:pPr>
      <w:r>
        <w:rPr>
          <w:rFonts w:hint="eastAsia" w:ascii="仿宋_GB2312" w:hAnsi="宋体" w:eastAsia="仿宋_GB2312"/>
          <w:bCs/>
          <w:sz w:val="32"/>
          <w:szCs w:val="32"/>
        </w:rPr>
        <w:t>本办法由科研处负责解释，自公布之日起施行。</w:t>
      </w:r>
    </w:p>
    <w:sectPr>
      <w:footerReference r:id="rId3" w:type="default"/>
      <w:pgSz w:w="11906" w:h="16838"/>
      <w:pgMar w:top="1440" w:right="1700" w:bottom="1440" w:left="15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imes New Roman Regular">
    <w:altName w:val="Arial"/>
    <w:panose1 w:val="00000000000000000000"/>
    <w:charset w:val="00"/>
    <w:family w:val="auto"/>
    <w:pitch w:val="default"/>
    <w:sig w:usb0="00000000" w:usb1="00000000" w:usb2="00000001" w:usb3="00000000" w:csb0="400001BF" w:csb1="DFF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C6BCA">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1E3BDA">
                          <w:pPr>
                            <w:pStyle w:val="4"/>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6</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A1E3BDA">
                    <w:pPr>
                      <w:pStyle w:val="4"/>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6</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6F7713"/>
    <w:multiLevelType w:val="multilevel"/>
    <w:tmpl w:val="8B6F7713"/>
    <w:lvl w:ilvl="0" w:tentative="0">
      <w:start w:val="1"/>
      <w:numFmt w:val="japaneseCounting"/>
      <w:lvlText w:val="第%1章"/>
      <w:lvlJc w:val="left"/>
      <w:pPr>
        <w:ind w:left="735" w:hanging="735"/>
      </w:pPr>
      <w:rPr>
        <w:rFonts w:hint="default" w:asciiTheme="minorEastAsia" w:hAnsiTheme="minorEastAsia" w:eastAsiaTheme="minorEastAsia"/>
        <w:b/>
      </w:rPr>
    </w:lvl>
    <w:lvl w:ilvl="1" w:tentative="0">
      <w:start w:val="1"/>
      <w:numFmt w:val="japaneseCounting"/>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5"/>
    <w:multiLevelType w:val="multilevel"/>
    <w:tmpl w:val="00000005"/>
    <w:lvl w:ilvl="0" w:tentative="0">
      <w:start w:val="1"/>
      <w:numFmt w:val="japaneseCounting"/>
      <w:lvlText w:val="第%1章"/>
      <w:lvlJc w:val="left"/>
      <w:pPr>
        <w:ind w:left="735" w:hanging="735"/>
      </w:pPr>
      <w:rPr>
        <w:rFonts w:hint="eastAsia" w:ascii="黑体" w:hAnsi="黑体" w:eastAsia="黑体" w:cs="黑体"/>
        <w:b w:val="0"/>
        <w:bCs/>
        <w:lang w:val="en-US"/>
      </w:rPr>
    </w:lvl>
    <w:lvl w:ilvl="1" w:tentative="0">
      <w:start w:val="1"/>
      <w:numFmt w:val="japaneseCounting"/>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4FE088B"/>
    <w:multiLevelType w:val="multilevel"/>
    <w:tmpl w:val="14FE088B"/>
    <w:lvl w:ilvl="0" w:tentative="0">
      <w:start w:val="1"/>
      <w:numFmt w:val="japaneseCounting"/>
      <w:lvlText w:val="第%1条"/>
      <w:lvlJc w:val="left"/>
      <w:pPr>
        <w:ind w:left="735" w:hanging="735"/>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F077849"/>
    <w:multiLevelType w:val="multilevel"/>
    <w:tmpl w:val="1F077849"/>
    <w:lvl w:ilvl="0" w:tentative="0">
      <w:start w:val="1"/>
      <w:numFmt w:val="japaneseCounting"/>
      <w:lvlText w:val="第%1章"/>
      <w:lvlJc w:val="left"/>
      <w:pPr>
        <w:ind w:left="735" w:hanging="735"/>
      </w:pPr>
      <w:rPr>
        <w:rFonts w:hint="default" w:asciiTheme="minorEastAsia" w:hAnsiTheme="minorEastAsia" w:eastAsiaTheme="minorEastAsia"/>
        <w:b/>
      </w:rPr>
    </w:lvl>
    <w:lvl w:ilvl="1" w:tentative="0">
      <w:start w:val="1"/>
      <w:numFmt w:val="japaneseCounting"/>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8BE2B13"/>
    <w:multiLevelType w:val="multilevel"/>
    <w:tmpl w:val="28BE2B13"/>
    <w:lvl w:ilvl="0" w:tentative="0">
      <w:start w:val="20"/>
      <w:numFmt w:val="japaneseCounting"/>
      <w:lvlText w:val="第%1条"/>
      <w:lvlJc w:val="left"/>
      <w:pPr>
        <w:ind w:left="735" w:hanging="735"/>
      </w:pPr>
      <w:rPr>
        <w:rFonts w:hint="eastAsia" w:ascii="仿宋_GB2312" w:eastAsia="仿宋_GB2312" w:hAnsiTheme="minorEastAsia"/>
        <w:b/>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369A0292"/>
    <w:multiLevelType w:val="multilevel"/>
    <w:tmpl w:val="369A0292"/>
    <w:lvl w:ilvl="0" w:tentative="0">
      <w:start w:val="1"/>
      <w:numFmt w:val="japaneseCounting"/>
      <w:lvlText w:val="（%1）"/>
      <w:lvlJc w:val="left"/>
      <w:pPr>
        <w:ind w:left="1080" w:hanging="10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CA71C51"/>
    <w:multiLevelType w:val="multilevel"/>
    <w:tmpl w:val="6CA71C51"/>
    <w:lvl w:ilvl="0" w:tentative="0">
      <w:start w:val="1"/>
      <w:numFmt w:val="japaneseCounting"/>
      <w:lvlText w:val="（%1）"/>
      <w:lvlJc w:val="left"/>
      <w:pPr>
        <w:ind w:left="1815" w:hanging="1080"/>
      </w:pPr>
      <w:rPr>
        <w:rFonts w:hint="default"/>
      </w:rPr>
    </w:lvl>
    <w:lvl w:ilvl="1" w:tentative="0">
      <w:start w:val="1"/>
      <w:numFmt w:val="lowerLetter"/>
      <w:lvlText w:val="%2)"/>
      <w:lvlJc w:val="left"/>
      <w:pPr>
        <w:ind w:left="1575" w:hanging="420"/>
      </w:pPr>
    </w:lvl>
    <w:lvl w:ilvl="2" w:tentative="0">
      <w:start w:val="1"/>
      <w:numFmt w:val="lowerRoman"/>
      <w:lvlText w:val="%3."/>
      <w:lvlJc w:val="right"/>
      <w:pPr>
        <w:ind w:left="1995" w:hanging="420"/>
      </w:pPr>
    </w:lvl>
    <w:lvl w:ilvl="3" w:tentative="0">
      <w:start w:val="1"/>
      <w:numFmt w:val="decimal"/>
      <w:lvlText w:val="%4."/>
      <w:lvlJc w:val="left"/>
      <w:pPr>
        <w:ind w:left="2415" w:hanging="420"/>
      </w:pPr>
    </w:lvl>
    <w:lvl w:ilvl="4" w:tentative="0">
      <w:start w:val="1"/>
      <w:numFmt w:val="lowerLetter"/>
      <w:lvlText w:val="%5)"/>
      <w:lvlJc w:val="left"/>
      <w:pPr>
        <w:ind w:left="2835" w:hanging="420"/>
      </w:pPr>
    </w:lvl>
    <w:lvl w:ilvl="5" w:tentative="0">
      <w:start w:val="1"/>
      <w:numFmt w:val="lowerRoman"/>
      <w:lvlText w:val="%6."/>
      <w:lvlJc w:val="right"/>
      <w:pPr>
        <w:ind w:left="3255" w:hanging="420"/>
      </w:pPr>
    </w:lvl>
    <w:lvl w:ilvl="6" w:tentative="0">
      <w:start w:val="1"/>
      <w:numFmt w:val="decimal"/>
      <w:lvlText w:val="%7."/>
      <w:lvlJc w:val="left"/>
      <w:pPr>
        <w:ind w:left="3675" w:hanging="420"/>
      </w:pPr>
    </w:lvl>
    <w:lvl w:ilvl="7" w:tentative="0">
      <w:start w:val="1"/>
      <w:numFmt w:val="lowerLetter"/>
      <w:lvlText w:val="%8)"/>
      <w:lvlJc w:val="left"/>
      <w:pPr>
        <w:ind w:left="4095" w:hanging="420"/>
      </w:pPr>
    </w:lvl>
    <w:lvl w:ilvl="8" w:tentative="0">
      <w:start w:val="1"/>
      <w:numFmt w:val="lowerRoman"/>
      <w:lvlText w:val="%9."/>
      <w:lvlJc w:val="right"/>
      <w:pPr>
        <w:ind w:left="4515" w:hanging="420"/>
      </w:pPr>
    </w:lvl>
  </w:abstractNum>
  <w:num w:numId="1">
    <w:abstractNumId w:val="1"/>
  </w:num>
  <w:num w:numId="2">
    <w:abstractNumId w:val="2"/>
  </w:num>
  <w:num w:numId="3">
    <w:abstractNumId w:val="6"/>
  </w:num>
  <w:num w:numId="4">
    <w:abstractNumId w:val="3"/>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YxMzk5NTIxYjdmZmIyYjY0ZGY1ODk2YTU0NWQzZDgifQ=="/>
  </w:docVars>
  <w:rsids>
    <w:rsidRoot w:val="007C4CE1"/>
    <w:rsid w:val="00045362"/>
    <w:rsid w:val="00053FFB"/>
    <w:rsid w:val="0006237F"/>
    <w:rsid w:val="00080F72"/>
    <w:rsid w:val="00082A7C"/>
    <w:rsid w:val="000979A7"/>
    <w:rsid w:val="000B34E1"/>
    <w:rsid w:val="000B65DD"/>
    <w:rsid w:val="000F1EB7"/>
    <w:rsid w:val="00103F0E"/>
    <w:rsid w:val="0012096F"/>
    <w:rsid w:val="00173335"/>
    <w:rsid w:val="00174501"/>
    <w:rsid w:val="00175227"/>
    <w:rsid w:val="001838CF"/>
    <w:rsid w:val="00183D9C"/>
    <w:rsid w:val="001C2386"/>
    <w:rsid w:val="001D04E7"/>
    <w:rsid w:val="001D5230"/>
    <w:rsid w:val="00214E64"/>
    <w:rsid w:val="0023270C"/>
    <w:rsid w:val="002628B8"/>
    <w:rsid w:val="0026445A"/>
    <w:rsid w:val="0028480B"/>
    <w:rsid w:val="00290B81"/>
    <w:rsid w:val="002C1455"/>
    <w:rsid w:val="002C2C39"/>
    <w:rsid w:val="002D3BAF"/>
    <w:rsid w:val="002E2C5A"/>
    <w:rsid w:val="0030537A"/>
    <w:rsid w:val="0034229E"/>
    <w:rsid w:val="003632F0"/>
    <w:rsid w:val="00363F9C"/>
    <w:rsid w:val="00373BE7"/>
    <w:rsid w:val="00373F95"/>
    <w:rsid w:val="00375CFD"/>
    <w:rsid w:val="00381252"/>
    <w:rsid w:val="00387AB2"/>
    <w:rsid w:val="003B5F69"/>
    <w:rsid w:val="003E1F89"/>
    <w:rsid w:val="003E3D8F"/>
    <w:rsid w:val="00407751"/>
    <w:rsid w:val="00425F56"/>
    <w:rsid w:val="00436018"/>
    <w:rsid w:val="00451B88"/>
    <w:rsid w:val="004A2DFC"/>
    <w:rsid w:val="004B31D8"/>
    <w:rsid w:val="00504120"/>
    <w:rsid w:val="00507137"/>
    <w:rsid w:val="005203F9"/>
    <w:rsid w:val="00523A90"/>
    <w:rsid w:val="00527374"/>
    <w:rsid w:val="00531D80"/>
    <w:rsid w:val="005464AF"/>
    <w:rsid w:val="00557E17"/>
    <w:rsid w:val="005A014C"/>
    <w:rsid w:val="005A0F99"/>
    <w:rsid w:val="005C1D0A"/>
    <w:rsid w:val="005C35D1"/>
    <w:rsid w:val="005C464A"/>
    <w:rsid w:val="00654C89"/>
    <w:rsid w:val="00666506"/>
    <w:rsid w:val="00680270"/>
    <w:rsid w:val="00682160"/>
    <w:rsid w:val="00685FCB"/>
    <w:rsid w:val="0069641F"/>
    <w:rsid w:val="006C00FB"/>
    <w:rsid w:val="006C54BD"/>
    <w:rsid w:val="006C78FE"/>
    <w:rsid w:val="006D68AC"/>
    <w:rsid w:val="006E3CC5"/>
    <w:rsid w:val="006F418D"/>
    <w:rsid w:val="00702AB8"/>
    <w:rsid w:val="00723FF7"/>
    <w:rsid w:val="00766823"/>
    <w:rsid w:val="00773ADA"/>
    <w:rsid w:val="007745BA"/>
    <w:rsid w:val="00775533"/>
    <w:rsid w:val="00783E3C"/>
    <w:rsid w:val="00786934"/>
    <w:rsid w:val="00790FFB"/>
    <w:rsid w:val="00794121"/>
    <w:rsid w:val="0079798D"/>
    <w:rsid w:val="007C4CE1"/>
    <w:rsid w:val="007E6919"/>
    <w:rsid w:val="007F7500"/>
    <w:rsid w:val="00815532"/>
    <w:rsid w:val="008159D7"/>
    <w:rsid w:val="00851122"/>
    <w:rsid w:val="008556B6"/>
    <w:rsid w:val="00867768"/>
    <w:rsid w:val="00871981"/>
    <w:rsid w:val="00871B47"/>
    <w:rsid w:val="00881EB3"/>
    <w:rsid w:val="008839F5"/>
    <w:rsid w:val="00890819"/>
    <w:rsid w:val="008A33E2"/>
    <w:rsid w:val="008E4AC5"/>
    <w:rsid w:val="008F2A93"/>
    <w:rsid w:val="008F747D"/>
    <w:rsid w:val="00905230"/>
    <w:rsid w:val="00915558"/>
    <w:rsid w:val="00950593"/>
    <w:rsid w:val="0096247E"/>
    <w:rsid w:val="009B0600"/>
    <w:rsid w:val="009B2159"/>
    <w:rsid w:val="009B4ABC"/>
    <w:rsid w:val="009D6A3B"/>
    <w:rsid w:val="009F731F"/>
    <w:rsid w:val="00A17062"/>
    <w:rsid w:val="00A310B8"/>
    <w:rsid w:val="00A53555"/>
    <w:rsid w:val="00A574DA"/>
    <w:rsid w:val="00A8053C"/>
    <w:rsid w:val="00A876D8"/>
    <w:rsid w:val="00A946B2"/>
    <w:rsid w:val="00AA4F86"/>
    <w:rsid w:val="00AD41F5"/>
    <w:rsid w:val="00B12FCA"/>
    <w:rsid w:val="00B27974"/>
    <w:rsid w:val="00B32003"/>
    <w:rsid w:val="00B75332"/>
    <w:rsid w:val="00B775D2"/>
    <w:rsid w:val="00B8084C"/>
    <w:rsid w:val="00C03889"/>
    <w:rsid w:val="00C06A9E"/>
    <w:rsid w:val="00C17964"/>
    <w:rsid w:val="00C468EC"/>
    <w:rsid w:val="00C56AF2"/>
    <w:rsid w:val="00C7285A"/>
    <w:rsid w:val="00C828E9"/>
    <w:rsid w:val="00C83FE7"/>
    <w:rsid w:val="00C870EB"/>
    <w:rsid w:val="00CF0876"/>
    <w:rsid w:val="00D1564C"/>
    <w:rsid w:val="00D516ED"/>
    <w:rsid w:val="00D5365C"/>
    <w:rsid w:val="00D5436B"/>
    <w:rsid w:val="00DA50B7"/>
    <w:rsid w:val="00DC169C"/>
    <w:rsid w:val="00DC32AB"/>
    <w:rsid w:val="00DD218B"/>
    <w:rsid w:val="00DD2EC4"/>
    <w:rsid w:val="00DF47FE"/>
    <w:rsid w:val="00DF71B7"/>
    <w:rsid w:val="00E020FC"/>
    <w:rsid w:val="00E05277"/>
    <w:rsid w:val="00E21EC7"/>
    <w:rsid w:val="00E21FFE"/>
    <w:rsid w:val="00E22CD8"/>
    <w:rsid w:val="00E81972"/>
    <w:rsid w:val="00EA4E9C"/>
    <w:rsid w:val="00EA7ED6"/>
    <w:rsid w:val="00EC6965"/>
    <w:rsid w:val="00EC7999"/>
    <w:rsid w:val="00EE04CD"/>
    <w:rsid w:val="00EE263B"/>
    <w:rsid w:val="00EF480F"/>
    <w:rsid w:val="00F04357"/>
    <w:rsid w:val="00F12E04"/>
    <w:rsid w:val="00F3756E"/>
    <w:rsid w:val="00F4458B"/>
    <w:rsid w:val="00F5387F"/>
    <w:rsid w:val="00F555D8"/>
    <w:rsid w:val="00F601DB"/>
    <w:rsid w:val="00F76348"/>
    <w:rsid w:val="00F80DDC"/>
    <w:rsid w:val="00F9215B"/>
    <w:rsid w:val="00F97710"/>
    <w:rsid w:val="00FA40C3"/>
    <w:rsid w:val="00FA77F5"/>
    <w:rsid w:val="00FE5E4D"/>
    <w:rsid w:val="00FF58D8"/>
    <w:rsid w:val="02BE3AA7"/>
    <w:rsid w:val="036C4960"/>
    <w:rsid w:val="06692568"/>
    <w:rsid w:val="1FFF2320"/>
    <w:rsid w:val="24835CB9"/>
    <w:rsid w:val="31BFF0A9"/>
    <w:rsid w:val="345C78C3"/>
    <w:rsid w:val="376AAD56"/>
    <w:rsid w:val="3CCD4351"/>
    <w:rsid w:val="3F8F7490"/>
    <w:rsid w:val="423D7815"/>
    <w:rsid w:val="46BA7B8A"/>
    <w:rsid w:val="46EF5C2A"/>
    <w:rsid w:val="4A661B01"/>
    <w:rsid w:val="5B79360F"/>
    <w:rsid w:val="5D1442AC"/>
    <w:rsid w:val="5EDFF789"/>
    <w:rsid w:val="5FFFDA10"/>
    <w:rsid w:val="68337380"/>
    <w:rsid w:val="6942017F"/>
    <w:rsid w:val="6F8F0E00"/>
    <w:rsid w:val="6FFF5D8D"/>
    <w:rsid w:val="718F59CB"/>
    <w:rsid w:val="738FBCCD"/>
    <w:rsid w:val="77FC0FFD"/>
    <w:rsid w:val="79BD3535"/>
    <w:rsid w:val="7CFCB635"/>
    <w:rsid w:val="7E1669BC"/>
    <w:rsid w:val="7EA549CE"/>
    <w:rsid w:val="7EBD5D21"/>
    <w:rsid w:val="7FF725DA"/>
    <w:rsid w:val="7FFB46B2"/>
    <w:rsid w:val="7FFF176D"/>
    <w:rsid w:val="BBF7D336"/>
    <w:rsid w:val="E9EDF6D4"/>
    <w:rsid w:val="F1F792BA"/>
    <w:rsid w:val="FBDECEB1"/>
    <w:rsid w:val="FFDDA9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8"/>
    <w:unhideWhenUsed/>
    <w:qFormat/>
    <w:uiPriority w:val="99"/>
    <w:pPr>
      <w:tabs>
        <w:tab w:val="center" w:pos="4153"/>
        <w:tab w:val="right" w:pos="8306"/>
      </w:tabs>
      <w:snapToGrid w:val="0"/>
      <w:jc w:val="left"/>
    </w:pPr>
    <w:rPr>
      <w:sz w:val="18"/>
      <w:szCs w:val="18"/>
    </w:rPr>
  </w:style>
  <w:style w:type="paragraph" w:styleId="5">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link w:val="13"/>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annotation subject"/>
    <w:basedOn w:val="2"/>
    <w:next w:val="2"/>
    <w:link w:val="15"/>
    <w:semiHidden/>
    <w:unhideWhenUsed/>
    <w:qFormat/>
    <w:uiPriority w:val="99"/>
    <w:rPr>
      <w:b/>
      <w:bCs/>
    </w:rPr>
  </w:style>
  <w:style w:type="character" w:styleId="11">
    <w:name w:val="annotation reference"/>
    <w:basedOn w:val="10"/>
    <w:semiHidden/>
    <w:unhideWhenUsed/>
    <w:qFormat/>
    <w:uiPriority w:val="99"/>
    <w:rPr>
      <w:sz w:val="21"/>
      <w:szCs w:val="21"/>
    </w:rPr>
  </w:style>
  <w:style w:type="paragraph" w:styleId="12">
    <w:name w:val="List Paragraph"/>
    <w:basedOn w:val="1"/>
    <w:qFormat/>
    <w:uiPriority w:val="34"/>
    <w:pPr>
      <w:ind w:firstLine="420" w:firstLineChars="200"/>
    </w:pPr>
  </w:style>
  <w:style w:type="character" w:customStyle="1" w:styleId="13">
    <w:name w:val="HTML 预设格式 字符"/>
    <w:basedOn w:val="10"/>
    <w:link w:val="6"/>
    <w:semiHidden/>
    <w:qFormat/>
    <w:uiPriority w:val="99"/>
    <w:rPr>
      <w:rFonts w:ascii="宋体" w:hAnsi="宋体" w:eastAsia="宋体" w:cs="宋体"/>
      <w:kern w:val="0"/>
      <w:sz w:val="24"/>
      <w:szCs w:val="24"/>
    </w:rPr>
  </w:style>
  <w:style w:type="character" w:customStyle="1" w:styleId="14">
    <w:name w:val="批注文字 字符"/>
    <w:basedOn w:val="10"/>
    <w:link w:val="2"/>
    <w:semiHidden/>
    <w:qFormat/>
    <w:uiPriority w:val="99"/>
    <w:rPr>
      <w:kern w:val="2"/>
      <w:sz w:val="21"/>
      <w:szCs w:val="22"/>
    </w:rPr>
  </w:style>
  <w:style w:type="character" w:customStyle="1" w:styleId="15">
    <w:name w:val="批注主题 字符"/>
    <w:basedOn w:val="14"/>
    <w:link w:val="8"/>
    <w:semiHidden/>
    <w:qFormat/>
    <w:uiPriority w:val="99"/>
    <w:rPr>
      <w:b/>
      <w:bCs/>
      <w:kern w:val="2"/>
      <w:sz w:val="21"/>
      <w:szCs w:val="22"/>
    </w:rPr>
  </w:style>
  <w:style w:type="character" w:customStyle="1" w:styleId="16">
    <w:name w:val="批注框文本 字符"/>
    <w:basedOn w:val="10"/>
    <w:link w:val="3"/>
    <w:semiHidden/>
    <w:qFormat/>
    <w:uiPriority w:val="99"/>
    <w:rPr>
      <w:kern w:val="2"/>
      <w:sz w:val="18"/>
      <w:szCs w:val="18"/>
    </w:rPr>
  </w:style>
  <w:style w:type="character" w:customStyle="1" w:styleId="17">
    <w:name w:val="页眉 字符"/>
    <w:basedOn w:val="10"/>
    <w:link w:val="5"/>
    <w:qFormat/>
    <w:uiPriority w:val="99"/>
    <w:rPr>
      <w:kern w:val="2"/>
      <w:sz w:val="18"/>
      <w:szCs w:val="18"/>
    </w:rPr>
  </w:style>
  <w:style w:type="character" w:customStyle="1" w:styleId="18">
    <w:name w:val="页脚 字符"/>
    <w:basedOn w:val="10"/>
    <w:link w:val="4"/>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7</Pages>
  <Words>2827</Words>
  <Characters>2839</Characters>
  <Lines>20</Lines>
  <Paragraphs>5</Paragraphs>
  <TotalTime>0</TotalTime>
  <ScaleCrop>false</ScaleCrop>
  <LinksUpToDate>false</LinksUpToDate>
  <CharactersWithSpaces>2840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2020-06-22T19:20:00Z</dcterms:created>
  <dc:creator>刘 晓宇</dc:creator>
  <cp:lastModifiedBy>马静宜</cp:lastModifiedBy>
  <cp:lastPrinted>2020-08-14T23:13:00Z</cp:lastPrinted>
  <dcterms:modified xsi:type="dcterms:W3CDTF">2025-06-27T08:31:35Z</dcterms:modified>
  <cp:revision>137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F30C66F7A7BF99DE1AC943681945FBE4_43</vt:lpwstr>
  </property>
  <property fmtid="{D5CDD505-2E9C-101B-9397-08002B2CF9AE}" pid="4" name="KSOTemplateDocerSaveRecord">
    <vt:lpwstr>eyJoZGlkIjoiMWM3MGU3NGJkOWRlNWZiYzYwMmNiZjNlZDY1MjgzNDEiLCJ1c2VySWQiOiI0MzU5MzMxMzAifQ==</vt:lpwstr>
  </property>
</Properties>
</file>