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清深国院规〔20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default"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14</w:t>
      </w:r>
      <w:r>
        <w:rPr>
          <w:rFonts w:hint="eastAsia" w:ascii="仿宋_GB2312" w:eastAsia="仿宋_GB2312"/>
          <w:sz w:val="32"/>
          <w:szCs w:val="32"/>
        </w:rPr>
        <w:t>号        签发：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欧阳证</w:t>
      </w:r>
    </w:p>
    <w:p>
      <w:pPr>
        <w:spacing w:line="560" w:lineRule="exact"/>
        <w:jc w:val="center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清华大学深圳国际研究生院</w:t>
      </w:r>
    </w:p>
    <w:p>
      <w:pPr>
        <w:spacing w:line="56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促进科技成果转化管理办法</w:t>
      </w:r>
      <w:bookmarkStart w:id="0" w:name="_GoBack"/>
      <w:bookmarkEnd w:id="0"/>
    </w:p>
    <w:p>
      <w:pPr>
        <w:spacing w:line="56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二〇一六年第四次院务会（2016年5月6日）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审议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</w:t>
      </w:r>
      <w:r>
        <w:rPr>
          <w:rFonts w:ascii="仿宋_GB2312" w:hAnsi="仿宋_GB2312" w:eastAsia="仿宋_GB2312" w:cs="仿宋_GB2312"/>
          <w:sz w:val="32"/>
          <w:szCs w:val="32"/>
        </w:rPr>
        <w:t>，</w:t>
      </w:r>
    </w:p>
    <w:p>
      <w:pPr>
        <w:spacing w:line="560" w:lineRule="exact"/>
        <w:jc w:val="center"/>
        <w:rPr>
          <w:rFonts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〇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二三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二十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次院务会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日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修订</w:t>
      </w:r>
    </w:p>
    <w:p>
      <w:pPr>
        <w:spacing w:line="56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第一章 总 则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第一条 </w:t>
      </w:r>
      <w:r>
        <w:rPr>
          <w:rFonts w:hint="eastAsia" w:ascii="仿宋_GB2312" w:hAnsi="仿宋_GB2312" w:eastAsia="仿宋_GB2312" w:cs="仿宋_GB2312"/>
          <w:sz w:val="32"/>
          <w:szCs w:val="32"/>
        </w:rPr>
        <w:t>为促进清华大学深圳国际研究生院（以下简称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）创新驱动和科技成果转化，激发师生员工创新活力，培养创新创业人才，切实发挥科技对经济的支撑与引领作用，根据《中华人民共和国促进科技成果转化法》、《深圳经济特区技术转移条例》（深圳市第五届人民代表大会常务委员会公告第 123 号）、《深圳市行政事业单位国有资产处置办法》（深财资〔2023〕42 号）、《清华大学科技成果评估处置和利益分配管理办法》（清校发〔201</w:t>
      </w:r>
      <w:r>
        <w:rPr>
          <w:rFonts w:ascii="仿宋_GB2312" w:hAnsi="仿宋_GB2312" w:eastAsia="仿宋_GB2312" w:cs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ascii="仿宋_GB2312" w:hAnsi="仿宋_GB2312" w:eastAsia="仿宋_GB2312" w:cs="仿宋_GB2312"/>
          <w:sz w:val="32"/>
          <w:szCs w:val="32"/>
        </w:rPr>
        <w:t>63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号）及相关法律法规，结合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实际，制定本办法。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第二条 </w:t>
      </w:r>
      <w:r>
        <w:rPr>
          <w:rFonts w:hint="eastAsia" w:ascii="仿宋_GB2312" w:hAnsi="仿宋_GB2312" w:eastAsia="仿宋_GB2312" w:cs="仿宋_GB2312"/>
          <w:sz w:val="32"/>
          <w:szCs w:val="32"/>
        </w:rPr>
        <w:t>本办法所称科技成果，是指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师生员工执行科学研究与技术开发等工作任务，或者主要利用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物质技术条件所完成的具有实用价值的职务成果。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本办法所称科技成果转化，是指为提高生产力水平而对科技成果所进行的后续试验、开发、应用、推广直至形成新技术、新工艺、新材料、新产品，发展新产业等活动。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第三条 </w:t>
      </w:r>
      <w:r>
        <w:rPr>
          <w:rFonts w:hint="eastAsia" w:ascii="仿宋_GB2312" w:hAnsi="仿宋_GB2312" w:eastAsia="仿宋_GB2312" w:cs="仿宋_GB2312"/>
          <w:sz w:val="32"/>
          <w:szCs w:val="32"/>
        </w:rPr>
        <w:t>科技成果转化应当遵循自愿、互利、公平、诚实、守信的原则，依据法律规定和合同约定，享受利益、承担风险。科技成果转化活动应保护知识产权，遵守法律，维护国家利益，不得损害社会公共利益。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第四条 </w:t>
      </w:r>
      <w:r>
        <w:rPr>
          <w:rFonts w:hint="eastAsia" w:ascii="仿宋_GB2312" w:hAnsi="仿宋_GB2312" w:eastAsia="仿宋_GB2312" w:cs="仿宋_GB2312"/>
          <w:sz w:val="32"/>
          <w:szCs w:val="32"/>
        </w:rPr>
        <w:t>本办法适用于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采取技术许可、转让或者作价投资等方式，向企业或者其他组织转移的科技成果。</w:t>
      </w:r>
    </w:p>
    <w:p>
      <w:pPr>
        <w:spacing w:line="560" w:lineRule="exact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第二章 组织管理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第五条 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科技成果转化管理领导小组负责统筹科技成果管理工作，制定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科技成果转化规划和相关政策，审议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科技成果转化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有关</w:t>
      </w:r>
      <w:r>
        <w:rPr>
          <w:rFonts w:hint="eastAsia" w:ascii="仿宋_GB2312" w:hAnsi="仿宋_GB2312" w:eastAsia="仿宋_GB2312" w:cs="仿宋_GB2312"/>
          <w:sz w:val="32"/>
          <w:szCs w:val="32"/>
        </w:rPr>
        <w:t>事宜</w:t>
      </w:r>
      <w:r>
        <w:rPr>
          <w:rFonts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技术转移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负责科技成果转化的具体实施和服务工作</w:t>
      </w:r>
      <w:r>
        <w:rPr>
          <w:rFonts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财务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办公室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负责转化收入的财务管理、会计核算和收入分配</w:t>
      </w:r>
      <w:r>
        <w:rPr>
          <w:rFonts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教学科研机构</w:t>
      </w:r>
      <w:r>
        <w:rPr>
          <w:rFonts w:hint="eastAsia" w:ascii="仿宋_GB2312" w:hAnsi="仿宋_GB2312" w:eastAsia="仿宋_GB2312" w:cs="仿宋_GB2312"/>
          <w:sz w:val="32"/>
          <w:szCs w:val="32"/>
        </w:rPr>
        <w:t>和相关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职能</w:t>
      </w:r>
      <w:r>
        <w:rPr>
          <w:rFonts w:hint="eastAsia" w:ascii="仿宋_GB2312" w:hAnsi="仿宋_GB2312" w:eastAsia="仿宋_GB2312" w:cs="仿宋_GB2312"/>
          <w:sz w:val="32"/>
          <w:szCs w:val="32"/>
        </w:rPr>
        <w:t>部门应积极支持和参与科技成果转化活动，促进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科技成果转化。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第六条 </w:t>
      </w:r>
      <w:r>
        <w:rPr>
          <w:rFonts w:hint="eastAsia" w:ascii="仿宋_GB2312" w:hAnsi="仿宋_GB2312" w:eastAsia="仿宋_GB2312" w:cs="仿宋_GB2312"/>
          <w:sz w:val="32"/>
          <w:szCs w:val="32"/>
        </w:rPr>
        <w:t>在符合相关法律、行政法规以及国家有关规定的前提下，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拥有知识产权的科技成果（除涉及国家安全、国家利益和重大社会公共利益外），可采用下列方式进行转化：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一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向他人转让科技成果；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二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许可他人使用科技成果；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三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以该科技成果作价投资，取得对应股权</w:t>
      </w:r>
      <w:r>
        <w:rPr>
          <w:rFonts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股份或者其他形式的出资权益。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第七条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承担政府财政性资金支持的科研项目所形成的</w:t>
      </w: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包括但不限于</w:t>
      </w:r>
      <w:r>
        <w:rPr>
          <w:rFonts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专利权、计算机软件著作权、集成电路布图设计专有权和植物新品种权、技术秘密等知识产权，除涉及国家安全、国家利益和重大社会公共利益外，归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所有；承担的横向科研项目所形成的相关知识产权根据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合同约定</w:t>
      </w:r>
      <w:r>
        <w:rPr>
          <w:rFonts w:hint="eastAsia" w:ascii="仿宋_GB2312" w:hAnsi="仿宋_GB2312" w:eastAsia="仿宋_GB2312" w:cs="仿宋_GB2312"/>
          <w:sz w:val="32"/>
          <w:szCs w:val="32"/>
        </w:rPr>
        <w:t>划分归属权，没有约定的，归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所有；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全职教职工利用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相关设备等科研资源进行研究开发而获得的相关知识产权归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所有；法律、行政法规另有规定的除外。</w:t>
      </w:r>
    </w:p>
    <w:p>
      <w:pPr>
        <w:spacing w:line="560" w:lineRule="exact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第三章 实施管理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第八条 </w:t>
      </w:r>
      <w:r>
        <w:rPr>
          <w:rFonts w:hint="eastAsia" w:ascii="仿宋_GB2312" w:hAnsi="仿宋_GB2312" w:eastAsia="仿宋_GB2312" w:cs="仿宋_GB2312"/>
          <w:sz w:val="32"/>
          <w:szCs w:val="32"/>
        </w:rPr>
        <w:t>成果完成人应向技术转移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申请登记拟处置的科技成果。技术转移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负责对登记成果进行评估、筛选和发布。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第九条 </w:t>
      </w:r>
      <w:r>
        <w:rPr>
          <w:rFonts w:hint="eastAsia" w:ascii="仿宋_GB2312" w:hAnsi="仿宋_GB2312" w:eastAsia="仿宋_GB2312" w:cs="仿宋_GB2312"/>
          <w:sz w:val="32"/>
          <w:szCs w:val="32"/>
        </w:rPr>
        <w:t>科技成果进行转化前，应由技术转移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委托具有无形资产评估资质的第三方专业机构进行资产评估。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第十条 </w:t>
      </w:r>
      <w:r>
        <w:rPr>
          <w:rFonts w:hint="eastAsia" w:ascii="仿宋_GB2312" w:hAnsi="仿宋_GB2312" w:eastAsia="仿宋_GB2312" w:cs="仿宋_GB2312"/>
          <w:sz w:val="32"/>
          <w:szCs w:val="32"/>
        </w:rPr>
        <w:t>科技成果可通过协议定价、技术交易市场挂牌交易、拍卖等市场化方式确定交易价格。除普通许可外，采用其他方式转化的科技成果交易价格不得低于评估价格。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第十一条 </w:t>
      </w:r>
      <w:r>
        <w:rPr>
          <w:rFonts w:hint="eastAsia" w:ascii="仿宋_GB2312" w:hAnsi="仿宋_GB2312" w:eastAsia="仿宋_GB2312" w:cs="仿宋_GB2312"/>
          <w:sz w:val="32"/>
          <w:szCs w:val="32"/>
        </w:rPr>
        <w:t>成果完成人与技术需求方形成初步合作意向后，应提交科技成果处置申请，经所在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教学科研机构</w:t>
      </w:r>
      <w:r>
        <w:rPr>
          <w:rFonts w:hint="eastAsia" w:ascii="仿宋_GB2312" w:hAnsi="仿宋_GB2312" w:eastAsia="仿宋_GB2312" w:cs="仿宋_GB2312"/>
          <w:sz w:val="32"/>
          <w:szCs w:val="32"/>
        </w:rPr>
        <w:t>审核同意后，报技术转移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第十二条</w:t>
      </w:r>
      <w:r>
        <w:rPr>
          <w:rFonts w:ascii="仿宋_GB2312" w:hAnsi="仿宋_GB2312" w:eastAsia="仿宋_GB2312" w:cs="仿宋_GB2312"/>
          <w:b/>
          <w:bCs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技术转移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收到科技成果处置申请后，组织成立由技术转移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人员、成果完成人代表</w:t>
      </w:r>
      <w:r>
        <w:rPr>
          <w:rFonts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相关机构代表和专业人员组成的成果转化小组，与技术需求方进行商务谈判，并依据全体一致原则制定交易方案。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第十三条 </w:t>
      </w:r>
      <w:r>
        <w:rPr>
          <w:rFonts w:hint="eastAsia" w:ascii="仿宋_GB2312" w:hAnsi="仿宋_GB2312" w:eastAsia="仿宋_GB2312" w:cs="仿宋_GB2312"/>
          <w:sz w:val="32"/>
          <w:szCs w:val="32"/>
        </w:rPr>
        <w:t>成果转化小组成员应充分如实报告交易中的利益关联情况，以确保交易过程中的公允性。如存在重大利益冲突，小组成员应当回避。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第十四条 </w:t>
      </w:r>
      <w:r>
        <w:rPr>
          <w:rFonts w:hint="eastAsia" w:ascii="仿宋_GB2312" w:hAnsi="仿宋_GB2312" w:eastAsia="仿宋_GB2312" w:cs="仿宋_GB2312"/>
          <w:sz w:val="32"/>
          <w:szCs w:val="32"/>
        </w:rPr>
        <w:t>交易方案形成后，由技术转移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分级报请审批：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一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科技成果交易价格低于人民币500万元的，报请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科技成果转化管理领导小组审批；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二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科技成果交易价格高于人民币500万元（含）的，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经学院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科技成果转化管理领导小组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审议通过后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报请院务会审批。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第十五条 </w:t>
      </w:r>
      <w:r>
        <w:rPr>
          <w:rFonts w:hint="eastAsia" w:ascii="仿宋_GB2312" w:hAnsi="仿宋_GB2312" w:eastAsia="仿宋_GB2312" w:cs="仿宋_GB2312"/>
          <w:sz w:val="32"/>
          <w:szCs w:val="32"/>
        </w:rPr>
        <w:t>交易方案经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</w:t>
      </w:r>
      <w:r>
        <w:rPr>
          <w:rFonts w:hint="eastAsia" w:ascii="仿宋_GB2312" w:hAnsi="仿宋_GB2312" w:eastAsia="仿宋_GB2312" w:cs="仿宋_GB2312"/>
          <w:sz w:val="32"/>
          <w:szCs w:val="32"/>
        </w:rPr>
        <w:t>院审批通过后，应在院网站公示成果名称和交易信息，公示期为15日。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第十六条 </w:t>
      </w:r>
      <w:r>
        <w:rPr>
          <w:rFonts w:hint="eastAsia" w:ascii="仿宋_GB2312" w:hAnsi="仿宋_GB2312" w:eastAsia="仿宋_GB2312" w:cs="仿宋_GB2312"/>
          <w:sz w:val="32"/>
          <w:szCs w:val="32"/>
        </w:rPr>
        <w:t>公示期满无异议后，方可通过以下方式进行处置：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一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对技术许可、转让的科技成果，供需双方应根据院科研合同管理规定，签订书面合同。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二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对于作价投资的科技成果，通过发起人协议、投资协议或者公司章程等形式对科技成果的权属、作价、出资比例等事项明确约定，明晰产权。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第十七条 </w:t>
      </w:r>
      <w:r>
        <w:rPr>
          <w:rFonts w:hint="eastAsia" w:ascii="仿宋_GB2312" w:hAnsi="仿宋_GB2312" w:eastAsia="仿宋_GB2312" w:cs="仿宋_GB2312"/>
          <w:sz w:val="32"/>
          <w:szCs w:val="32"/>
        </w:rPr>
        <w:t>科技成果处置方案如涉及作价入股，应由技术转移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报深圳市教育局备案。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第十八条 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科技成果应优先在国内使用。如涉及向境外的组织、个人进行转化，须依法依规履行相关审批程序。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第十九条 </w:t>
      </w:r>
      <w:r>
        <w:rPr>
          <w:rFonts w:hint="eastAsia" w:ascii="仿宋_GB2312" w:hAnsi="仿宋_GB2312" w:eastAsia="仿宋_GB2312" w:cs="仿宋_GB2312"/>
          <w:sz w:val="32"/>
          <w:szCs w:val="32"/>
        </w:rPr>
        <w:t>涉密科技成果进行转化的，须依法依规履行相关审批程序。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第二十条 </w:t>
      </w:r>
      <w:r>
        <w:rPr>
          <w:rFonts w:hint="eastAsia" w:ascii="仿宋_GB2312" w:hAnsi="仿宋_GB2312" w:eastAsia="仿宋_GB2312" w:cs="仿宋_GB2312"/>
          <w:sz w:val="32"/>
          <w:szCs w:val="32"/>
        </w:rPr>
        <w:t>成果完成人或研发团队享有同等条件下优先受让该科技成果的权利。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第二十一条 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</w:t>
      </w:r>
      <w:r>
        <w:rPr>
          <w:rFonts w:hint="eastAsia" w:ascii="仿宋_GB2312" w:hAnsi="仿宋_GB2312" w:eastAsia="仿宋_GB2312" w:cs="仿宋_GB2312"/>
          <w:sz w:val="32"/>
          <w:szCs w:val="32"/>
        </w:rPr>
        <w:t>院已登记科技成果如三年内未能进行转化的，该成果完成人或研发团队可与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</w:t>
      </w:r>
      <w:r>
        <w:rPr>
          <w:rFonts w:hint="eastAsia" w:ascii="仿宋_GB2312" w:hAnsi="仿宋_GB2312" w:eastAsia="仿宋_GB2312" w:cs="仿宋_GB2312"/>
          <w:sz w:val="32"/>
          <w:szCs w:val="32"/>
        </w:rPr>
        <w:t>院协商确定有偿转让该科技成果。</w:t>
      </w:r>
    </w:p>
    <w:p>
      <w:pPr>
        <w:spacing w:line="560" w:lineRule="exact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第四章 利益分配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第二十二条 </w:t>
      </w:r>
      <w:r>
        <w:rPr>
          <w:rFonts w:hint="eastAsia" w:ascii="仿宋_GB2312" w:hAnsi="仿宋_GB2312" w:eastAsia="仿宋_GB2312" w:cs="仿宋_GB2312"/>
          <w:sz w:val="32"/>
          <w:szCs w:val="32"/>
        </w:rPr>
        <w:t>科技成果以技术许可、转让等方式进行转化所获得的现金收益（扣除转化过程中的直接费用等），30％归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</w:t>
      </w:r>
      <w:r>
        <w:rPr>
          <w:rFonts w:hint="eastAsia" w:ascii="仿宋_GB2312" w:hAnsi="仿宋_GB2312" w:eastAsia="仿宋_GB2312" w:cs="仿宋_GB2312"/>
          <w:sz w:val="32"/>
          <w:szCs w:val="32"/>
        </w:rPr>
        <w:t>院所有，70％归成果研发团队和完成人所有。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第二十三条 </w:t>
      </w:r>
      <w:r>
        <w:rPr>
          <w:rFonts w:hint="eastAsia" w:ascii="仿宋_GB2312" w:hAnsi="仿宋_GB2312" w:eastAsia="仿宋_GB2312" w:cs="仿宋_GB2312"/>
          <w:sz w:val="32"/>
          <w:szCs w:val="32"/>
        </w:rPr>
        <w:t>科技成果以作价投资方式进行转化所获得的股权</w:t>
      </w:r>
      <w:r>
        <w:rPr>
          <w:rFonts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股份或者其他形式的出资额，30%归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</w:t>
      </w:r>
      <w:r>
        <w:rPr>
          <w:rFonts w:hint="eastAsia" w:ascii="仿宋_GB2312" w:hAnsi="仿宋_GB2312" w:eastAsia="仿宋_GB2312" w:cs="仿宋_GB2312"/>
          <w:sz w:val="32"/>
          <w:szCs w:val="32"/>
        </w:rPr>
        <w:t>院所有，由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</w:t>
      </w:r>
      <w:r>
        <w:rPr>
          <w:rFonts w:hint="eastAsia" w:ascii="仿宋_GB2312" w:hAnsi="仿宋_GB2312" w:eastAsia="仿宋_GB2312" w:cs="仿宋_GB2312"/>
          <w:sz w:val="32"/>
          <w:szCs w:val="32"/>
        </w:rPr>
        <w:t>院授权的企业代为持有并管理；70%归成果研发团队和完成人所有。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第五章 附 则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第二十四条 </w:t>
      </w:r>
      <w:r>
        <w:rPr>
          <w:rFonts w:hint="eastAsia" w:ascii="仿宋_GB2312" w:hAnsi="仿宋_GB2312" w:eastAsia="仿宋_GB2312" w:cs="仿宋_GB2312"/>
          <w:sz w:val="32"/>
          <w:szCs w:val="32"/>
        </w:rPr>
        <w:t>科技成果处置工作须严格遵守国有资产管理、知识产权管理、财务管理等相关法律法规和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相关规定。</w:t>
      </w:r>
    </w:p>
    <w:p>
      <w:pPr>
        <w:snapToGrid w:val="0"/>
        <w:spacing w:line="560" w:lineRule="atLeas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第二十五条 </w:t>
      </w:r>
      <w:r>
        <w:rPr>
          <w:rFonts w:hint="eastAsia" w:ascii="仿宋_GB2312" w:hAnsi="仿宋_GB2312" w:eastAsia="仿宋_GB2312" w:cs="仿宋_GB2312"/>
          <w:sz w:val="32"/>
          <w:szCs w:val="32"/>
        </w:rPr>
        <w:t>本办法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  <w:t>自公布之日起施行</w:t>
      </w:r>
      <w:r>
        <w:rPr>
          <w:rFonts w:ascii="Times New Roman Regular" w:hAnsi="Times New Roman Regular" w:eastAsia="仿宋_GB2312" w:cs="Times New Roman Regular"/>
          <w:color w:val="000000" w:themeColor="text1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由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科研处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负责解释。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Times New Roman Regular" w:hAnsi="Times New Roman Regular" w:cs="Times New Roman Regular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 Regular" w:hAnsi="Times New Roman Regular" w:cs="Times New Roman Regular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Times New Roman Regular" w:hAnsi="Times New Roman Regular" w:cs="Times New Roman Regular"/>
                        <w:sz w:val="24"/>
                        <w:szCs w:val="24"/>
                      </w:rPr>
                    </w:pPr>
                    <w:r>
                      <w:rPr>
                        <w:rFonts w:ascii="Times New Roman Regular" w:hAnsi="Times New Roman Regular" w:cs="Times New Roman Regular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ascii="Times New Roman Regular" w:hAnsi="Times New Roman Regular" w:cs="Times New Roman Regular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 Regular" w:hAnsi="Times New Roman Regular" w:cs="Times New Roman Regular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 Regular" w:hAnsi="Times New Roman Regular" w:cs="Times New Roman Regular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 Regular" w:hAnsi="Times New Roman Regular" w:cs="Times New Roman Regular"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Times New Roman Regular" w:hAnsi="Times New Roman Regular" w:cs="Times New Roman Regular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Times New Roman Regular" w:hAnsi="Times New Roman Regular" w:cs="Times New Roman Regular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M3MGU3NGJkOWRlNWZiYzYwMmNiZjNlZDY1MjgzNDEifQ=="/>
  </w:docVars>
  <w:rsids>
    <w:rsidRoot w:val="00646440"/>
    <w:rsid w:val="001467D1"/>
    <w:rsid w:val="00181C91"/>
    <w:rsid w:val="001A3ADF"/>
    <w:rsid w:val="001C0D56"/>
    <w:rsid w:val="00245901"/>
    <w:rsid w:val="002A5809"/>
    <w:rsid w:val="003414DC"/>
    <w:rsid w:val="00355809"/>
    <w:rsid w:val="00395E43"/>
    <w:rsid w:val="00544FDE"/>
    <w:rsid w:val="005A0532"/>
    <w:rsid w:val="00646440"/>
    <w:rsid w:val="00680C07"/>
    <w:rsid w:val="00702C68"/>
    <w:rsid w:val="0075075C"/>
    <w:rsid w:val="00790D7C"/>
    <w:rsid w:val="007F4D40"/>
    <w:rsid w:val="0083164E"/>
    <w:rsid w:val="00857087"/>
    <w:rsid w:val="00886C49"/>
    <w:rsid w:val="008A6C21"/>
    <w:rsid w:val="008E5B95"/>
    <w:rsid w:val="00903931"/>
    <w:rsid w:val="0092142B"/>
    <w:rsid w:val="00A23FBF"/>
    <w:rsid w:val="00A35FF9"/>
    <w:rsid w:val="00A436D6"/>
    <w:rsid w:val="00A73EFB"/>
    <w:rsid w:val="00A94367"/>
    <w:rsid w:val="00AB3700"/>
    <w:rsid w:val="00AD2BA6"/>
    <w:rsid w:val="00B30417"/>
    <w:rsid w:val="00BC5DB7"/>
    <w:rsid w:val="00BD598C"/>
    <w:rsid w:val="00C0684A"/>
    <w:rsid w:val="00D87FB7"/>
    <w:rsid w:val="00DA33D1"/>
    <w:rsid w:val="00F019C9"/>
    <w:rsid w:val="00F14166"/>
    <w:rsid w:val="00F23C61"/>
    <w:rsid w:val="00F61D3A"/>
    <w:rsid w:val="00FC4BD0"/>
    <w:rsid w:val="1B4FBD6C"/>
    <w:rsid w:val="23E96A3B"/>
    <w:rsid w:val="24982BF7"/>
    <w:rsid w:val="2B774D13"/>
    <w:rsid w:val="4FF4CC43"/>
    <w:rsid w:val="67BD4B19"/>
    <w:rsid w:val="73BFC5AD"/>
    <w:rsid w:val="767DB038"/>
    <w:rsid w:val="77E0E49A"/>
    <w:rsid w:val="7EFFD021"/>
    <w:rsid w:val="7FF1BC01"/>
    <w:rsid w:val="7FFE73CB"/>
    <w:rsid w:val="BBFC1C3C"/>
    <w:rsid w:val="BFF57B44"/>
    <w:rsid w:val="BFFFC78B"/>
    <w:rsid w:val="CDFFFC19"/>
    <w:rsid w:val="F7F7483E"/>
    <w:rsid w:val="F7FDA2F1"/>
    <w:rsid w:val="F8DD896B"/>
    <w:rsid w:val="F8EEA49B"/>
    <w:rsid w:val="FBFB48AF"/>
    <w:rsid w:val="FFDC9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3"/>
    <w:unhideWhenUsed/>
    <w:qFormat/>
    <w:uiPriority w:val="99"/>
    <w:pPr>
      <w:jc w:val="left"/>
    </w:pPr>
  </w:style>
  <w:style w:type="paragraph" w:styleId="4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3"/>
    <w:next w:val="3"/>
    <w:link w:val="14"/>
    <w:semiHidden/>
    <w:unhideWhenUsed/>
    <w:qFormat/>
    <w:uiPriority w:val="99"/>
    <w:rPr>
      <w:b/>
      <w:bCs/>
    </w:rPr>
  </w:style>
  <w:style w:type="character" w:styleId="9">
    <w:name w:val="Emphasis"/>
    <w:basedOn w:val="8"/>
    <w:qFormat/>
    <w:uiPriority w:val="20"/>
    <w:rPr>
      <w:i/>
    </w:rPr>
  </w:style>
  <w:style w:type="character" w:styleId="10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styleId="11">
    <w:name w:val="annotation reference"/>
    <w:basedOn w:val="8"/>
    <w:semiHidden/>
    <w:unhideWhenUsed/>
    <w:qFormat/>
    <w:uiPriority w:val="99"/>
    <w:rPr>
      <w:sz w:val="21"/>
      <w:szCs w:val="21"/>
    </w:rPr>
  </w:style>
  <w:style w:type="paragraph" w:customStyle="1" w:styleId="12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customStyle="1" w:styleId="13">
    <w:name w:val="批注文字 字符"/>
    <w:basedOn w:val="8"/>
    <w:link w:val="3"/>
    <w:qFormat/>
    <w:uiPriority w:val="99"/>
  </w:style>
  <w:style w:type="character" w:customStyle="1" w:styleId="14">
    <w:name w:val="批注主题 字符"/>
    <w:basedOn w:val="13"/>
    <w:link w:val="6"/>
    <w:semiHidden/>
    <w:qFormat/>
    <w:uiPriority w:val="99"/>
    <w:rPr>
      <w:b/>
      <w:bCs/>
    </w:rPr>
  </w:style>
  <w:style w:type="character" w:customStyle="1" w:styleId="15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6">
    <w:name w:val="页脚 字符"/>
    <w:basedOn w:val="8"/>
    <w:link w:val="4"/>
    <w:qFormat/>
    <w:uiPriority w:val="99"/>
    <w:rPr>
      <w:sz w:val="18"/>
      <w:szCs w:val="18"/>
    </w:rPr>
  </w:style>
  <w:style w:type="paragraph" w:customStyle="1" w:styleId="17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customStyle="1" w:styleId="18">
    <w:name w:val="修订3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customStyle="1" w:styleId="19">
    <w:name w:val="修订4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customStyle="1" w:styleId="20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2236</Words>
  <Characters>2268</Characters>
  <Lines>16</Lines>
  <Paragraphs>4</Paragraphs>
  <TotalTime>7</TotalTime>
  <ScaleCrop>false</ScaleCrop>
  <LinksUpToDate>false</LinksUpToDate>
  <CharactersWithSpaces>2312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2023-09-11T06:49:00Z</dcterms:created>
  <dc:creator>张 巍</dc:creator>
  <cp:lastModifiedBy>马静宜</cp:lastModifiedBy>
  <dcterms:modified xsi:type="dcterms:W3CDTF">2023-09-15T04:05:37Z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FF73FCBC1739D4A68C8BE964950FC047_43</vt:lpwstr>
  </property>
</Properties>
</file>