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30F1C9">
      <w:pPr>
        <w:tabs>
          <w:tab w:val="left" w:pos="720"/>
        </w:tabs>
        <w:spacing w:line="360" w:lineRule="auto"/>
        <w:ind w:firstLine="2891" w:firstLineChars="900"/>
        <w:rPr>
          <w:b/>
          <w:bCs/>
          <w:sz w:val="32"/>
          <w:szCs w:val="52"/>
        </w:rPr>
      </w:pPr>
      <w:bookmarkStart w:id="0" w:name="_GoBack"/>
      <w:bookmarkEnd w:id="0"/>
      <w:r>
        <w:rPr>
          <w:rFonts w:hint="eastAsia"/>
          <w:b/>
          <w:bCs/>
          <w:sz w:val="32"/>
          <w:szCs w:val="52"/>
        </w:rPr>
        <w:t>仪器设备</w:t>
      </w:r>
      <w:r>
        <w:rPr>
          <w:b/>
          <w:bCs/>
          <w:sz w:val="32"/>
          <w:szCs w:val="52"/>
        </w:rPr>
        <w:t>采购</w:t>
      </w:r>
      <w:r>
        <w:rPr>
          <w:rFonts w:hint="eastAsia"/>
          <w:b/>
          <w:bCs/>
          <w:sz w:val="32"/>
          <w:szCs w:val="52"/>
        </w:rPr>
        <w:t>简易</w:t>
      </w:r>
      <w:r>
        <w:rPr>
          <w:b/>
          <w:bCs/>
          <w:sz w:val="32"/>
          <w:szCs w:val="52"/>
        </w:rPr>
        <w:t>合同</w:t>
      </w:r>
    </w:p>
    <w:p w14:paraId="04C3A860">
      <w:pPr>
        <w:tabs>
          <w:tab w:val="left" w:pos="720"/>
        </w:tabs>
        <w:spacing w:line="360" w:lineRule="auto"/>
        <w:ind w:firstLine="3132" w:firstLineChars="1300"/>
        <w:rPr>
          <w:b/>
          <w:bCs/>
          <w:sz w:val="24"/>
          <w:szCs w:val="44"/>
        </w:rPr>
      </w:pPr>
      <w:r>
        <w:rPr>
          <w:rFonts w:hint="eastAsia"/>
          <w:b/>
          <w:bCs/>
          <w:sz w:val="24"/>
          <w:szCs w:val="44"/>
        </w:rPr>
        <w:t>（合同额20万元以下适用）</w:t>
      </w:r>
    </w:p>
    <w:p w14:paraId="67330821">
      <w:pPr>
        <w:snapToGrid w:val="0"/>
        <w:spacing w:line="480" w:lineRule="auto"/>
        <w:rPr>
          <w:rFonts w:ascii="宋体" w:hAnsi="宋体" w:cs="宋体"/>
          <w:szCs w:val="21"/>
        </w:rPr>
      </w:pPr>
      <w:r>
        <w:rPr>
          <w:rFonts w:hint="eastAsia" w:ascii="宋体" w:hAnsi="宋体" w:cs="宋体"/>
          <w:b/>
          <w:sz w:val="36"/>
          <w:szCs w:val="36"/>
        </w:rPr>
        <w:t xml:space="preserve">                                        </w:t>
      </w:r>
      <w:r>
        <w:rPr>
          <w:rFonts w:hint="eastAsia" w:ascii="宋体" w:hAnsi="宋体" w:cs="宋体"/>
          <w:szCs w:val="21"/>
        </w:rPr>
        <w:t>签订地点：深圳</w:t>
      </w:r>
    </w:p>
    <w:p w14:paraId="75B1887D">
      <w:pPr>
        <w:tabs>
          <w:tab w:val="left" w:pos="720"/>
        </w:tabs>
        <w:spacing w:line="460" w:lineRule="exact"/>
        <w:ind w:firstLine="422" w:firstLineChars="200"/>
        <w:rPr>
          <w:rFonts w:ascii="宋体" w:hAnsi="宋体" w:cs="宋体"/>
          <w:szCs w:val="21"/>
        </w:rPr>
      </w:pPr>
      <w:r>
        <w:rPr>
          <w:rFonts w:hint="eastAsia" w:ascii="宋体" w:hAnsi="宋体" w:cs="宋体"/>
          <w:b/>
          <w:szCs w:val="21"/>
        </w:rPr>
        <w:t>买方（甲方）：</w:t>
      </w:r>
      <w:r>
        <w:rPr>
          <w:rFonts w:hint="eastAsia" w:ascii="宋体" w:hAnsi="宋体" w:cs="宋体"/>
          <w:szCs w:val="21"/>
        </w:rPr>
        <w:t>清华大学深圳国际研究生院</w:t>
      </w:r>
    </w:p>
    <w:p w14:paraId="57B979DB">
      <w:pPr>
        <w:tabs>
          <w:tab w:val="left" w:pos="720"/>
        </w:tabs>
        <w:spacing w:line="460" w:lineRule="exact"/>
        <w:ind w:firstLine="422" w:firstLineChars="200"/>
        <w:rPr>
          <w:rFonts w:ascii="宋体" w:hAnsi="宋体" w:cs="宋体"/>
          <w:szCs w:val="21"/>
        </w:rPr>
      </w:pPr>
      <w:r>
        <w:rPr>
          <w:rFonts w:hint="eastAsia" w:ascii="宋体" w:hAnsi="宋体" w:cs="宋体"/>
          <w:b/>
          <w:szCs w:val="21"/>
        </w:rPr>
        <w:t>卖方（乙方）：</w:t>
      </w:r>
    </w:p>
    <w:p w14:paraId="2854F881">
      <w:pPr>
        <w:spacing w:line="460" w:lineRule="exact"/>
        <w:ind w:firstLine="420" w:firstLineChars="200"/>
        <w:rPr>
          <w:rFonts w:ascii="宋体" w:hAnsi="宋体" w:cs="宋体"/>
          <w:szCs w:val="21"/>
        </w:rPr>
      </w:pPr>
    </w:p>
    <w:p w14:paraId="07329D41">
      <w:pPr>
        <w:spacing w:line="460" w:lineRule="exact"/>
        <w:ind w:firstLine="420" w:firstLineChars="200"/>
        <w:rPr>
          <w:rFonts w:ascii="宋体" w:hAnsi="宋体" w:cs="宋体"/>
          <w:szCs w:val="21"/>
        </w:rPr>
      </w:pPr>
      <w:r>
        <w:rPr>
          <w:rFonts w:hint="eastAsia" w:ascii="宋体" w:hAnsi="宋体" w:cs="宋体"/>
          <w:szCs w:val="21"/>
        </w:rPr>
        <w:t>甲方</w:t>
      </w:r>
      <w:commentRangeStart w:id="0"/>
      <w:r>
        <w:rPr>
          <w:rFonts w:ascii="宋体" w:hAnsi="宋体" w:cs="宋体"/>
          <w:szCs w:val="21"/>
        </w:rPr>
        <w:t>联系人</w:t>
      </w:r>
      <w:commentRangeEnd w:id="0"/>
      <w:r>
        <w:rPr>
          <w:rStyle w:val="14"/>
        </w:rPr>
        <w:commentReference w:id="0"/>
      </w:r>
      <w:r>
        <w:rPr>
          <w:rFonts w:ascii="宋体" w:hAnsi="宋体" w:cs="宋体"/>
          <w:szCs w:val="21"/>
        </w:rPr>
        <w:t>：姓名：</w:t>
      </w:r>
      <w:r>
        <w:rPr>
          <w:rFonts w:hint="eastAsia" w:ascii="宋体" w:hAnsi="宋体" w:cs="宋体"/>
          <w:szCs w:val="21"/>
        </w:rPr>
        <w:t xml:space="preserve">        </w:t>
      </w:r>
      <w:r>
        <w:rPr>
          <w:rFonts w:ascii="宋体" w:hAnsi="宋体" w:cs="宋体"/>
          <w:szCs w:val="21"/>
        </w:rPr>
        <w:t xml:space="preserve">     </w:t>
      </w:r>
      <w:r>
        <w:rPr>
          <w:rFonts w:hint="eastAsia" w:ascii="宋体" w:hAnsi="宋体" w:cs="宋体"/>
          <w:szCs w:val="21"/>
        </w:rPr>
        <w:t xml:space="preserve">电话：          </w:t>
      </w:r>
      <w:r>
        <w:rPr>
          <w:rFonts w:ascii="宋体" w:hAnsi="宋体" w:cs="宋体"/>
          <w:szCs w:val="21"/>
        </w:rPr>
        <w:t xml:space="preserve">  </w:t>
      </w:r>
      <w:r>
        <w:rPr>
          <w:rFonts w:hint="eastAsia" w:ascii="宋体" w:hAnsi="宋体" w:cs="宋体"/>
          <w:szCs w:val="21"/>
        </w:rPr>
        <w:t xml:space="preserve">      手机：           </w:t>
      </w:r>
    </w:p>
    <w:p w14:paraId="0D79281C">
      <w:pPr>
        <w:spacing w:line="460" w:lineRule="exact"/>
        <w:ind w:firstLine="420" w:firstLineChars="200"/>
        <w:rPr>
          <w:rFonts w:ascii="宋体" w:hAnsi="宋体" w:cs="宋体"/>
          <w:szCs w:val="21"/>
        </w:rPr>
      </w:pPr>
      <w:r>
        <w:rPr>
          <w:rFonts w:ascii="宋体" w:hAnsi="宋体" w:cs="宋体"/>
          <w:szCs w:val="21"/>
        </w:rPr>
        <w:t>地址</w:t>
      </w:r>
      <w:r>
        <w:rPr>
          <w:rFonts w:hint="eastAsia" w:ascii="宋体" w:hAnsi="宋体" w:cs="宋体"/>
          <w:szCs w:val="21"/>
        </w:rPr>
        <w:t>：</w:t>
      </w:r>
      <w:r>
        <w:rPr>
          <w:rFonts w:ascii="宋体" w:hAnsi="宋体" w:cs="宋体"/>
          <w:szCs w:val="21"/>
        </w:rPr>
        <w:t xml:space="preserve"> </w:t>
      </w:r>
    </w:p>
    <w:p w14:paraId="17024455">
      <w:pPr>
        <w:spacing w:line="460" w:lineRule="exact"/>
        <w:ind w:firstLine="420" w:firstLineChars="200"/>
        <w:rPr>
          <w:rFonts w:ascii="宋体" w:hAnsi="宋体" w:cs="宋体"/>
          <w:szCs w:val="21"/>
        </w:rPr>
      </w:pPr>
      <w:r>
        <w:rPr>
          <w:rFonts w:hint="eastAsia" w:ascii="宋体" w:hAnsi="宋体" w:cs="宋体"/>
          <w:szCs w:val="21"/>
        </w:rPr>
        <w:t>邮政编码</w:t>
      </w:r>
      <w:r>
        <w:rPr>
          <w:rFonts w:ascii="宋体" w:hAnsi="宋体" w:cs="宋体"/>
          <w:szCs w:val="21"/>
        </w:rPr>
        <w:t>：</w:t>
      </w:r>
    </w:p>
    <w:p w14:paraId="727BFE45">
      <w:pPr>
        <w:spacing w:line="460" w:lineRule="exact"/>
        <w:ind w:firstLine="422" w:firstLineChars="200"/>
        <w:rPr>
          <w:rFonts w:ascii="宋体" w:hAnsi="宋体" w:cs="宋体"/>
          <w:b/>
          <w:szCs w:val="21"/>
        </w:rPr>
      </w:pPr>
    </w:p>
    <w:p w14:paraId="3888F190">
      <w:pPr>
        <w:spacing w:line="460" w:lineRule="exact"/>
        <w:ind w:firstLine="420" w:firstLineChars="200"/>
        <w:rPr>
          <w:rFonts w:ascii="宋体" w:hAnsi="宋体" w:cs="宋体"/>
          <w:szCs w:val="21"/>
        </w:rPr>
      </w:pPr>
      <w:r>
        <w:rPr>
          <w:rFonts w:hint="eastAsia" w:ascii="宋体" w:hAnsi="宋体" w:cs="宋体"/>
          <w:szCs w:val="21"/>
        </w:rPr>
        <w:t>乙方</w:t>
      </w:r>
      <w:commentRangeStart w:id="1"/>
      <w:r>
        <w:rPr>
          <w:rFonts w:ascii="宋体" w:hAnsi="宋体" w:cs="宋体"/>
          <w:szCs w:val="21"/>
        </w:rPr>
        <w:t>联系人</w:t>
      </w:r>
      <w:commentRangeEnd w:id="1"/>
      <w:r>
        <w:rPr>
          <w:rStyle w:val="14"/>
        </w:rPr>
        <w:commentReference w:id="1"/>
      </w:r>
      <w:r>
        <w:rPr>
          <w:rFonts w:ascii="宋体" w:hAnsi="宋体" w:cs="宋体"/>
          <w:szCs w:val="21"/>
        </w:rPr>
        <w:t>：姓名：</w:t>
      </w:r>
      <w:r>
        <w:rPr>
          <w:rFonts w:hint="eastAsia" w:ascii="宋体" w:hAnsi="宋体" w:cs="宋体"/>
          <w:szCs w:val="21"/>
        </w:rPr>
        <w:t xml:space="preserve">             电话：                    手机：      </w:t>
      </w:r>
    </w:p>
    <w:p w14:paraId="3C556B59">
      <w:pPr>
        <w:spacing w:line="460" w:lineRule="exact"/>
        <w:ind w:firstLine="420" w:firstLineChars="200"/>
        <w:rPr>
          <w:rFonts w:ascii="宋体" w:hAnsi="宋体" w:cs="宋体"/>
          <w:szCs w:val="21"/>
        </w:rPr>
      </w:pPr>
      <w:r>
        <w:rPr>
          <w:rFonts w:hint="eastAsia" w:ascii="宋体" w:hAnsi="宋体" w:cs="宋体"/>
          <w:szCs w:val="21"/>
        </w:rPr>
        <w:t>地址：</w:t>
      </w:r>
      <w:r>
        <w:rPr>
          <w:rFonts w:ascii="宋体" w:hAnsi="宋体" w:cs="宋体"/>
          <w:szCs w:val="21"/>
        </w:rPr>
        <w:t xml:space="preserve"> </w:t>
      </w:r>
    </w:p>
    <w:p w14:paraId="7674DB94">
      <w:pPr>
        <w:spacing w:line="460" w:lineRule="exact"/>
        <w:ind w:firstLine="420" w:firstLineChars="200"/>
        <w:rPr>
          <w:rFonts w:ascii="宋体" w:hAnsi="宋体" w:cs="宋体"/>
          <w:szCs w:val="21"/>
        </w:rPr>
      </w:pPr>
      <w:r>
        <w:rPr>
          <w:rFonts w:hint="eastAsia" w:ascii="宋体" w:hAnsi="宋体" w:cs="宋体"/>
          <w:szCs w:val="21"/>
        </w:rPr>
        <w:t>邮政编码</w:t>
      </w:r>
      <w:r>
        <w:rPr>
          <w:rFonts w:ascii="宋体" w:hAnsi="宋体" w:cs="宋体"/>
          <w:szCs w:val="21"/>
        </w:rPr>
        <w:t>：</w:t>
      </w:r>
    </w:p>
    <w:p w14:paraId="63A79B84">
      <w:pPr>
        <w:spacing w:line="360" w:lineRule="auto"/>
        <w:rPr>
          <w:rFonts w:ascii="宋体" w:hAnsi="宋体" w:cs="宋体"/>
          <w:szCs w:val="21"/>
        </w:rPr>
      </w:pPr>
    </w:p>
    <w:p w14:paraId="4A1FE1BA">
      <w:pPr>
        <w:spacing w:line="360" w:lineRule="auto"/>
        <w:rPr>
          <w:rFonts w:ascii="宋体" w:hAnsi="宋体" w:cs="宋体"/>
          <w:szCs w:val="21"/>
        </w:rPr>
      </w:pPr>
      <w:r>
        <w:rPr>
          <w:rFonts w:hint="eastAsia" w:ascii="宋体" w:hAnsi="宋体" w:cs="宋体"/>
          <w:szCs w:val="21"/>
        </w:rPr>
        <w:t xml:space="preserve">    </w:t>
      </w:r>
      <w:r>
        <w:rPr>
          <w:rFonts w:hint="eastAsia"/>
          <w:szCs w:val="21"/>
          <w:highlight w:val="yellow"/>
        </w:rPr>
        <w:t>根据</w:t>
      </w:r>
      <w:r>
        <w:rPr>
          <w:rFonts w:hint="eastAsia"/>
          <w:szCs w:val="21"/>
          <w:highlight w:val="yellow"/>
          <w:u w:val="single"/>
        </w:rPr>
        <w:t xml:space="preserve">         </w:t>
      </w:r>
      <w:r>
        <w:rPr>
          <w:szCs w:val="21"/>
          <w:highlight w:val="yellow"/>
          <w:u w:val="single"/>
        </w:rPr>
        <w:t xml:space="preserve">       </w:t>
      </w:r>
      <w:r>
        <w:rPr>
          <w:rFonts w:hint="eastAsia" w:ascii="宋体" w:hAnsi="宋体" w:cs="宋体"/>
          <w:szCs w:val="21"/>
          <w:highlight w:val="yellow"/>
        </w:rPr>
        <w:t>（项目编号：          ）</w:t>
      </w:r>
      <w:r>
        <w:rPr>
          <w:rFonts w:hint="eastAsia"/>
          <w:szCs w:val="21"/>
          <w:highlight w:val="yellow"/>
        </w:rPr>
        <w:t>的采购结果，</w:t>
      </w:r>
      <w:r>
        <w:rPr>
          <w:rFonts w:hint="eastAsia" w:ascii="宋体" w:hAnsi="宋体" w:cs="宋体"/>
          <w:szCs w:val="21"/>
        </w:rPr>
        <w:t>根据</w:t>
      </w:r>
      <w:r>
        <w:rPr>
          <w:rFonts w:hint="eastAsia" w:asciiTheme="minorEastAsia" w:hAnsiTheme="minorEastAsia" w:eastAsiaTheme="minorEastAsia"/>
          <w:szCs w:val="21"/>
        </w:rPr>
        <w:t>《中华人民共和国民法典》、《深圳经济特区政府采购条例》及其他相关法律法规</w:t>
      </w:r>
      <w:r>
        <w:rPr>
          <w:rFonts w:hint="eastAsia" w:ascii="宋体" w:hAnsi="宋体" w:cs="宋体"/>
          <w:szCs w:val="21"/>
        </w:rPr>
        <w:t>，经双方协商，本着平等互利和诚实信用的原则，一致同意签订本合同，合同内容如下。</w:t>
      </w:r>
    </w:p>
    <w:p w14:paraId="310D17F0">
      <w:pPr>
        <w:numPr>
          <w:ilvl w:val="0"/>
          <w:numId w:val="2"/>
        </w:numPr>
        <w:tabs>
          <w:tab w:val="left" w:pos="425"/>
        </w:tabs>
        <w:spacing w:line="480" w:lineRule="auto"/>
        <w:ind w:left="0" w:firstLine="0"/>
        <w:outlineLvl w:val="2"/>
        <w:rPr>
          <w:rFonts w:ascii="宋体" w:hAnsi="宋体" w:cs="宋体"/>
          <w:b/>
          <w:szCs w:val="21"/>
        </w:rPr>
      </w:pPr>
      <w:r>
        <w:rPr>
          <w:rFonts w:hint="eastAsia" w:ascii="宋体" w:hAnsi="宋体" w:cs="宋体"/>
          <w:b/>
          <w:szCs w:val="21"/>
        </w:rPr>
        <w:t>采购标的物及合同金额</w:t>
      </w:r>
    </w:p>
    <w:tbl>
      <w:tblPr>
        <w:tblStyle w:val="11"/>
        <w:tblW w:w="8931" w:type="dxa"/>
        <w:tblInd w:w="1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573"/>
        <w:gridCol w:w="1412"/>
        <w:gridCol w:w="2268"/>
        <w:gridCol w:w="850"/>
        <w:gridCol w:w="709"/>
        <w:gridCol w:w="1559"/>
        <w:gridCol w:w="1560"/>
      </w:tblGrid>
      <w:tr w14:paraId="2FE2AD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40" w:hRule="atLeast"/>
        </w:trPr>
        <w:tc>
          <w:tcPr>
            <w:tcW w:w="573" w:type="dxa"/>
            <w:tcBorders>
              <w:top w:val="single" w:color="auto" w:sz="12" w:space="0"/>
              <w:left w:val="single" w:color="auto" w:sz="12" w:space="0"/>
              <w:bottom w:val="single" w:color="auto" w:sz="6" w:space="0"/>
              <w:right w:val="single" w:color="auto" w:sz="6" w:space="0"/>
            </w:tcBorders>
            <w:vAlign w:val="center"/>
          </w:tcPr>
          <w:p w14:paraId="7D301229">
            <w:pPr>
              <w:spacing w:line="276" w:lineRule="auto"/>
              <w:ind w:left="-65" w:leftChars="-31" w:right="-92" w:rightChars="-44"/>
              <w:jc w:val="center"/>
              <w:rPr>
                <w:rFonts w:ascii="宋体" w:hAnsi="宋体" w:cs="宋体"/>
                <w:b/>
                <w:szCs w:val="21"/>
              </w:rPr>
            </w:pPr>
            <w:r>
              <w:rPr>
                <w:rFonts w:hint="eastAsia" w:ascii="宋体" w:hAnsi="宋体" w:cs="宋体"/>
                <w:b/>
                <w:szCs w:val="21"/>
              </w:rPr>
              <w:t>序号</w:t>
            </w:r>
          </w:p>
        </w:tc>
        <w:tc>
          <w:tcPr>
            <w:tcW w:w="1412" w:type="dxa"/>
            <w:tcBorders>
              <w:top w:val="single" w:color="auto" w:sz="12" w:space="0"/>
              <w:left w:val="single" w:color="auto" w:sz="6" w:space="0"/>
              <w:bottom w:val="single" w:color="auto" w:sz="6" w:space="0"/>
              <w:right w:val="single" w:color="auto" w:sz="6" w:space="0"/>
            </w:tcBorders>
            <w:vAlign w:val="center"/>
          </w:tcPr>
          <w:p w14:paraId="49B02EC1">
            <w:pPr>
              <w:spacing w:line="276" w:lineRule="auto"/>
              <w:ind w:left="-65" w:leftChars="-31" w:right="-92" w:rightChars="-44"/>
              <w:jc w:val="center"/>
              <w:rPr>
                <w:rFonts w:ascii="宋体" w:hAnsi="宋体" w:cs="宋体"/>
                <w:b/>
                <w:szCs w:val="21"/>
              </w:rPr>
            </w:pPr>
            <w:r>
              <w:rPr>
                <w:rFonts w:hint="eastAsia" w:ascii="宋体" w:hAnsi="宋体" w:cs="宋体"/>
                <w:b/>
                <w:szCs w:val="21"/>
              </w:rPr>
              <w:t>货物名称</w:t>
            </w:r>
          </w:p>
        </w:tc>
        <w:tc>
          <w:tcPr>
            <w:tcW w:w="2268" w:type="dxa"/>
            <w:tcBorders>
              <w:top w:val="single" w:color="auto" w:sz="12" w:space="0"/>
              <w:left w:val="single" w:color="auto" w:sz="6" w:space="0"/>
              <w:bottom w:val="single" w:color="auto" w:sz="6" w:space="0"/>
              <w:right w:val="single" w:color="auto" w:sz="6" w:space="0"/>
            </w:tcBorders>
            <w:vAlign w:val="center"/>
          </w:tcPr>
          <w:p w14:paraId="10AF62EC">
            <w:pPr>
              <w:spacing w:line="276" w:lineRule="auto"/>
              <w:ind w:left="-65" w:leftChars="-31" w:right="-92" w:rightChars="-44"/>
              <w:jc w:val="center"/>
              <w:rPr>
                <w:rFonts w:ascii="宋体" w:hAnsi="宋体" w:cs="宋体"/>
                <w:b/>
                <w:szCs w:val="21"/>
              </w:rPr>
            </w:pPr>
            <w:r>
              <w:rPr>
                <w:rFonts w:hint="eastAsia" w:ascii="宋体" w:hAnsi="宋体" w:cs="宋体"/>
                <w:b/>
                <w:szCs w:val="21"/>
              </w:rPr>
              <w:t>品牌、规格型号、配置（性能参数）</w:t>
            </w:r>
          </w:p>
        </w:tc>
        <w:tc>
          <w:tcPr>
            <w:tcW w:w="850" w:type="dxa"/>
            <w:tcBorders>
              <w:top w:val="single" w:color="auto" w:sz="12" w:space="0"/>
              <w:left w:val="single" w:color="auto" w:sz="6" w:space="0"/>
              <w:bottom w:val="single" w:color="auto" w:sz="6" w:space="0"/>
              <w:right w:val="single" w:color="auto" w:sz="6" w:space="0"/>
            </w:tcBorders>
            <w:vAlign w:val="center"/>
          </w:tcPr>
          <w:p w14:paraId="4E334375">
            <w:pPr>
              <w:spacing w:line="276" w:lineRule="auto"/>
              <w:ind w:left="-65" w:leftChars="-31" w:right="-92" w:rightChars="-44"/>
              <w:jc w:val="center"/>
              <w:rPr>
                <w:rFonts w:ascii="宋体" w:hAnsi="宋体" w:cs="宋体"/>
                <w:b/>
                <w:szCs w:val="21"/>
              </w:rPr>
            </w:pPr>
            <w:r>
              <w:rPr>
                <w:rFonts w:hint="eastAsia" w:ascii="宋体" w:hAnsi="宋体" w:cs="宋体"/>
                <w:b/>
                <w:szCs w:val="21"/>
              </w:rPr>
              <w:t>产地</w:t>
            </w:r>
          </w:p>
        </w:tc>
        <w:tc>
          <w:tcPr>
            <w:tcW w:w="709" w:type="dxa"/>
            <w:tcBorders>
              <w:top w:val="single" w:color="auto" w:sz="12" w:space="0"/>
              <w:left w:val="single" w:color="auto" w:sz="6" w:space="0"/>
              <w:bottom w:val="single" w:color="auto" w:sz="6" w:space="0"/>
              <w:right w:val="single" w:color="auto" w:sz="6" w:space="0"/>
            </w:tcBorders>
            <w:vAlign w:val="center"/>
          </w:tcPr>
          <w:p w14:paraId="64039F4D">
            <w:pPr>
              <w:spacing w:line="276" w:lineRule="auto"/>
              <w:ind w:left="-65" w:leftChars="-31" w:right="-92" w:rightChars="-44"/>
              <w:jc w:val="center"/>
              <w:rPr>
                <w:rFonts w:ascii="宋体" w:hAnsi="宋体" w:cs="宋体"/>
                <w:b/>
                <w:szCs w:val="21"/>
              </w:rPr>
            </w:pPr>
            <w:r>
              <w:rPr>
                <w:rFonts w:hint="eastAsia" w:ascii="宋体" w:hAnsi="宋体" w:cs="宋体"/>
                <w:b/>
                <w:szCs w:val="21"/>
              </w:rPr>
              <w:t>数量</w:t>
            </w:r>
          </w:p>
        </w:tc>
        <w:tc>
          <w:tcPr>
            <w:tcW w:w="1559" w:type="dxa"/>
            <w:tcBorders>
              <w:top w:val="single" w:color="auto" w:sz="12" w:space="0"/>
              <w:left w:val="single" w:color="auto" w:sz="6" w:space="0"/>
              <w:bottom w:val="single" w:color="auto" w:sz="6" w:space="0"/>
              <w:right w:val="single" w:color="auto" w:sz="6" w:space="0"/>
            </w:tcBorders>
            <w:vAlign w:val="center"/>
          </w:tcPr>
          <w:p w14:paraId="00E680FC">
            <w:pPr>
              <w:spacing w:line="276" w:lineRule="auto"/>
              <w:ind w:left="-65" w:leftChars="-31" w:right="-92" w:rightChars="-44"/>
              <w:jc w:val="center"/>
              <w:rPr>
                <w:rFonts w:ascii="宋体" w:hAnsi="宋体" w:cs="宋体"/>
                <w:b/>
                <w:szCs w:val="21"/>
              </w:rPr>
            </w:pPr>
            <w:r>
              <w:rPr>
                <w:rFonts w:hint="eastAsia" w:ascii="宋体" w:hAnsi="宋体" w:cs="宋体"/>
                <w:b/>
                <w:szCs w:val="21"/>
              </w:rPr>
              <w:t>单价(元)</w:t>
            </w:r>
          </w:p>
        </w:tc>
        <w:tc>
          <w:tcPr>
            <w:tcW w:w="1560" w:type="dxa"/>
            <w:tcBorders>
              <w:top w:val="single" w:color="auto" w:sz="12" w:space="0"/>
              <w:left w:val="single" w:color="auto" w:sz="6" w:space="0"/>
              <w:bottom w:val="single" w:color="auto" w:sz="6" w:space="0"/>
              <w:right w:val="single" w:color="auto" w:sz="12" w:space="0"/>
            </w:tcBorders>
            <w:vAlign w:val="center"/>
          </w:tcPr>
          <w:p w14:paraId="0EA6D5AF">
            <w:pPr>
              <w:spacing w:line="276" w:lineRule="auto"/>
              <w:ind w:left="-65" w:leftChars="-31" w:right="-92" w:rightChars="-44"/>
              <w:jc w:val="center"/>
              <w:rPr>
                <w:rFonts w:ascii="宋体" w:hAnsi="宋体" w:cs="宋体"/>
                <w:b/>
                <w:szCs w:val="21"/>
              </w:rPr>
            </w:pPr>
            <w:r>
              <w:rPr>
                <w:rFonts w:hint="eastAsia" w:ascii="宋体" w:hAnsi="宋体" w:cs="宋体"/>
                <w:b/>
                <w:szCs w:val="21"/>
              </w:rPr>
              <w:t>总金额(元)</w:t>
            </w:r>
          </w:p>
        </w:tc>
      </w:tr>
      <w:tr w14:paraId="59B6E3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34" w:hRule="atLeast"/>
        </w:trPr>
        <w:tc>
          <w:tcPr>
            <w:tcW w:w="573" w:type="dxa"/>
            <w:tcBorders>
              <w:top w:val="single" w:color="auto" w:sz="6" w:space="0"/>
              <w:left w:val="single" w:color="auto" w:sz="12" w:space="0"/>
              <w:bottom w:val="single" w:color="auto" w:sz="6" w:space="0"/>
              <w:right w:val="single" w:color="auto" w:sz="6" w:space="0"/>
            </w:tcBorders>
            <w:vAlign w:val="center"/>
          </w:tcPr>
          <w:p w14:paraId="5DC46E86">
            <w:pPr>
              <w:spacing w:line="276" w:lineRule="auto"/>
              <w:jc w:val="center"/>
              <w:rPr>
                <w:rFonts w:ascii="宋体" w:hAnsi="宋体" w:cs="宋体"/>
                <w:szCs w:val="21"/>
              </w:rPr>
            </w:pPr>
            <w:r>
              <w:rPr>
                <w:rFonts w:hint="eastAsia" w:ascii="宋体" w:hAnsi="宋体" w:cs="宋体"/>
                <w:szCs w:val="21"/>
              </w:rPr>
              <w:t>1</w:t>
            </w:r>
          </w:p>
        </w:tc>
        <w:tc>
          <w:tcPr>
            <w:tcW w:w="1412" w:type="dxa"/>
            <w:tcBorders>
              <w:top w:val="single" w:color="auto" w:sz="6" w:space="0"/>
              <w:left w:val="single" w:color="auto" w:sz="6" w:space="0"/>
              <w:bottom w:val="single" w:color="auto" w:sz="6" w:space="0"/>
              <w:right w:val="single" w:color="auto" w:sz="6" w:space="0"/>
            </w:tcBorders>
            <w:vAlign w:val="center"/>
          </w:tcPr>
          <w:p w14:paraId="5BAEC8C3">
            <w:pPr>
              <w:spacing w:line="276" w:lineRule="auto"/>
              <w:rPr>
                <w:rFonts w:ascii="宋体" w:hAnsi="宋体" w:cs="宋体"/>
                <w:szCs w:val="21"/>
              </w:rPr>
            </w:pPr>
          </w:p>
        </w:tc>
        <w:tc>
          <w:tcPr>
            <w:tcW w:w="2268" w:type="dxa"/>
            <w:tcBorders>
              <w:top w:val="single" w:color="auto" w:sz="6" w:space="0"/>
              <w:left w:val="single" w:color="auto" w:sz="6" w:space="0"/>
              <w:bottom w:val="single" w:color="auto" w:sz="6" w:space="0"/>
              <w:right w:val="single" w:color="auto" w:sz="6" w:space="0"/>
            </w:tcBorders>
            <w:vAlign w:val="center"/>
          </w:tcPr>
          <w:p w14:paraId="48B93A5B">
            <w:pPr>
              <w:spacing w:line="276" w:lineRule="auto"/>
              <w:rPr>
                <w:rFonts w:ascii="宋体" w:hAnsi="宋体" w:cs="宋体"/>
                <w:szCs w:val="21"/>
              </w:rPr>
            </w:pPr>
          </w:p>
        </w:tc>
        <w:tc>
          <w:tcPr>
            <w:tcW w:w="850" w:type="dxa"/>
            <w:tcBorders>
              <w:top w:val="single" w:color="auto" w:sz="6" w:space="0"/>
              <w:left w:val="single" w:color="auto" w:sz="6" w:space="0"/>
              <w:bottom w:val="single" w:color="auto" w:sz="6" w:space="0"/>
              <w:right w:val="single" w:color="auto" w:sz="6" w:space="0"/>
            </w:tcBorders>
            <w:vAlign w:val="center"/>
          </w:tcPr>
          <w:p w14:paraId="354C8136">
            <w:pPr>
              <w:spacing w:line="276" w:lineRule="auto"/>
              <w:jc w:val="center"/>
              <w:rPr>
                <w:rFonts w:ascii="宋体" w:hAnsi="宋体" w:cs="宋体"/>
                <w:szCs w:val="21"/>
              </w:rPr>
            </w:pPr>
          </w:p>
        </w:tc>
        <w:tc>
          <w:tcPr>
            <w:tcW w:w="709" w:type="dxa"/>
            <w:tcBorders>
              <w:top w:val="single" w:color="auto" w:sz="6" w:space="0"/>
              <w:left w:val="single" w:color="auto" w:sz="6" w:space="0"/>
              <w:bottom w:val="single" w:color="auto" w:sz="6" w:space="0"/>
              <w:right w:val="single" w:color="auto" w:sz="6" w:space="0"/>
            </w:tcBorders>
            <w:vAlign w:val="center"/>
          </w:tcPr>
          <w:p w14:paraId="05173A88">
            <w:pPr>
              <w:spacing w:line="276" w:lineRule="auto"/>
              <w:jc w:val="center"/>
              <w:rPr>
                <w:rFonts w:ascii="宋体" w:hAnsi="宋体" w:cs="宋体"/>
                <w:szCs w:val="21"/>
              </w:rPr>
            </w:pPr>
          </w:p>
        </w:tc>
        <w:tc>
          <w:tcPr>
            <w:tcW w:w="1559" w:type="dxa"/>
            <w:tcBorders>
              <w:top w:val="single" w:color="auto" w:sz="6" w:space="0"/>
              <w:left w:val="single" w:color="auto" w:sz="6" w:space="0"/>
              <w:bottom w:val="single" w:color="auto" w:sz="6" w:space="0"/>
              <w:right w:val="single" w:color="auto" w:sz="6" w:space="0"/>
            </w:tcBorders>
            <w:vAlign w:val="center"/>
          </w:tcPr>
          <w:p w14:paraId="71FCBE23">
            <w:pPr>
              <w:spacing w:line="276" w:lineRule="auto"/>
              <w:rPr>
                <w:rFonts w:ascii="宋体" w:hAnsi="宋体" w:cs="宋体"/>
                <w:szCs w:val="21"/>
              </w:rPr>
            </w:pPr>
          </w:p>
        </w:tc>
        <w:tc>
          <w:tcPr>
            <w:tcW w:w="1560" w:type="dxa"/>
            <w:tcBorders>
              <w:top w:val="single" w:color="auto" w:sz="6" w:space="0"/>
              <w:left w:val="single" w:color="auto" w:sz="6" w:space="0"/>
              <w:bottom w:val="single" w:color="auto" w:sz="6" w:space="0"/>
              <w:right w:val="single" w:color="auto" w:sz="12" w:space="0"/>
            </w:tcBorders>
            <w:vAlign w:val="center"/>
          </w:tcPr>
          <w:p w14:paraId="09052FD3">
            <w:pPr>
              <w:spacing w:line="276" w:lineRule="auto"/>
              <w:rPr>
                <w:rFonts w:ascii="宋体" w:hAnsi="宋体" w:cs="宋体"/>
                <w:szCs w:val="21"/>
              </w:rPr>
            </w:pPr>
          </w:p>
        </w:tc>
      </w:tr>
      <w:tr w14:paraId="0B9186D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41" w:hRule="atLeast"/>
        </w:trPr>
        <w:tc>
          <w:tcPr>
            <w:tcW w:w="8931" w:type="dxa"/>
            <w:gridSpan w:val="7"/>
            <w:tcBorders>
              <w:top w:val="single" w:color="auto" w:sz="6" w:space="0"/>
              <w:left w:val="single" w:color="auto" w:sz="12" w:space="0"/>
              <w:bottom w:val="single" w:color="auto" w:sz="12" w:space="0"/>
              <w:right w:val="single" w:color="auto" w:sz="12" w:space="0"/>
            </w:tcBorders>
            <w:vAlign w:val="center"/>
          </w:tcPr>
          <w:p w14:paraId="1C5A95EC">
            <w:pPr>
              <w:spacing w:line="276" w:lineRule="auto"/>
              <w:rPr>
                <w:rFonts w:ascii="宋体" w:hAnsi="宋体" w:cs="宋体"/>
                <w:szCs w:val="21"/>
              </w:rPr>
            </w:pPr>
            <w:r>
              <w:rPr>
                <w:rFonts w:hint="eastAsia" w:ascii="宋体" w:hAnsi="宋体" w:cs="宋体"/>
                <w:szCs w:val="21"/>
              </w:rPr>
              <w:t xml:space="preserve">                                                               合计总额：￥</w:t>
            </w:r>
            <w:r>
              <w:rPr>
                <w:rFonts w:hint="eastAsia" w:ascii="微软雅黑" w:hAnsi="微软雅黑" w:eastAsia="微软雅黑"/>
                <w:color w:val="333333"/>
                <w:szCs w:val="21"/>
                <w:shd w:val="clear" w:color="auto" w:fill="FFFFFF"/>
              </w:rPr>
              <w:t xml:space="preserve">       </w:t>
            </w:r>
            <w:r>
              <w:rPr>
                <w:rFonts w:hint="eastAsia" w:ascii="宋体" w:hAnsi="宋体" w:cs="宋体"/>
                <w:szCs w:val="21"/>
              </w:rPr>
              <w:t xml:space="preserve">元                    </w:t>
            </w:r>
          </w:p>
        </w:tc>
      </w:tr>
    </w:tbl>
    <w:p w14:paraId="5B49B636">
      <w:pPr>
        <w:snapToGrid w:val="0"/>
        <w:spacing w:line="360" w:lineRule="auto"/>
        <w:ind w:firstLine="420" w:firstLineChars="200"/>
        <w:rPr>
          <w:rFonts w:ascii="宋体" w:hAnsi="宋体"/>
          <w:szCs w:val="21"/>
        </w:rPr>
      </w:pPr>
      <w:r>
        <w:rPr>
          <w:rFonts w:hint="eastAsia"/>
          <w:szCs w:val="21"/>
        </w:rPr>
        <w:t>有关货物的配置或者技术参数信息详见附件（如有）。</w:t>
      </w:r>
    </w:p>
    <w:p w14:paraId="443367A0">
      <w:pPr>
        <w:numPr>
          <w:ilvl w:val="255"/>
          <w:numId w:val="0"/>
        </w:numPr>
        <w:snapToGrid w:val="0"/>
        <w:spacing w:line="360" w:lineRule="auto"/>
        <w:rPr>
          <w:rFonts w:ascii="宋体" w:hAnsi="宋体"/>
          <w:szCs w:val="21"/>
        </w:rPr>
      </w:pPr>
      <w:r>
        <w:rPr>
          <w:rFonts w:hint="eastAsia" w:ascii="宋体" w:hAnsi="宋体"/>
          <w:szCs w:val="21"/>
        </w:rPr>
        <w:t>二、权利保证</w:t>
      </w:r>
    </w:p>
    <w:p w14:paraId="1252C928">
      <w:pPr>
        <w:snapToGrid w:val="0"/>
        <w:spacing w:line="360" w:lineRule="auto"/>
        <w:ind w:firstLine="420" w:firstLineChars="200"/>
        <w:rPr>
          <w:bCs/>
          <w:szCs w:val="21"/>
        </w:rPr>
      </w:pPr>
      <w:r>
        <w:rPr>
          <w:rFonts w:hint="eastAsia"/>
          <w:bCs/>
          <w:szCs w:val="21"/>
        </w:rPr>
        <w:t>乙方保证甲方在使用本合同项下货物或货物的任何一部分时，不会产生因第三方提出的包括但不限于侵犯其专利权、商标权、工业设计权等知识产权和侵犯其所有权、抵押权等物权及其他权利而引发的纠纷。如有纠纷，乙方应承担全部责任。</w:t>
      </w:r>
    </w:p>
    <w:p w14:paraId="6D5297B4">
      <w:pPr>
        <w:adjustRightInd w:val="0"/>
        <w:snapToGrid w:val="0"/>
        <w:spacing w:beforeLines="50" w:afterLines="50" w:line="360" w:lineRule="exact"/>
        <w:rPr>
          <w:b/>
          <w:szCs w:val="21"/>
        </w:rPr>
      </w:pPr>
      <w:r>
        <w:rPr>
          <w:rFonts w:hint="eastAsia"/>
          <w:b/>
          <w:szCs w:val="21"/>
        </w:rPr>
        <w:t>三、</w:t>
      </w:r>
      <w:r>
        <w:rPr>
          <w:b/>
          <w:szCs w:val="21"/>
        </w:rPr>
        <w:t xml:space="preserve"> 合同价款及付款方式：</w:t>
      </w:r>
    </w:p>
    <w:p w14:paraId="0DB40333">
      <w:pPr>
        <w:snapToGrid w:val="0"/>
        <w:spacing w:line="360" w:lineRule="auto"/>
        <w:ind w:firstLine="420" w:firstLineChars="200"/>
        <w:rPr>
          <w:bCs/>
          <w:szCs w:val="21"/>
        </w:rPr>
      </w:pPr>
      <w:r>
        <w:rPr>
          <w:rFonts w:hint="eastAsia"/>
          <w:bCs/>
          <w:szCs w:val="21"/>
        </w:rPr>
        <w:t>1</w:t>
      </w:r>
      <w:r>
        <w:rPr>
          <w:bCs/>
          <w:szCs w:val="21"/>
        </w:rPr>
        <w:t xml:space="preserve"> </w:t>
      </w:r>
      <w:r>
        <w:rPr>
          <w:rFonts w:hint="eastAsia"/>
          <w:bCs/>
          <w:szCs w:val="21"/>
        </w:rPr>
        <w:t xml:space="preserve">. </w:t>
      </w:r>
      <w:r>
        <w:rPr>
          <w:bCs/>
          <w:szCs w:val="21"/>
        </w:rPr>
        <w:t>合同价款</w:t>
      </w:r>
      <w:r>
        <w:rPr>
          <w:rFonts w:hint="eastAsia"/>
          <w:bCs/>
          <w:szCs w:val="21"/>
        </w:rPr>
        <w:t>为</w:t>
      </w:r>
      <w:r>
        <w:rPr>
          <w:bCs/>
          <w:szCs w:val="21"/>
        </w:rPr>
        <w:t>人民币：</w:t>
      </w:r>
      <w:r>
        <w:rPr>
          <w:rFonts w:hint="eastAsia"/>
          <w:bCs/>
          <w:szCs w:val="21"/>
        </w:rPr>
        <w:t>（大写）</w:t>
      </w:r>
      <w:r>
        <w:rPr>
          <w:bCs/>
          <w:szCs w:val="21"/>
          <w:u w:val="single"/>
        </w:rPr>
        <w:t xml:space="preserve">                </w:t>
      </w:r>
      <w:r>
        <w:rPr>
          <w:bCs/>
          <w:szCs w:val="21"/>
        </w:rPr>
        <w:t>（￥</w:t>
      </w:r>
      <w:r>
        <w:rPr>
          <w:bCs/>
          <w:szCs w:val="21"/>
          <w:u w:val="single"/>
        </w:rPr>
        <w:t xml:space="preserve">           </w:t>
      </w:r>
      <w:r>
        <w:rPr>
          <w:bCs/>
          <w:szCs w:val="21"/>
        </w:rPr>
        <w:t>），该价格为全部价款，</w:t>
      </w:r>
      <w:r>
        <w:rPr>
          <w:rFonts w:hint="eastAsia" w:ascii="宋体" w:hAnsi="宋体" w:cs="宋体"/>
          <w:szCs w:val="21"/>
        </w:rPr>
        <w:t>包括乙方设计、安装、随机零配件、标配工具、运费、运输保险、调试、培训、质保期服务、各项税费及与合同履行相关的一切费用,</w:t>
      </w:r>
      <w:r>
        <w:rPr>
          <w:rFonts w:hint="eastAsia"/>
          <w:szCs w:val="21"/>
        </w:rPr>
        <w:t xml:space="preserve"> 系固定不变价格，且不随通货膨胀的影响而波动。</w:t>
      </w:r>
      <w:r>
        <w:rPr>
          <w:bCs/>
          <w:szCs w:val="21"/>
        </w:rPr>
        <w:t>甲方不再向乙方支付本合同</w:t>
      </w:r>
      <w:r>
        <w:rPr>
          <w:rFonts w:hint="eastAsia"/>
          <w:bCs/>
          <w:szCs w:val="21"/>
        </w:rPr>
        <w:t>约定</w:t>
      </w:r>
      <w:r>
        <w:rPr>
          <w:bCs/>
          <w:szCs w:val="21"/>
        </w:rPr>
        <w:t>之外的任何其他费用。</w:t>
      </w:r>
    </w:p>
    <w:p w14:paraId="6B7C90F7">
      <w:pPr>
        <w:adjustRightInd w:val="0"/>
        <w:snapToGrid w:val="0"/>
        <w:spacing w:line="380" w:lineRule="exact"/>
        <w:ind w:left="630" w:leftChars="200" w:hanging="210" w:hangingChars="100"/>
        <w:rPr>
          <w:bCs/>
          <w:szCs w:val="21"/>
        </w:rPr>
      </w:pPr>
      <w:r>
        <w:rPr>
          <w:rFonts w:hint="eastAsia"/>
          <w:bCs/>
          <w:szCs w:val="21"/>
        </w:rPr>
        <w:t>2</w:t>
      </w:r>
      <w:r>
        <w:rPr>
          <w:bCs/>
          <w:szCs w:val="21"/>
        </w:rPr>
        <w:t xml:space="preserve"> </w:t>
      </w:r>
      <w:r>
        <w:rPr>
          <w:rFonts w:hint="eastAsia"/>
          <w:bCs/>
          <w:szCs w:val="21"/>
        </w:rPr>
        <w:t xml:space="preserve">. </w:t>
      </w:r>
      <w:r>
        <w:rPr>
          <w:rFonts w:hint="eastAsia" w:ascii="宋体" w:hAnsi="宋体" w:cs="宋体"/>
          <w:kern w:val="0"/>
          <w:szCs w:val="21"/>
        </w:rPr>
        <w:t>具体支付方式和时间如下：</w:t>
      </w:r>
    </w:p>
    <w:p w14:paraId="501FE0A2">
      <w:pPr>
        <w:tabs>
          <w:tab w:val="left" w:pos="480"/>
          <w:tab w:val="left" w:pos="567"/>
        </w:tabs>
        <w:spacing w:line="360" w:lineRule="auto"/>
        <w:ind w:firstLine="420" w:firstLineChars="200"/>
        <w:outlineLvl w:val="2"/>
        <w:rPr>
          <w:bCs/>
          <w:szCs w:val="21"/>
        </w:rPr>
      </w:pPr>
      <w:r>
        <w:rPr>
          <w:rFonts w:hint="eastAsia"/>
          <w:bCs/>
          <w:szCs w:val="21"/>
        </w:rPr>
        <w:t>2.1（一次性付款）甲方在货物到货安装、调试、验收合格且收到乙方开具相应金额的发票后</w:t>
      </w:r>
      <w:r>
        <w:rPr>
          <w:bCs/>
          <w:szCs w:val="21"/>
          <w:u w:val="single"/>
        </w:rPr>
        <w:t xml:space="preserve">    </w:t>
      </w:r>
      <w:r>
        <w:rPr>
          <w:rFonts w:hint="eastAsia"/>
          <w:bCs/>
          <w:szCs w:val="21"/>
          <w:u w:val="single"/>
        </w:rPr>
        <w:t xml:space="preserve"> </w:t>
      </w:r>
      <w:r>
        <w:rPr>
          <w:rFonts w:hint="eastAsia" w:ascii="宋体" w:hAnsi="宋体" w:cs="宋体"/>
          <w:szCs w:val="21"/>
        </w:rPr>
        <w:t>_________</w:t>
      </w:r>
      <w:r>
        <w:rPr>
          <w:rFonts w:hint="eastAsia"/>
          <w:bCs/>
          <w:szCs w:val="21"/>
        </w:rPr>
        <w:t>日内向乙方支付合同总价款。</w:t>
      </w:r>
      <w:r>
        <w:rPr>
          <w:rFonts w:hint="eastAsia" w:asciiTheme="minorEastAsia" w:hAnsiTheme="minorEastAsia" w:eastAsiaTheme="minorEastAsia"/>
          <w:color w:val="000000"/>
          <w:szCs w:val="21"/>
        </w:rPr>
        <w:t>逾期开具发票的，付款时间顺延</w:t>
      </w:r>
      <w:r>
        <w:rPr>
          <w:rFonts w:asciiTheme="minorEastAsia" w:hAnsiTheme="minorEastAsia" w:eastAsiaTheme="minorEastAsia"/>
          <w:color w:val="000000"/>
          <w:szCs w:val="21"/>
        </w:rPr>
        <w:t>。</w:t>
      </w:r>
    </w:p>
    <w:p w14:paraId="2099E65E">
      <w:pPr>
        <w:spacing w:line="360" w:lineRule="exact"/>
        <w:ind w:firstLine="422" w:firstLineChars="200"/>
        <w:rPr>
          <w:rFonts w:ascii="宋体" w:hAnsi="宋体" w:cs="宋体"/>
          <w:kern w:val="0"/>
          <w:szCs w:val="21"/>
        </w:rPr>
      </w:pPr>
      <w:r>
        <w:rPr>
          <w:rFonts w:hint="eastAsia" w:ascii="宋体" w:hAnsi="宋体" w:cs="宋体"/>
          <w:b/>
          <w:bCs/>
          <w:kern w:val="0"/>
          <w:szCs w:val="21"/>
        </w:rPr>
        <w:t>2.2</w:t>
      </w:r>
      <w:r>
        <w:rPr>
          <w:rFonts w:hint="eastAsia" w:ascii="宋体" w:hAnsi="宋体" w:cs="宋体"/>
          <w:kern w:val="0"/>
          <w:szCs w:val="21"/>
        </w:rPr>
        <w:t>（分期付款）（</w:t>
      </w:r>
      <w:r>
        <w:rPr>
          <w:rFonts w:hint="eastAsia" w:ascii="宋体" w:hAnsi="宋体" w:cs="宋体"/>
          <w:b/>
          <w:kern w:val="0"/>
          <w:szCs w:val="21"/>
        </w:rPr>
        <w:t>注：在甲方支付尾款前，乙方应开具与总合同金额对等的发票</w:t>
      </w:r>
      <w:r>
        <w:rPr>
          <w:rFonts w:hint="eastAsia" w:ascii="宋体" w:hAnsi="宋体" w:cs="宋体"/>
          <w:kern w:val="0"/>
          <w:szCs w:val="21"/>
        </w:rPr>
        <w:t>）：</w:t>
      </w:r>
    </w:p>
    <w:p w14:paraId="5DB0BD78">
      <w:pPr>
        <w:spacing w:line="360" w:lineRule="exact"/>
        <w:ind w:firstLine="420" w:firstLineChars="200"/>
        <w:rPr>
          <w:bCs/>
          <w:szCs w:val="21"/>
        </w:rPr>
      </w:pPr>
      <w:r>
        <w:rPr>
          <w:rFonts w:hint="eastAsia" w:ascii="宋体" w:hAnsi="宋体" w:cs="宋体"/>
          <w:kern w:val="0"/>
          <w:szCs w:val="21"/>
        </w:rPr>
        <w:t>甲方自合同生效后</w:t>
      </w:r>
      <w:r>
        <w:rPr>
          <w:rFonts w:hint="eastAsia" w:ascii="宋体" w:hAnsi="宋体" w:cs="宋体"/>
          <w:kern w:val="0"/>
          <w:szCs w:val="21"/>
          <w:u w:val="single"/>
        </w:rPr>
        <w:t xml:space="preserve">       </w:t>
      </w:r>
      <w:r>
        <w:rPr>
          <w:rFonts w:hint="eastAsia" w:ascii="宋体" w:hAnsi="宋体" w:cs="宋体"/>
          <w:kern w:val="0"/>
          <w:szCs w:val="21"/>
        </w:rPr>
        <w:t>个工作日内，</w:t>
      </w:r>
      <w:commentRangeStart w:id="2"/>
      <w:r>
        <w:rPr>
          <w:rFonts w:hint="eastAsia" w:ascii="宋体" w:hAnsi="宋体" w:cs="宋体"/>
          <w:kern w:val="0"/>
          <w:szCs w:val="21"/>
        </w:rPr>
        <w:t>支付预付款人民币</w:t>
      </w:r>
      <w:r>
        <w:rPr>
          <w:rFonts w:hint="eastAsia" w:ascii="宋体" w:hAnsi="宋体" w:cs="宋体"/>
          <w:kern w:val="0"/>
          <w:szCs w:val="21"/>
          <w:u w:val="single"/>
        </w:rPr>
        <w:t xml:space="preserve">    </w:t>
      </w:r>
      <w:r>
        <w:rPr>
          <w:rFonts w:ascii="宋体" w:hAnsi="宋体" w:cs="宋体"/>
          <w:kern w:val="0"/>
          <w:szCs w:val="21"/>
          <w:u w:val="single"/>
        </w:rPr>
        <w:t xml:space="preserve">    </w:t>
      </w:r>
      <w:r>
        <w:rPr>
          <w:rFonts w:hint="eastAsia" w:ascii="宋体" w:hAnsi="宋体" w:cs="宋体"/>
          <w:kern w:val="0"/>
          <w:szCs w:val="21"/>
          <w:u w:val="single"/>
        </w:rPr>
        <w:t xml:space="preserve">  </w:t>
      </w:r>
      <w:r>
        <w:rPr>
          <w:rFonts w:hint="eastAsia" w:ascii="宋体" w:hAnsi="宋体" w:cs="宋体"/>
          <w:kern w:val="0"/>
          <w:szCs w:val="21"/>
        </w:rPr>
        <w:t>，</w:t>
      </w:r>
      <w:commentRangeEnd w:id="2"/>
      <w:r>
        <w:commentReference w:id="2"/>
      </w:r>
      <w:r>
        <w:rPr>
          <w:rFonts w:hint="eastAsia" w:ascii="宋体" w:hAnsi="宋体" w:cs="宋体"/>
          <w:kern w:val="0"/>
          <w:szCs w:val="21"/>
        </w:rPr>
        <w:t>大写：</w:t>
      </w:r>
      <w:r>
        <w:rPr>
          <w:rFonts w:hint="eastAsia" w:ascii="宋体" w:hAnsi="宋体" w:cs="宋体"/>
          <w:kern w:val="0"/>
          <w:szCs w:val="21"/>
          <w:u w:val="single"/>
        </w:rPr>
        <w:t xml:space="preserve">            </w:t>
      </w:r>
      <w:r>
        <w:rPr>
          <w:rFonts w:hint="eastAsia" w:ascii="宋体" w:hAnsi="宋体" w:cs="宋体"/>
          <w:kern w:val="0"/>
          <w:szCs w:val="21"/>
        </w:rPr>
        <w:t>（含税）；</w:t>
      </w:r>
      <w:r>
        <w:rPr>
          <w:rFonts w:hint="eastAsia" w:asciiTheme="minorEastAsia" w:hAnsiTheme="minorEastAsia" w:eastAsiaTheme="minorEastAsia"/>
          <w:color w:val="000000"/>
          <w:szCs w:val="21"/>
        </w:rPr>
        <w:t>货到验收合格后</w:t>
      </w:r>
      <w:r>
        <w:rPr>
          <w:rFonts w:hint="eastAsia" w:ascii="宋体" w:hAnsi="宋体" w:cs="宋体"/>
          <w:kern w:val="0"/>
          <w:szCs w:val="21"/>
        </w:rPr>
        <w:t>且收到乙方开具的合同等额发票后</w:t>
      </w:r>
      <w:r>
        <w:rPr>
          <w:rFonts w:hint="eastAsia" w:ascii="宋体" w:hAnsi="宋体" w:cs="宋体"/>
          <w:kern w:val="0"/>
          <w:szCs w:val="21"/>
          <w:u w:val="single"/>
        </w:rPr>
        <w:t xml:space="preserve">      </w:t>
      </w:r>
      <w:r>
        <w:rPr>
          <w:rFonts w:hint="eastAsia" w:ascii="宋体" w:hAnsi="宋体" w:cs="宋体"/>
          <w:kern w:val="0"/>
          <w:szCs w:val="21"/>
        </w:rPr>
        <w:t>个工作日内，支付尾款人民币</w:t>
      </w:r>
      <w:r>
        <w:rPr>
          <w:rFonts w:hint="eastAsia" w:ascii="宋体" w:hAnsi="宋体" w:cs="宋体"/>
          <w:kern w:val="0"/>
          <w:szCs w:val="21"/>
          <w:u w:val="single"/>
        </w:rPr>
        <w:t xml:space="preserve">  </w:t>
      </w:r>
      <w:r>
        <w:rPr>
          <w:rFonts w:ascii="宋体" w:hAnsi="宋体" w:cs="宋体"/>
          <w:kern w:val="0"/>
          <w:szCs w:val="21"/>
          <w:u w:val="single"/>
        </w:rPr>
        <w:t xml:space="preserve">    </w:t>
      </w:r>
      <w:r>
        <w:rPr>
          <w:rFonts w:hint="eastAsia" w:ascii="宋体" w:hAnsi="宋体" w:cs="宋体"/>
          <w:kern w:val="0"/>
          <w:szCs w:val="21"/>
          <w:u w:val="single"/>
        </w:rPr>
        <w:t xml:space="preserve">    </w:t>
      </w:r>
      <w:r>
        <w:rPr>
          <w:rFonts w:hint="eastAsia" w:ascii="宋体" w:hAnsi="宋体" w:cs="宋体"/>
          <w:kern w:val="0"/>
          <w:szCs w:val="21"/>
        </w:rPr>
        <w:t>，大写：</w:t>
      </w:r>
      <w:r>
        <w:rPr>
          <w:rFonts w:hint="eastAsia" w:ascii="宋体" w:hAnsi="宋体" w:cs="宋体"/>
          <w:kern w:val="0"/>
          <w:szCs w:val="21"/>
          <w:u w:val="single"/>
        </w:rPr>
        <w:t xml:space="preserve">            </w:t>
      </w:r>
      <w:r>
        <w:rPr>
          <w:rFonts w:hint="eastAsia" w:ascii="宋体" w:hAnsi="宋体" w:cs="宋体"/>
          <w:kern w:val="0"/>
          <w:szCs w:val="21"/>
        </w:rPr>
        <w:t>（含税）。</w:t>
      </w:r>
    </w:p>
    <w:p w14:paraId="07A366A2">
      <w:pPr>
        <w:adjustRightInd w:val="0"/>
        <w:snapToGrid w:val="0"/>
        <w:spacing w:line="380" w:lineRule="exact"/>
        <w:ind w:left="424" w:leftChars="202" w:firstLine="2"/>
        <w:rPr>
          <w:bCs/>
          <w:szCs w:val="21"/>
          <w:u w:val="single"/>
        </w:rPr>
      </w:pPr>
      <w:r>
        <w:rPr>
          <w:rFonts w:hint="eastAsia"/>
          <w:bCs/>
          <w:szCs w:val="21"/>
        </w:rPr>
        <w:t>2.3 （其他</w:t>
      </w:r>
      <w:r>
        <w:rPr>
          <w:bCs/>
          <w:szCs w:val="21"/>
        </w:rPr>
        <w:t>付款方式</w:t>
      </w:r>
      <w:r>
        <w:rPr>
          <w:rFonts w:hint="eastAsia"/>
          <w:bCs/>
          <w:szCs w:val="21"/>
        </w:rPr>
        <w:t>）</w:t>
      </w:r>
      <w:r>
        <w:rPr>
          <w:bCs/>
          <w:szCs w:val="21"/>
        </w:rPr>
        <w:t>：</w:t>
      </w:r>
      <w:r>
        <w:rPr>
          <w:rFonts w:hint="eastAsia"/>
          <w:bCs/>
          <w:szCs w:val="21"/>
          <w:u w:val="single"/>
        </w:rPr>
        <w:t xml:space="preserve"> </w:t>
      </w:r>
      <w:r>
        <w:rPr>
          <w:bCs/>
          <w:szCs w:val="21"/>
          <w:u w:val="single"/>
        </w:rPr>
        <w:t xml:space="preserve">                                                  </w:t>
      </w:r>
    </w:p>
    <w:p w14:paraId="75E12AE6">
      <w:pPr>
        <w:tabs>
          <w:tab w:val="left" w:pos="425"/>
          <w:tab w:val="left" w:pos="905"/>
        </w:tabs>
        <w:spacing w:beforeLines="50" w:afterLines="50"/>
        <w:outlineLvl w:val="2"/>
        <w:rPr>
          <w:rFonts w:ascii="宋体" w:hAnsi="宋体" w:cs="宋体"/>
          <w:b/>
          <w:szCs w:val="21"/>
        </w:rPr>
      </w:pPr>
      <w:r>
        <w:rPr>
          <w:rFonts w:hint="eastAsia" w:ascii="宋体" w:hAnsi="宋体" w:cs="宋体"/>
          <w:b/>
          <w:szCs w:val="21"/>
        </w:rPr>
        <w:t>四</w:t>
      </w:r>
      <w:r>
        <w:rPr>
          <w:rFonts w:ascii="宋体" w:hAnsi="宋体" w:cs="宋体"/>
          <w:b/>
          <w:szCs w:val="21"/>
        </w:rPr>
        <w:t>、</w:t>
      </w:r>
      <w:r>
        <w:rPr>
          <w:rFonts w:hint="eastAsia" w:ascii="宋体" w:hAnsi="宋体" w:cs="宋体"/>
          <w:b/>
          <w:szCs w:val="21"/>
        </w:rPr>
        <w:t>交货期及交货地点</w:t>
      </w:r>
    </w:p>
    <w:p w14:paraId="0485657D">
      <w:pPr>
        <w:numPr>
          <w:ilvl w:val="0"/>
          <w:numId w:val="3"/>
        </w:numPr>
        <w:tabs>
          <w:tab w:val="clear" w:pos="425"/>
        </w:tabs>
        <w:autoSpaceDE w:val="0"/>
        <w:autoSpaceDN w:val="0"/>
        <w:adjustRightInd w:val="0"/>
        <w:snapToGrid w:val="0"/>
        <w:spacing w:line="360" w:lineRule="auto"/>
        <w:ind w:left="0" w:firstLine="420" w:firstLineChars="200"/>
        <w:rPr>
          <w:rFonts w:ascii="宋体" w:hAnsi="宋体" w:cs="宋体"/>
          <w:szCs w:val="21"/>
        </w:rPr>
      </w:pPr>
      <w:r>
        <w:rPr>
          <w:rFonts w:hint="eastAsia" w:ascii="宋体" w:hAnsi="宋体" w:cs="宋体"/>
          <w:szCs w:val="21"/>
        </w:rPr>
        <w:t>交货期：合同生效之日起_______日内交货。</w:t>
      </w:r>
    </w:p>
    <w:p w14:paraId="71CDBD7D">
      <w:pPr>
        <w:numPr>
          <w:ilvl w:val="0"/>
          <w:numId w:val="3"/>
        </w:numPr>
        <w:tabs>
          <w:tab w:val="clear" w:pos="425"/>
        </w:tabs>
        <w:autoSpaceDE w:val="0"/>
        <w:autoSpaceDN w:val="0"/>
        <w:adjustRightInd w:val="0"/>
        <w:snapToGrid w:val="0"/>
        <w:spacing w:line="360" w:lineRule="auto"/>
        <w:ind w:left="0" w:firstLine="426"/>
        <w:rPr>
          <w:rFonts w:ascii="宋体" w:hAnsi="宋体" w:cs="宋体"/>
          <w:szCs w:val="21"/>
        </w:rPr>
      </w:pPr>
      <w:r>
        <w:rPr>
          <w:rFonts w:hint="eastAsia" w:ascii="宋体" w:hAnsi="宋体" w:cs="宋体"/>
          <w:szCs w:val="21"/>
        </w:rPr>
        <w:t>交货方式：交付货物前，</w:t>
      </w:r>
      <w:r>
        <w:rPr>
          <w:rFonts w:hint="eastAsia" w:ascii="宋体" w:hAnsi="宋体"/>
          <w:szCs w:val="21"/>
        </w:rPr>
        <w:t>乙</w:t>
      </w:r>
      <w:r>
        <w:rPr>
          <w:rFonts w:ascii="宋体" w:hAnsi="宋体"/>
          <w:szCs w:val="21"/>
        </w:rPr>
        <w:t>方应</w:t>
      </w:r>
      <w:r>
        <w:rPr>
          <w:rFonts w:hint="eastAsia" w:ascii="宋体" w:hAnsi="宋体"/>
          <w:szCs w:val="21"/>
        </w:rPr>
        <w:t>提前</w:t>
      </w:r>
      <w:r>
        <w:rPr>
          <w:rFonts w:hint="eastAsia" w:ascii="宋体" w:hAnsi="宋体"/>
          <w:szCs w:val="21"/>
          <w:u w:val="single"/>
        </w:rPr>
        <w:t>7</w:t>
      </w:r>
      <w:r>
        <w:rPr>
          <w:rFonts w:ascii="宋体" w:hAnsi="宋体"/>
          <w:szCs w:val="21"/>
          <w:u w:val="single"/>
        </w:rPr>
        <w:t xml:space="preserve"> </w:t>
      </w:r>
      <w:r>
        <w:rPr>
          <w:rFonts w:ascii="宋体" w:hAnsi="宋体"/>
          <w:szCs w:val="21"/>
        </w:rPr>
        <w:t>天用</w:t>
      </w:r>
      <w:r>
        <w:rPr>
          <w:rFonts w:hint="eastAsia" w:ascii="宋体" w:hAnsi="宋体"/>
          <w:szCs w:val="21"/>
        </w:rPr>
        <w:t>甲</w:t>
      </w:r>
      <w:r>
        <w:rPr>
          <w:rFonts w:ascii="宋体" w:hAnsi="宋体"/>
          <w:szCs w:val="21"/>
        </w:rPr>
        <w:t>方可以收到的方式将合同号、货物名称、数量、包装箱件数、总毛重、总体积(立方米)和备妥交货日期通知</w:t>
      </w:r>
      <w:r>
        <w:rPr>
          <w:rFonts w:hint="eastAsia" w:ascii="宋体" w:hAnsi="宋体"/>
          <w:szCs w:val="21"/>
        </w:rPr>
        <w:t>甲</w:t>
      </w:r>
      <w:r>
        <w:rPr>
          <w:rFonts w:ascii="宋体" w:hAnsi="宋体"/>
          <w:szCs w:val="21"/>
        </w:rPr>
        <w:t>方。</w:t>
      </w:r>
      <w:r>
        <w:rPr>
          <w:rFonts w:hint="eastAsia" w:ascii="宋体" w:hAnsi="宋体"/>
          <w:szCs w:val="21"/>
        </w:rPr>
        <w:t>货物</w:t>
      </w:r>
      <w:r>
        <w:rPr>
          <w:rFonts w:hint="eastAsia" w:ascii="宋体" w:hAnsi="宋体" w:cs="宋体"/>
          <w:szCs w:val="21"/>
        </w:rPr>
        <w:t>由乙方自行安排运输将全部货物送达交货地点，甲方不接受部分交货，除非甲方同意。</w:t>
      </w:r>
    </w:p>
    <w:p w14:paraId="4AC1BE01">
      <w:pPr>
        <w:numPr>
          <w:ilvl w:val="0"/>
          <w:numId w:val="3"/>
        </w:numPr>
        <w:tabs>
          <w:tab w:val="clear" w:pos="425"/>
        </w:tabs>
        <w:autoSpaceDE w:val="0"/>
        <w:autoSpaceDN w:val="0"/>
        <w:adjustRightInd w:val="0"/>
        <w:snapToGrid w:val="0"/>
        <w:spacing w:line="360" w:lineRule="auto"/>
        <w:ind w:left="567" w:hanging="141"/>
        <w:rPr>
          <w:rFonts w:ascii="宋体" w:hAnsi="宋体" w:cs="宋体"/>
          <w:szCs w:val="21"/>
        </w:rPr>
      </w:pPr>
      <w:r>
        <w:rPr>
          <w:rFonts w:hint="eastAsia" w:ascii="宋体" w:hAnsi="宋体" w:cs="宋体"/>
          <w:szCs w:val="21"/>
        </w:rPr>
        <w:t>交货地点：</w:t>
      </w:r>
      <w:r>
        <w:rPr>
          <w:rFonts w:ascii="宋体" w:hAnsi="宋体" w:cs="宋体"/>
          <w:szCs w:val="21"/>
        </w:rPr>
        <w:t xml:space="preserve"> </w:t>
      </w:r>
      <w:r>
        <w:rPr>
          <w:rFonts w:hint="eastAsia" w:ascii="宋体" w:hAnsi="宋体" w:cs="宋体"/>
          <w:szCs w:val="21"/>
        </w:rPr>
        <w:t>___________________________</w:t>
      </w:r>
    </w:p>
    <w:p w14:paraId="1E3E9C91">
      <w:pPr>
        <w:tabs>
          <w:tab w:val="left" w:pos="480"/>
        </w:tabs>
        <w:snapToGrid w:val="0"/>
        <w:spacing w:line="360" w:lineRule="auto"/>
        <w:rPr>
          <w:rFonts w:ascii="宋体" w:hAnsi="宋体"/>
          <w:b/>
          <w:szCs w:val="21"/>
        </w:rPr>
      </w:pPr>
      <w:r>
        <w:rPr>
          <w:rFonts w:hint="eastAsia" w:ascii="宋体" w:hAnsi="宋体"/>
          <w:b/>
          <w:szCs w:val="21"/>
        </w:rPr>
        <w:t>五</w:t>
      </w:r>
      <w:r>
        <w:rPr>
          <w:rFonts w:ascii="宋体" w:hAnsi="宋体"/>
          <w:b/>
          <w:szCs w:val="21"/>
        </w:rPr>
        <w:t>、</w:t>
      </w:r>
      <w:r>
        <w:rPr>
          <w:b/>
          <w:bCs/>
          <w:szCs w:val="21"/>
        </w:rPr>
        <w:t>包装、运输及风险负担</w:t>
      </w:r>
    </w:p>
    <w:p w14:paraId="3662CF8C">
      <w:pPr>
        <w:pStyle w:val="22"/>
        <w:numPr>
          <w:ilvl w:val="0"/>
          <w:numId w:val="4"/>
        </w:numPr>
        <w:snapToGrid w:val="0"/>
        <w:spacing w:before="119" w:line="331" w:lineRule="auto"/>
        <w:ind w:left="0" w:firstLine="480" w:firstLineChars="0"/>
        <w:rPr>
          <w:rFonts w:ascii="宋体" w:hAnsi="宋体"/>
          <w:color w:val="000000"/>
          <w:szCs w:val="21"/>
        </w:rPr>
      </w:pPr>
      <w:r>
        <w:rPr>
          <w:rFonts w:hint="eastAsia" w:ascii="宋体" w:hAnsi="宋体"/>
          <w:color w:val="000000"/>
          <w:szCs w:val="21"/>
        </w:rPr>
        <w:t>乙方的包装应符合国家或行业标准，如无相应的国家和行业标准，则由乙方按照通常包装方式进行包装，确保产品满足运输、装卸的需要。包装不回收。</w:t>
      </w:r>
    </w:p>
    <w:p w14:paraId="1C1DEA97">
      <w:pPr>
        <w:pStyle w:val="22"/>
        <w:numPr>
          <w:ilvl w:val="0"/>
          <w:numId w:val="4"/>
        </w:numPr>
        <w:snapToGrid w:val="0"/>
        <w:spacing w:before="119" w:line="331" w:lineRule="auto"/>
        <w:ind w:left="0" w:firstLine="480" w:firstLineChars="0"/>
        <w:rPr>
          <w:rFonts w:ascii="宋体" w:hAnsi="宋体" w:cs="宋体"/>
          <w:szCs w:val="21"/>
        </w:rPr>
      </w:pPr>
      <w:r>
        <w:rPr>
          <w:rFonts w:hint="eastAsia" w:ascii="宋体" w:hAnsi="宋体"/>
          <w:color w:val="000000"/>
          <w:szCs w:val="21"/>
        </w:rPr>
        <w:t>乙方负责货物的运输服务，并承担运输过程中的一切费用和风险。当货物交付甲方并经甲方验收合格前，所发生的一切风险均由乙方承担；货物交付甲方并经甲方验收合格后，所发生的一切风险则由甲方承担。</w:t>
      </w:r>
    </w:p>
    <w:p w14:paraId="23B0E96D">
      <w:pPr>
        <w:numPr>
          <w:ilvl w:val="255"/>
          <w:numId w:val="0"/>
        </w:numPr>
        <w:tabs>
          <w:tab w:val="left" w:pos="567"/>
          <w:tab w:val="left" w:pos="905"/>
        </w:tabs>
        <w:spacing w:line="360" w:lineRule="auto"/>
        <w:outlineLvl w:val="2"/>
        <w:rPr>
          <w:rFonts w:ascii="宋体" w:hAnsi="宋体" w:cs="宋体"/>
          <w:b/>
          <w:szCs w:val="21"/>
        </w:rPr>
      </w:pPr>
      <w:r>
        <w:rPr>
          <w:rFonts w:hint="eastAsia" w:asciiTheme="minorEastAsia" w:hAnsiTheme="minorEastAsia" w:eastAsiaTheme="minorEastAsia"/>
          <w:b/>
          <w:color w:val="000000"/>
          <w:szCs w:val="21"/>
        </w:rPr>
        <w:t>六、质量条款及</w:t>
      </w:r>
      <w:r>
        <w:rPr>
          <w:rFonts w:hint="eastAsia" w:ascii="宋体" w:hAnsi="宋体" w:cs="宋体"/>
          <w:b/>
          <w:szCs w:val="21"/>
        </w:rPr>
        <w:t>售后服务要求</w:t>
      </w:r>
    </w:p>
    <w:p w14:paraId="38435773">
      <w:pPr>
        <w:numPr>
          <w:ilvl w:val="255"/>
          <w:numId w:val="0"/>
        </w:numPr>
        <w:tabs>
          <w:tab w:val="left" w:pos="567"/>
          <w:tab w:val="left" w:pos="905"/>
        </w:tabs>
        <w:spacing w:line="360" w:lineRule="auto"/>
        <w:outlineLvl w:val="2"/>
        <w:rPr>
          <w:rFonts w:ascii="宋体" w:hAnsi="宋体" w:cs="宋体"/>
          <w:b/>
          <w:szCs w:val="21"/>
        </w:rPr>
      </w:pPr>
      <w:r>
        <w:rPr>
          <w:rFonts w:hint="eastAsia" w:ascii="宋体" w:hAnsi="宋体" w:cs="宋体"/>
          <w:b/>
          <w:szCs w:val="21"/>
        </w:rPr>
        <w:t xml:space="preserve">  </w:t>
      </w:r>
      <w:r>
        <w:rPr>
          <w:rFonts w:hint="eastAsia" w:ascii="宋体" w:hAnsi="宋体" w:cs="宋体"/>
          <w:b w:val="0"/>
          <w:szCs w:val="21"/>
        </w:rPr>
        <w:t xml:space="preserve">  1. 本合同对货物规格和质量标准有约定的，依照合同约定执行；没有约定或者约定不明确的，应按照国家或行业有关标准、乙方官网产品介绍、用户手册（如有）等执行；没有国家或行业标准、产品规格和质量标准的，双方应另行协商处理。</w:t>
      </w:r>
    </w:p>
    <w:p w14:paraId="3804DE7C">
      <w:pPr>
        <w:autoSpaceDE w:val="0"/>
        <w:autoSpaceDN w:val="0"/>
        <w:adjustRightInd w:val="0"/>
        <w:snapToGrid w:val="0"/>
        <w:spacing w:line="360" w:lineRule="auto"/>
        <w:ind w:firstLine="426"/>
        <w:rPr>
          <w:rFonts w:ascii="宋体" w:hAnsi="宋体" w:cs="宋体"/>
          <w:szCs w:val="21"/>
        </w:rPr>
      </w:pPr>
      <w:r>
        <w:rPr>
          <w:rFonts w:hint="eastAsia" w:ascii="宋体" w:hAnsi="宋体" w:cs="宋体"/>
          <w:szCs w:val="21"/>
        </w:rPr>
        <w:t>2.本合同的质量保证期（简称“质保期”）___个月，质保期自货物验收合格之日起算，质保期内乙方对所供货物实行包修、包换、包退、包维护保养，期满后应甲方要求应提供终身维修保养服务，设备正常的易损件消耗除外。</w:t>
      </w:r>
    </w:p>
    <w:p w14:paraId="6948A0DA">
      <w:pPr>
        <w:autoSpaceDE w:val="0"/>
        <w:autoSpaceDN w:val="0"/>
        <w:adjustRightInd w:val="0"/>
        <w:snapToGrid w:val="0"/>
        <w:spacing w:line="360" w:lineRule="auto"/>
        <w:ind w:firstLine="426"/>
        <w:rPr>
          <w:rFonts w:ascii="宋体" w:hAnsi="宋体" w:cs="宋体"/>
          <w:szCs w:val="21"/>
        </w:rPr>
      </w:pPr>
      <w:r>
        <w:rPr>
          <w:rFonts w:hint="eastAsia" w:ascii="宋体" w:hAnsi="宋体" w:cs="宋体"/>
          <w:szCs w:val="21"/>
        </w:rPr>
        <w:t>3</w:t>
      </w:r>
      <w:r>
        <w:rPr>
          <w:rFonts w:ascii="宋体" w:hAnsi="宋体" w:cs="宋体"/>
          <w:szCs w:val="21"/>
        </w:rPr>
        <w:t>.</w:t>
      </w:r>
      <w:r>
        <w:rPr>
          <w:rFonts w:hint="eastAsia" w:ascii="宋体" w:hAnsi="宋体" w:cs="宋体"/>
          <w:szCs w:val="21"/>
        </w:rPr>
        <w:t>质保期内，如设备或零部件非因人为因素出现故障而影响正常使用的，自恢复正常使用后，质保期和免费维修保养期相应顺延，为免纠纷，双方可对顺延期限进行书面确认。</w:t>
      </w:r>
    </w:p>
    <w:p w14:paraId="364EA4CA">
      <w:pPr>
        <w:autoSpaceDE w:val="0"/>
        <w:autoSpaceDN w:val="0"/>
        <w:adjustRightInd w:val="0"/>
        <w:snapToGrid w:val="0"/>
        <w:spacing w:line="360" w:lineRule="auto"/>
        <w:ind w:firstLine="426"/>
        <w:rPr>
          <w:rFonts w:ascii="宋体" w:hAnsi="宋体" w:cs="宋体"/>
          <w:szCs w:val="21"/>
        </w:rPr>
      </w:pPr>
      <w:r>
        <w:rPr>
          <w:rFonts w:hint="eastAsia" w:ascii="宋体" w:hAnsi="宋体" w:cs="宋体"/>
          <w:szCs w:val="21"/>
        </w:rPr>
        <w:t>4</w:t>
      </w:r>
      <w:r>
        <w:rPr>
          <w:rFonts w:ascii="宋体" w:hAnsi="宋体" w:cs="宋体"/>
          <w:szCs w:val="21"/>
        </w:rPr>
        <w:t>.</w:t>
      </w:r>
      <w:r>
        <w:rPr>
          <w:rFonts w:hint="eastAsia" w:ascii="宋体" w:hAnsi="宋体" w:cs="宋体"/>
          <w:szCs w:val="21"/>
        </w:rPr>
        <w:t>对甲方的服务通知，乙方在接报后1小时内响应，4小时内到达现场，48小时内处理完毕。若在接报后48小时内仍未能有效解决，乙方须免费提供同档次的设备予甲方临时使用。上述问题在接报后10日内无法解决或故障无法排除的，甲方有权选择退货或者更换，如甲方选择退货，乙方应当自甲方提出书面要求之日起7日内将甲方已支付的货款全部退还给甲方；如甲方选择更换，乙方应当在甲方提出书面要求之日起7日内完成货物更换工作，乙方未在</w:t>
      </w:r>
      <w:r>
        <w:rPr>
          <w:rFonts w:hint="eastAsia" w:ascii="宋体" w:hAnsi="宋体" w:cs="宋体" w:eastAsiaTheme="minorEastAsia"/>
          <w:szCs w:val="21"/>
        </w:rPr>
        <w:t>指定</w:t>
      </w:r>
      <w:r>
        <w:rPr>
          <w:rFonts w:hint="eastAsia" w:ascii="宋体" w:hAnsi="宋体" w:cs="宋体"/>
          <w:szCs w:val="21"/>
        </w:rPr>
        <w:t>限期内更换的，甲方仍有权选择退货。若乙方售后</w:t>
      </w:r>
      <w:r>
        <w:rPr>
          <w:rFonts w:ascii="宋体" w:hAnsi="宋体" w:cs="宋体"/>
          <w:szCs w:val="21"/>
        </w:rPr>
        <w:t>服务中承诺的时间</w:t>
      </w:r>
      <w:r>
        <w:rPr>
          <w:rFonts w:hint="eastAsia" w:ascii="宋体" w:hAnsi="宋体" w:cs="宋体"/>
          <w:szCs w:val="21"/>
        </w:rPr>
        <w:t>较</w:t>
      </w:r>
      <w:r>
        <w:rPr>
          <w:rFonts w:ascii="宋体" w:hAnsi="宋体" w:cs="宋体"/>
          <w:szCs w:val="21"/>
        </w:rPr>
        <w:t>前述时间短的，则以乙方承诺的时间为准。</w:t>
      </w:r>
    </w:p>
    <w:p w14:paraId="56806D5D">
      <w:pPr>
        <w:tabs>
          <w:tab w:val="left" w:pos="5812"/>
        </w:tabs>
        <w:autoSpaceDE w:val="0"/>
        <w:autoSpaceDN w:val="0"/>
        <w:adjustRightInd w:val="0"/>
        <w:snapToGrid w:val="0"/>
        <w:spacing w:line="360" w:lineRule="auto"/>
        <w:ind w:firstLine="420" w:firstLineChars="200"/>
        <w:rPr>
          <w:rFonts w:ascii="宋体" w:hAnsi="宋体" w:cs="宋体"/>
          <w:szCs w:val="21"/>
        </w:rPr>
      </w:pPr>
      <w:r>
        <w:rPr>
          <w:rFonts w:hint="eastAsia" w:ascii="宋体" w:hAnsi="宋体" w:cs="宋体" w:eastAsiaTheme="minorEastAsia"/>
          <w:szCs w:val="21"/>
          <w:highlight w:val="yellow"/>
          <w:lang w:val="en-US" w:eastAsia="zh-CN"/>
        </w:rPr>
        <w:t>5.</w:t>
      </w:r>
      <w:r>
        <w:rPr>
          <w:rFonts w:hint="eastAsia" w:ascii="宋体" w:hAnsi="宋体" w:cs="宋体" w:eastAsiaTheme="minorEastAsia"/>
          <w:szCs w:val="21"/>
          <w:highlight w:val="yellow"/>
        </w:rPr>
        <w:t>国产设备交付验收时必须确保设备配有铭牌，铭牌信息包括但不限于设备名称、型号、出厂号、出厂日期、生产地址（XX省XX市）以及生产厂家全称。</w:t>
      </w:r>
    </w:p>
    <w:p w14:paraId="574DB41A">
      <w:pPr>
        <w:tabs>
          <w:tab w:val="left" w:pos="425"/>
          <w:tab w:val="left" w:pos="480"/>
        </w:tabs>
        <w:spacing w:line="480" w:lineRule="auto"/>
        <w:outlineLvl w:val="2"/>
        <w:rPr>
          <w:rFonts w:ascii="宋体" w:hAnsi="宋体" w:cs="宋体"/>
          <w:b/>
          <w:szCs w:val="21"/>
        </w:rPr>
      </w:pPr>
      <w:r>
        <w:rPr>
          <w:rFonts w:hint="eastAsia" w:ascii="宋体" w:hAnsi="宋体"/>
          <w:b/>
          <w:sz w:val="24"/>
        </w:rPr>
        <w:t>七、</w:t>
      </w:r>
      <w:r>
        <w:rPr>
          <w:rFonts w:ascii="宋体" w:hAnsi="宋体"/>
          <w:b/>
          <w:sz w:val="24"/>
        </w:rPr>
        <w:t>检验和验收</w:t>
      </w:r>
    </w:p>
    <w:p w14:paraId="5D4F74D7">
      <w:pPr>
        <w:numPr>
          <w:ilvl w:val="0"/>
          <w:numId w:val="5"/>
        </w:numPr>
        <w:spacing w:line="360" w:lineRule="exact"/>
        <w:ind w:firstLine="420" w:firstLineChars="200"/>
        <w:rPr>
          <w:szCs w:val="21"/>
        </w:rPr>
      </w:pPr>
      <w:r>
        <w:rPr>
          <w:rFonts w:hint="eastAsia"/>
          <w:szCs w:val="21"/>
        </w:rPr>
        <w:t>乙方应当出具货物的合格证书、出厂检测报告，提供原材料质量检测报告（如有）。进口货物</w:t>
      </w:r>
      <w:r>
        <w:rPr>
          <w:rFonts w:hint="eastAsia" w:ascii="宋体" w:cs="宋体"/>
          <w:szCs w:val="21"/>
        </w:rPr>
        <w:t>必须具备原产地证明和商检局的检验证明及合法进货渠道证明。甲方有权要求乙方提供进口货物的报关单（如有适用）。</w:t>
      </w:r>
      <w:r>
        <w:rPr>
          <w:rFonts w:hint="eastAsia"/>
          <w:szCs w:val="21"/>
        </w:rPr>
        <w:t>乙方未提供上述资料的，甲方有权拒绝接收货物。</w:t>
      </w:r>
    </w:p>
    <w:p w14:paraId="42BB8F59">
      <w:pPr>
        <w:numPr>
          <w:ilvl w:val="0"/>
          <w:numId w:val="5"/>
        </w:numPr>
        <w:spacing w:line="360" w:lineRule="exact"/>
        <w:ind w:firstLine="420" w:firstLineChars="200"/>
        <w:rPr>
          <w:szCs w:val="21"/>
        </w:rPr>
      </w:pPr>
      <w:r>
        <w:rPr>
          <w:rFonts w:hint="eastAsia"/>
          <w:szCs w:val="21"/>
        </w:rPr>
        <w:t>甲方应当在货物交付时对货物的生产厂家、规格型号、数量、外观包装当场查验核实，并将验收情况在发货单上记录签字。对货物有异议的，甲方有权当场拒收。甲方也可在收到货物后</w:t>
      </w:r>
      <w:r>
        <w:rPr>
          <w:rFonts w:hint="eastAsia"/>
          <w:szCs w:val="21"/>
          <w:u w:val="single"/>
        </w:rPr>
        <w:t xml:space="preserve">     ____</w:t>
      </w:r>
      <w:r>
        <w:rPr>
          <w:rFonts w:hint="eastAsia"/>
          <w:szCs w:val="21"/>
        </w:rPr>
        <w:t>日内就前述验收情况向乙方提出书面异议，经双方核实确属乙方责任的，甲方有权退货。</w:t>
      </w:r>
    </w:p>
    <w:p w14:paraId="216218D3">
      <w:pPr>
        <w:numPr>
          <w:ilvl w:val="0"/>
          <w:numId w:val="5"/>
        </w:numPr>
        <w:adjustRightInd w:val="0"/>
        <w:snapToGrid w:val="0"/>
        <w:spacing w:line="360" w:lineRule="exact"/>
        <w:ind w:firstLine="420" w:firstLineChars="200"/>
        <w:rPr>
          <w:bCs/>
          <w:szCs w:val="21"/>
        </w:rPr>
      </w:pPr>
      <w:r>
        <w:rPr>
          <w:bCs/>
          <w:szCs w:val="21"/>
        </w:rPr>
        <w:t>甲方应在</w:t>
      </w:r>
      <w:r>
        <w:rPr>
          <w:rFonts w:hint="eastAsia"/>
          <w:bCs/>
          <w:szCs w:val="21"/>
        </w:rPr>
        <w:t>收到货物后</w:t>
      </w:r>
      <w:r>
        <w:rPr>
          <w:rFonts w:hint="eastAsia"/>
          <w:szCs w:val="21"/>
          <w:u w:val="single"/>
        </w:rPr>
        <w:t>____</w:t>
      </w:r>
      <w:r>
        <w:rPr>
          <w:bCs/>
          <w:szCs w:val="21"/>
        </w:rPr>
        <w:t>日内</w:t>
      </w:r>
      <w:r>
        <w:rPr>
          <w:rFonts w:hint="eastAsia"/>
          <w:bCs/>
          <w:szCs w:val="21"/>
        </w:rPr>
        <w:t>组织乙方</w:t>
      </w:r>
      <w:r>
        <w:rPr>
          <w:bCs/>
          <w:szCs w:val="21"/>
        </w:rPr>
        <w:t>对</w:t>
      </w:r>
      <w:r>
        <w:rPr>
          <w:rFonts w:hint="eastAsia"/>
          <w:bCs/>
          <w:szCs w:val="21"/>
        </w:rPr>
        <w:t>货物进行安装、调试</w:t>
      </w:r>
      <w:r>
        <w:rPr>
          <w:rFonts w:hint="eastAsia"/>
          <w:bCs/>
          <w:szCs w:val="21"/>
          <w:highlight w:val="yellow"/>
          <w:lang w:eastAsia="zh-CN"/>
        </w:rPr>
        <w:t>、</w:t>
      </w:r>
      <w:r>
        <w:rPr>
          <w:rFonts w:hint="eastAsia"/>
          <w:bCs/>
          <w:szCs w:val="21"/>
          <w:highlight w:val="yellow"/>
          <w:lang w:val="en-US" w:eastAsia="zh-CN"/>
        </w:rPr>
        <w:t>验收</w:t>
      </w:r>
      <w:r>
        <w:rPr>
          <w:rFonts w:hint="eastAsia"/>
          <w:bCs/>
          <w:szCs w:val="21"/>
        </w:rPr>
        <w:t>。乙方应在甲方指定期限内到场共同对</w:t>
      </w:r>
      <w:r>
        <w:rPr>
          <w:bCs/>
          <w:szCs w:val="21"/>
        </w:rPr>
        <w:t>质量、性能等指标</w:t>
      </w:r>
      <w:r>
        <w:rPr>
          <w:rFonts w:hint="eastAsia"/>
          <w:bCs/>
          <w:szCs w:val="21"/>
        </w:rPr>
        <w:t>进行</w:t>
      </w:r>
      <w:r>
        <w:rPr>
          <w:bCs/>
          <w:szCs w:val="21"/>
        </w:rPr>
        <w:t>验收</w:t>
      </w:r>
      <w:r>
        <w:rPr>
          <w:rFonts w:hint="eastAsia"/>
          <w:bCs/>
          <w:szCs w:val="21"/>
        </w:rPr>
        <w:t>。甲方对货物质量、性能等指标有</w:t>
      </w:r>
      <w:r>
        <w:rPr>
          <w:bCs/>
          <w:szCs w:val="21"/>
        </w:rPr>
        <w:t>异议</w:t>
      </w:r>
      <w:r>
        <w:rPr>
          <w:rFonts w:hint="eastAsia"/>
          <w:bCs/>
          <w:szCs w:val="21"/>
        </w:rPr>
        <w:t>的</w:t>
      </w:r>
      <w:r>
        <w:rPr>
          <w:bCs/>
          <w:szCs w:val="21"/>
        </w:rPr>
        <w:t>，甲方应妥善保管货物，并在</w:t>
      </w:r>
      <w:r>
        <w:rPr>
          <w:rFonts w:hint="eastAsia"/>
          <w:bCs/>
          <w:szCs w:val="21"/>
        </w:rPr>
        <w:t>合理期限内</w:t>
      </w:r>
      <w:r>
        <w:rPr>
          <w:bCs/>
          <w:szCs w:val="21"/>
        </w:rPr>
        <w:t>提出书面异议。</w:t>
      </w:r>
    </w:p>
    <w:p w14:paraId="35FA934A">
      <w:pPr>
        <w:pStyle w:val="22"/>
        <w:numPr>
          <w:ilvl w:val="0"/>
          <w:numId w:val="5"/>
        </w:numPr>
        <w:autoSpaceDE w:val="0"/>
        <w:autoSpaceDN w:val="0"/>
        <w:adjustRightInd w:val="0"/>
        <w:snapToGrid w:val="0"/>
        <w:spacing w:line="360" w:lineRule="auto"/>
        <w:ind w:firstLine="420"/>
        <w:rPr>
          <w:rFonts w:ascii="宋体" w:hAnsi="宋体" w:cs="宋体"/>
          <w:szCs w:val="21"/>
        </w:rPr>
      </w:pPr>
      <w:r>
        <w:rPr>
          <w:rFonts w:hint="eastAsia" w:ascii="宋体" w:hAnsi="宋体" w:cs="宋体" w:eastAsiaTheme="minorEastAsia"/>
          <w:szCs w:val="21"/>
        </w:rPr>
        <w:t>若甲方认为货物存在质量问题，应与乙方共同在广东法院司法鉴定网公布的鉴定机构名单中选择一家有资质的机构对货物质量进行鉴定，无法在甲方指定期限内作出共同选择，或者乙方拒不选择的，甲方可单方选择一家作为鉴定机构，该鉴定机构出具的鉴定报告对双方均具有法律约束力。如果鉴定报告认定货物质量符合合同约定，鉴定费由甲方负担，如不符合合同约定，甲方有权解除合同，且鉴定费由乙方负担。</w:t>
      </w:r>
    </w:p>
    <w:p w14:paraId="7F34CFD5">
      <w:pPr>
        <w:tabs>
          <w:tab w:val="left" w:pos="5812"/>
        </w:tabs>
        <w:autoSpaceDE w:val="0"/>
        <w:autoSpaceDN w:val="0"/>
        <w:adjustRightInd w:val="0"/>
        <w:snapToGrid w:val="0"/>
        <w:spacing w:line="360" w:lineRule="auto"/>
        <w:rPr>
          <w:rFonts w:ascii="宋体" w:hAnsi="宋体" w:cs="宋体"/>
          <w:b/>
          <w:szCs w:val="21"/>
        </w:rPr>
      </w:pPr>
      <w:r>
        <w:rPr>
          <w:rFonts w:hint="eastAsia" w:ascii="宋体" w:hAnsi="宋体" w:cs="宋体"/>
          <w:b/>
          <w:szCs w:val="21"/>
        </w:rPr>
        <w:t>八</w:t>
      </w:r>
      <w:r>
        <w:rPr>
          <w:rFonts w:ascii="宋体" w:hAnsi="宋体" w:cs="宋体"/>
          <w:b/>
          <w:szCs w:val="21"/>
        </w:rPr>
        <w:t>、</w:t>
      </w:r>
      <w:r>
        <w:rPr>
          <w:rFonts w:hint="eastAsia" w:ascii="宋体" w:hAnsi="宋体" w:cs="宋体"/>
          <w:b/>
          <w:szCs w:val="21"/>
        </w:rPr>
        <w:t>违约责任与赔偿损失</w:t>
      </w:r>
    </w:p>
    <w:p w14:paraId="6BDF55B3">
      <w:pPr>
        <w:adjustRightInd w:val="0"/>
        <w:snapToGrid w:val="0"/>
        <w:spacing w:line="360" w:lineRule="exact"/>
        <w:ind w:firstLine="420" w:firstLineChars="200"/>
        <w:rPr>
          <w:bCs/>
          <w:szCs w:val="21"/>
        </w:rPr>
      </w:pPr>
      <w:r>
        <w:rPr>
          <w:rFonts w:hint="eastAsia" w:ascii="宋体" w:hAnsi="宋体"/>
          <w:szCs w:val="21"/>
        </w:rPr>
        <w:t xml:space="preserve">1. </w:t>
      </w:r>
      <w:r>
        <w:rPr>
          <w:rFonts w:ascii="宋体" w:hAnsi="宋体"/>
          <w:szCs w:val="21"/>
        </w:rPr>
        <w:t>乙方逾期交付货物</w:t>
      </w:r>
      <w:r>
        <w:rPr>
          <w:rFonts w:hint="eastAsia" w:ascii="宋体" w:hAnsi="宋体"/>
          <w:szCs w:val="21"/>
        </w:rPr>
        <w:t>或</w:t>
      </w:r>
      <w:r>
        <w:rPr>
          <w:rFonts w:ascii="宋体" w:hAnsi="宋体"/>
          <w:szCs w:val="21"/>
        </w:rPr>
        <w:t>逾期履行义务的，每逾期1天，乙方向甲方偿付货款总额的</w:t>
      </w:r>
      <w:r>
        <w:rPr>
          <w:rFonts w:hint="eastAsia" w:ascii="宋体" w:hAnsi="宋体"/>
          <w:szCs w:val="21"/>
        </w:rPr>
        <w:t>【3】</w:t>
      </w:r>
      <w:r>
        <w:rPr>
          <w:rFonts w:ascii="宋体" w:hAnsi="宋体"/>
          <w:szCs w:val="21"/>
        </w:rPr>
        <w:t>‰的滞纳金</w:t>
      </w:r>
      <w:r>
        <w:rPr>
          <w:rFonts w:hint="eastAsia" w:ascii="宋体" w:hAnsi="宋体"/>
          <w:szCs w:val="21"/>
        </w:rPr>
        <w:t>，甲方有权在应付款中扣除。如乙方逾期交货或</w:t>
      </w:r>
      <w:r>
        <w:rPr>
          <w:rFonts w:ascii="宋体" w:hAnsi="宋体"/>
          <w:szCs w:val="21"/>
        </w:rPr>
        <w:t>逾期履行义务</w:t>
      </w:r>
      <w:r>
        <w:rPr>
          <w:rFonts w:hint="eastAsia" w:ascii="宋体" w:hAnsi="宋体"/>
          <w:szCs w:val="21"/>
        </w:rPr>
        <w:t>达</w:t>
      </w:r>
      <w:r>
        <w:rPr>
          <w:rFonts w:hint="eastAsia" w:ascii="宋体" w:hAnsi="宋体"/>
          <w:szCs w:val="21"/>
          <w:u w:val="single"/>
        </w:rPr>
        <w:t xml:space="preserve"> </w:t>
      </w:r>
      <w:r>
        <w:rPr>
          <w:rFonts w:ascii="宋体" w:hAnsi="宋体"/>
          <w:szCs w:val="21"/>
          <w:u w:val="single"/>
        </w:rPr>
        <w:t>15</w:t>
      </w:r>
      <w:r>
        <w:rPr>
          <w:rFonts w:hint="eastAsia" w:ascii="宋体" w:hAnsi="宋体"/>
          <w:szCs w:val="21"/>
          <w:u w:val="single"/>
        </w:rPr>
        <w:t xml:space="preserve"> </w:t>
      </w:r>
      <w:r>
        <w:rPr>
          <w:rFonts w:hint="eastAsia" w:ascii="宋体" w:hAnsi="宋体"/>
          <w:szCs w:val="21"/>
        </w:rPr>
        <w:t>天以上</w:t>
      </w:r>
      <w:r>
        <w:rPr>
          <w:rFonts w:ascii="宋体" w:hAnsi="宋体"/>
          <w:szCs w:val="21"/>
        </w:rPr>
        <w:t>（</w:t>
      </w:r>
      <w:r>
        <w:rPr>
          <w:rFonts w:hint="eastAsia" w:ascii="宋体" w:hAnsi="宋体"/>
          <w:szCs w:val="21"/>
        </w:rPr>
        <w:t>含15天</w:t>
      </w:r>
      <w:r>
        <w:rPr>
          <w:rFonts w:ascii="宋体" w:hAnsi="宋体"/>
          <w:szCs w:val="21"/>
        </w:rPr>
        <w:t>）</w:t>
      </w:r>
      <w:r>
        <w:rPr>
          <w:rFonts w:hint="eastAsia" w:ascii="宋体" w:hAnsi="宋体"/>
          <w:szCs w:val="21"/>
        </w:rPr>
        <w:t>，甲方有权解除合同，履约保证金不予退回（若有），同时乙方应向甲方支付合同总价</w:t>
      </w:r>
      <w:commentRangeStart w:id="3"/>
      <w:r>
        <w:rPr>
          <w:rFonts w:hint="eastAsia" w:ascii="宋体" w:hAnsi="宋体"/>
          <w:szCs w:val="21"/>
        </w:rPr>
        <w:t>【  】％</w:t>
      </w:r>
      <w:commentRangeEnd w:id="3"/>
      <w:r>
        <w:commentReference w:id="3"/>
      </w:r>
      <w:r>
        <w:rPr>
          <w:rFonts w:hint="eastAsia" w:ascii="宋体" w:hAnsi="宋体"/>
          <w:szCs w:val="21"/>
        </w:rPr>
        <w:t>的违约金。</w:t>
      </w:r>
    </w:p>
    <w:p w14:paraId="4524094D">
      <w:pPr>
        <w:adjustRightInd w:val="0"/>
        <w:snapToGrid w:val="0"/>
        <w:spacing w:line="360" w:lineRule="exact"/>
        <w:ind w:firstLine="420" w:firstLineChars="200"/>
        <w:rPr>
          <w:bCs/>
          <w:szCs w:val="21"/>
        </w:rPr>
      </w:pPr>
      <w:r>
        <w:rPr>
          <w:rFonts w:hint="eastAsia"/>
          <w:bCs/>
          <w:szCs w:val="21"/>
        </w:rPr>
        <w:t xml:space="preserve">2. </w:t>
      </w:r>
      <w:r>
        <w:rPr>
          <w:bCs/>
          <w:szCs w:val="21"/>
        </w:rPr>
        <w:t>甲乙双方任何一方未按合同</w:t>
      </w:r>
      <w:r>
        <w:rPr>
          <w:rFonts w:hint="eastAsia"/>
          <w:bCs/>
          <w:szCs w:val="21"/>
        </w:rPr>
        <w:t>约定的</w:t>
      </w:r>
      <w:r>
        <w:rPr>
          <w:bCs/>
          <w:szCs w:val="21"/>
        </w:rPr>
        <w:t>条款</w:t>
      </w:r>
      <w:r>
        <w:rPr>
          <w:rFonts w:hint="eastAsia"/>
          <w:bCs/>
          <w:szCs w:val="21"/>
        </w:rPr>
        <w:t>履行，经守约方催告后仍未履行的</w:t>
      </w:r>
      <w:r>
        <w:rPr>
          <w:bCs/>
          <w:szCs w:val="21"/>
        </w:rPr>
        <w:t>即视为违约，</w:t>
      </w:r>
      <w:r>
        <w:rPr>
          <w:rFonts w:hint="eastAsia"/>
          <w:bCs/>
          <w:szCs w:val="21"/>
        </w:rPr>
        <w:t>守约方有权要求解除合同，</w:t>
      </w:r>
      <w:r>
        <w:rPr>
          <w:bCs/>
          <w:szCs w:val="21"/>
        </w:rPr>
        <w:t>违约方</w:t>
      </w:r>
      <w:r>
        <w:rPr>
          <w:rFonts w:hint="eastAsia"/>
          <w:bCs/>
          <w:szCs w:val="21"/>
        </w:rPr>
        <w:t>须向守约方</w:t>
      </w:r>
      <w:r>
        <w:rPr>
          <w:bCs/>
          <w:szCs w:val="21"/>
        </w:rPr>
        <w:t>支付合同额</w:t>
      </w:r>
      <w:commentRangeStart w:id="4"/>
      <w:r>
        <w:rPr>
          <w:rFonts w:hint="eastAsia" w:ascii="宋体" w:hAnsi="宋体"/>
          <w:szCs w:val="21"/>
        </w:rPr>
        <w:t>【</w:t>
      </w:r>
      <w:r>
        <w:rPr>
          <w:rFonts w:hint="eastAsia" w:ascii="宋体" w:hAnsi="宋体"/>
          <w:szCs w:val="21"/>
          <w:u w:val="single"/>
        </w:rPr>
        <w:t xml:space="preserve">    </w:t>
      </w:r>
      <w:r>
        <w:rPr>
          <w:rFonts w:hint="eastAsia" w:ascii="宋体" w:hAnsi="宋体"/>
          <w:szCs w:val="21"/>
        </w:rPr>
        <w:t>】</w:t>
      </w:r>
      <w:r>
        <w:rPr>
          <w:bCs/>
          <w:szCs w:val="21"/>
        </w:rPr>
        <w:t>%</w:t>
      </w:r>
      <w:commentRangeEnd w:id="4"/>
      <w:r>
        <w:commentReference w:id="4"/>
      </w:r>
      <w:r>
        <w:rPr>
          <w:bCs/>
          <w:szCs w:val="21"/>
        </w:rPr>
        <w:t>的违约金。</w:t>
      </w:r>
    </w:p>
    <w:p w14:paraId="2C44F604">
      <w:pPr>
        <w:spacing w:line="360" w:lineRule="auto"/>
        <w:jc w:val="left"/>
        <w:rPr>
          <w:b/>
          <w:szCs w:val="21"/>
        </w:rPr>
      </w:pPr>
      <w:r>
        <w:rPr>
          <w:rFonts w:hint="eastAsia"/>
          <w:b/>
          <w:szCs w:val="21"/>
        </w:rPr>
        <w:t>九</w:t>
      </w:r>
      <w:r>
        <w:rPr>
          <w:b/>
          <w:szCs w:val="21"/>
        </w:rPr>
        <w:t>、</w:t>
      </w:r>
      <w:r>
        <w:rPr>
          <w:rFonts w:hint="eastAsia"/>
          <w:b/>
          <w:szCs w:val="21"/>
        </w:rPr>
        <w:t>合同的变更和终止</w:t>
      </w:r>
    </w:p>
    <w:p w14:paraId="2E6865B9">
      <w:pPr>
        <w:tabs>
          <w:tab w:val="left" w:pos="425"/>
        </w:tabs>
        <w:autoSpaceDE w:val="0"/>
        <w:autoSpaceDN w:val="0"/>
        <w:adjustRightInd w:val="0"/>
        <w:snapToGrid w:val="0"/>
        <w:spacing w:line="360" w:lineRule="auto"/>
        <w:ind w:firstLine="420" w:firstLineChars="200"/>
        <w:rPr>
          <w:rFonts w:ascii="宋体" w:hAnsi="宋体"/>
          <w:szCs w:val="21"/>
        </w:rPr>
      </w:pPr>
      <w:r>
        <w:rPr>
          <w:rFonts w:hint="eastAsia" w:ascii="宋体" w:hAnsi="宋体"/>
          <w:szCs w:val="21"/>
        </w:rPr>
        <w:t>除《中华人民共和国政府采购法》第４９条、第５０条第二款规定的情形外，本合同一经签订，甲乙双方不得擅自变更、中止或终止合同。</w:t>
      </w:r>
    </w:p>
    <w:p w14:paraId="5F7D49F6">
      <w:pPr>
        <w:tabs>
          <w:tab w:val="left" w:pos="425"/>
        </w:tabs>
        <w:autoSpaceDE w:val="0"/>
        <w:autoSpaceDN w:val="0"/>
        <w:adjustRightInd w:val="0"/>
        <w:snapToGrid w:val="0"/>
        <w:spacing w:line="360" w:lineRule="auto"/>
        <w:rPr>
          <w:rFonts w:ascii="宋体" w:hAnsi="宋体" w:cs="宋体"/>
          <w:b/>
          <w:szCs w:val="21"/>
        </w:rPr>
      </w:pPr>
      <w:r>
        <w:rPr>
          <w:rFonts w:hint="eastAsia" w:ascii="宋体" w:hAnsi="宋体" w:cs="宋体"/>
          <w:b/>
          <w:szCs w:val="21"/>
        </w:rPr>
        <w:t>十</w:t>
      </w:r>
      <w:r>
        <w:rPr>
          <w:rFonts w:ascii="宋体" w:hAnsi="宋体" w:cs="宋体"/>
          <w:b/>
          <w:szCs w:val="21"/>
        </w:rPr>
        <w:t>、</w:t>
      </w:r>
      <w:r>
        <w:rPr>
          <w:rFonts w:hint="eastAsia" w:ascii="宋体" w:hAnsi="宋体" w:cs="宋体"/>
          <w:b/>
          <w:szCs w:val="21"/>
        </w:rPr>
        <w:t>争议的解决</w:t>
      </w:r>
    </w:p>
    <w:p w14:paraId="023BF01C">
      <w:pPr>
        <w:pStyle w:val="22"/>
        <w:tabs>
          <w:tab w:val="left" w:pos="905"/>
        </w:tabs>
        <w:spacing w:line="360" w:lineRule="auto"/>
        <w:ind w:firstLine="478" w:firstLineChars="228"/>
        <w:jc w:val="left"/>
        <w:rPr>
          <w:rFonts w:ascii="宋体" w:hAnsi="宋体"/>
          <w:szCs w:val="21"/>
        </w:rPr>
      </w:pPr>
      <w:r>
        <w:rPr>
          <w:rFonts w:hint="eastAsia" w:ascii="宋体" w:hAnsi="宋体"/>
          <w:szCs w:val="21"/>
        </w:rPr>
        <w:t>1、因货物的质量问题发生争议的，应按本合同第七条第</w:t>
      </w:r>
      <w:r>
        <w:rPr>
          <w:rFonts w:hint="eastAsia" w:ascii="宋体" w:hAnsi="宋体"/>
          <w:szCs w:val="21"/>
          <w:lang w:val="en-US" w:eastAsia="zh-CN"/>
        </w:rPr>
        <w:t>4</w:t>
      </w:r>
      <w:r>
        <w:rPr>
          <w:rFonts w:hint="eastAsia" w:ascii="宋体" w:hAnsi="宋体"/>
          <w:szCs w:val="21"/>
        </w:rPr>
        <w:t>款处理。</w:t>
      </w:r>
    </w:p>
    <w:p w14:paraId="7258BA44">
      <w:pPr>
        <w:pStyle w:val="22"/>
        <w:tabs>
          <w:tab w:val="left" w:pos="824"/>
          <w:tab w:val="left" w:pos="905"/>
        </w:tabs>
        <w:snapToGrid w:val="0"/>
        <w:spacing w:beforeLines="50" w:afterLines="50" w:line="360" w:lineRule="auto"/>
        <w:ind w:firstLine="478" w:firstLineChars="228"/>
      </w:pPr>
      <w:r>
        <w:rPr>
          <w:rFonts w:hint="eastAsia" w:ascii="宋体" w:hAnsi="宋体"/>
          <w:szCs w:val="21"/>
        </w:rPr>
        <w:t>2、因履行本合同引起的或与本合同有关的争议，甲、乙双方应首先通过友好协商解决，如果协商不能解决争议，则向</w:t>
      </w:r>
      <w:r>
        <w:rPr>
          <w:rFonts w:hint="eastAsia"/>
        </w:rPr>
        <w:t>深圳</w:t>
      </w:r>
      <w:r>
        <w:t>国际仲裁</w:t>
      </w:r>
      <w:r>
        <w:rPr>
          <w:rFonts w:hint="eastAsia"/>
        </w:rPr>
        <w:t>院申请</w:t>
      </w:r>
      <w:r>
        <w:t>仲裁。</w:t>
      </w:r>
    </w:p>
    <w:p w14:paraId="3A111FAD">
      <w:pPr>
        <w:pStyle w:val="22"/>
        <w:tabs>
          <w:tab w:val="left" w:pos="824"/>
          <w:tab w:val="left" w:pos="905"/>
        </w:tabs>
        <w:spacing w:line="360" w:lineRule="auto"/>
        <w:ind w:firstLine="0" w:firstLineChars="0"/>
        <w:rPr>
          <w:b/>
          <w:bCs/>
          <w:szCs w:val="21"/>
        </w:rPr>
      </w:pPr>
      <w:r>
        <w:rPr>
          <w:rFonts w:hint="eastAsia"/>
          <w:b/>
          <w:bCs/>
          <w:szCs w:val="21"/>
        </w:rPr>
        <w:t>十一、</w:t>
      </w:r>
      <w:r>
        <w:rPr>
          <w:b/>
          <w:bCs/>
          <w:szCs w:val="21"/>
        </w:rPr>
        <w:t xml:space="preserve"> </w:t>
      </w:r>
      <w:r>
        <w:rPr>
          <w:rFonts w:hint="eastAsia"/>
          <w:b/>
          <w:bCs/>
          <w:szCs w:val="21"/>
        </w:rPr>
        <w:t>通知与送达</w:t>
      </w:r>
    </w:p>
    <w:p w14:paraId="64CF8127">
      <w:pPr>
        <w:spacing w:line="360" w:lineRule="exact"/>
        <w:ind w:firstLine="420" w:firstLineChars="200"/>
        <w:rPr>
          <w:szCs w:val="21"/>
        </w:rPr>
      </w:pPr>
      <w:r>
        <w:rPr>
          <w:rFonts w:hint="eastAsia"/>
          <w:szCs w:val="21"/>
        </w:rPr>
        <w:t>本合同所列明的地址视为邮寄法律文书及双方邮寄律师函、催告函等文书的法定送达地址。任何一方变更地址的应书面通知对方，否则视为未变更。因受送达人本人或者受送达人指定的代收人拒绝签收，或者上述列明的地址无人签收导致文书未能被受送达人实际接收的，文书退回之日视为送达之日。</w:t>
      </w:r>
    </w:p>
    <w:p w14:paraId="6A7D3DE8">
      <w:pPr>
        <w:pStyle w:val="22"/>
        <w:tabs>
          <w:tab w:val="left" w:pos="824"/>
          <w:tab w:val="left" w:pos="905"/>
        </w:tabs>
        <w:snapToGrid w:val="0"/>
        <w:spacing w:line="360" w:lineRule="auto"/>
        <w:ind w:firstLine="478" w:firstLineChars="228"/>
      </w:pPr>
    </w:p>
    <w:p w14:paraId="448CAAA7">
      <w:pPr>
        <w:tabs>
          <w:tab w:val="left" w:pos="824"/>
        </w:tabs>
        <w:snapToGrid w:val="0"/>
        <w:spacing w:line="360" w:lineRule="auto"/>
        <w:rPr>
          <w:rFonts w:ascii="宋体" w:hAnsi="宋体" w:cs="宋体"/>
          <w:b/>
          <w:szCs w:val="21"/>
        </w:rPr>
      </w:pPr>
      <w:r>
        <w:rPr>
          <w:rFonts w:hint="eastAsia" w:ascii="宋体" w:hAnsi="宋体" w:cs="宋体"/>
          <w:b/>
          <w:szCs w:val="21"/>
        </w:rPr>
        <w:t>十二</w:t>
      </w:r>
      <w:r>
        <w:rPr>
          <w:rFonts w:ascii="宋体" w:hAnsi="宋体" w:cs="宋体"/>
          <w:b/>
          <w:szCs w:val="21"/>
        </w:rPr>
        <w:t>、</w:t>
      </w:r>
      <w:r>
        <w:rPr>
          <w:rFonts w:hint="eastAsia" w:ascii="宋体" w:hAnsi="宋体" w:cs="宋体"/>
          <w:b/>
          <w:szCs w:val="21"/>
        </w:rPr>
        <w:t>合同生效及其它</w:t>
      </w:r>
    </w:p>
    <w:p w14:paraId="00A29F25">
      <w:pPr>
        <w:spacing w:line="360" w:lineRule="auto"/>
        <w:ind w:firstLine="424" w:firstLineChars="202"/>
        <w:jc w:val="left"/>
        <w:rPr>
          <w:rFonts w:ascii="宋体" w:hAnsi="宋体"/>
          <w:szCs w:val="21"/>
        </w:rPr>
      </w:pPr>
      <w:r>
        <w:rPr>
          <w:rFonts w:hint="eastAsia" w:ascii="宋体" w:hAnsi="宋体"/>
          <w:szCs w:val="21"/>
        </w:rPr>
        <w:t>1.下列文件均为本合同的组成部分：</w:t>
      </w:r>
    </w:p>
    <w:p w14:paraId="46DFCD10">
      <w:pPr>
        <w:spacing w:line="360" w:lineRule="auto"/>
        <w:ind w:firstLine="424" w:firstLineChars="202"/>
        <w:jc w:val="left"/>
        <w:rPr>
          <w:rFonts w:ascii="宋体" w:hAnsi="宋体"/>
          <w:szCs w:val="21"/>
        </w:rPr>
      </w:pPr>
      <w:r>
        <w:rPr>
          <w:rFonts w:hint="eastAsia" w:ascii="宋体" w:hAnsi="宋体"/>
          <w:szCs w:val="21"/>
        </w:rPr>
        <w:t>（1）乙方的响应文件；</w:t>
      </w:r>
    </w:p>
    <w:p w14:paraId="4A0D0906">
      <w:pPr>
        <w:pStyle w:val="22"/>
        <w:numPr>
          <w:ilvl w:val="255"/>
          <w:numId w:val="0"/>
        </w:numPr>
        <w:tabs>
          <w:tab w:val="left" w:pos="-200"/>
        </w:tabs>
        <w:autoSpaceDE w:val="0"/>
        <w:autoSpaceDN w:val="0"/>
        <w:adjustRightInd w:val="0"/>
        <w:snapToGrid w:val="0"/>
        <w:spacing w:line="360" w:lineRule="auto"/>
        <w:ind w:left="420" w:leftChars="200"/>
        <w:rPr>
          <w:rFonts w:ascii="宋体" w:hAnsi="宋体" w:cs="宋体"/>
          <w:szCs w:val="21"/>
        </w:rPr>
      </w:pPr>
      <w:r>
        <w:rPr>
          <w:rFonts w:hint="eastAsia" w:ascii="宋体" w:hAnsi="宋体"/>
          <w:szCs w:val="21"/>
        </w:rPr>
        <w:t>（2）本合同执行中甲乙双方共同签署的补充与修正文件。</w:t>
      </w:r>
    </w:p>
    <w:p w14:paraId="6DE014C5">
      <w:pPr>
        <w:tabs>
          <w:tab w:val="left" w:pos="425"/>
        </w:tabs>
        <w:autoSpaceDE w:val="0"/>
        <w:autoSpaceDN w:val="0"/>
        <w:adjustRightInd w:val="0"/>
        <w:snapToGrid w:val="0"/>
        <w:spacing w:line="360" w:lineRule="auto"/>
        <w:ind w:firstLine="424" w:firstLineChars="202"/>
        <w:rPr>
          <w:rFonts w:ascii="宋体" w:hAnsi="宋体" w:cs="宋体"/>
          <w:szCs w:val="21"/>
        </w:rPr>
      </w:pPr>
      <w:r>
        <w:rPr>
          <w:rFonts w:hint="eastAsia" w:ascii="宋体" w:hAnsi="宋体" w:cs="宋体"/>
          <w:szCs w:val="21"/>
        </w:rPr>
        <w:t>2</w:t>
      </w:r>
      <w:r>
        <w:rPr>
          <w:rFonts w:ascii="宋体" w:hAnsi="宋体" w:cs="宋体"/>
          <w:szCs w:val="21"/>
        </w:rPr>
        <w:t xml:space="preserve">. </w:t>
      </w:r>
      <w:r>
        <w:rPr>
          <w:rFonts w:hint="eastAsia" w:ascii="宋体" w:hAnsi="宋体" w:cs="宋体"/>
          <w:szCs w:val="21"/>
        </w:rPr>
        <w:t>合同自甲乙双方法定代表人或其授权代表签字、盖章</w:t>
      </w:r>
      <w:r>
        <w:rPr>
          <w:rFonts w:ascii="宋体" w:hAnsi="宋体"/>
          <w:color w:val="000000"/>
          <w:szCs w:val="21"/>
        </w:rPr>
        <w:t>后</w:t>
      </w:r>
      <w:r>
        <w:rPr>
          <w:rFonts w:hint="eastAsia" w:ascii="宋体" w:hAnsi="宋体" w:cs="宋体"/>
          <w:szCs w:val="21"/>
        </w:rPr>
        <w:t>生效。</w:t>
      </w:r>
    </w:p>
    <w:p w14:paraId="601726A6">
      <w:pPr>
        <w:tabs>
          <w:tab w:val="left" w:pos="425"/>
        </w:tabs>
        <w:autoSpaceDE w:val="0"/>
        <w:autoSpaceDN w:val="0"/>
        <w:adjustRightInd w:val="0"/>
        <w:snapToGrid w:val="0"/>
        <w:spacing w:line="480" w:lineRule="auto"/>
        <w:ind w:firstLine="420" w:firstLineChars="200"/>
        <w:rPr>
          <w:rFonts w:ascii="宋体" w:hAnsi="宋体" w:cs="宋体"/>
          <w:szCs w:val="21"/>
        </w:rPr>
      </w:pPr>
      <w:r>
        <w:rPr>
          <w:rFonts w:hint="eastAsia" w:ascii="宋体" w:hAnsi="宋体" w:cs="宋体"/>
          <w:szCs w:val="21"/>
        </w:rPr>
        <w:t>3. 合同壹式肆份，其中甲乙双方各执贰份，具有同等法律效力。</w:t>
      </w:r>
      <w:r>
        <w:rPr>
          <w:rFonts w:ascii="宋体" w:hAnsi="宋体" w:cs="宋体"/>
          <w:szCs w:val="21"/>
        </w:rPr>
        <w:t xml:space="preserve"> </w:t>
      </w:r>
    </w:p>
    <w:p w14:paraId="0461D24E">
      <w:pPr>
        <w:tabs>
          <w:tab w:val="left" w:pos="425"/>
        </w:tabs>
        <w:autoSpaceDE w:val="0"/>
        <w:autoSpaceDN w:val="0"/>
        <w:adjustRightInd w:val="0"/>
        <w:snapToGrid w:val="0"/>
        <w:spacing w:line="480" w:lineRule="auto"/>
        <w:ind w:firstLine="420" w:firstLineChars="200"/>
        <w:rPr>
          <w:rFonts w:ascii="宋体" w:hAnsi="宋体" w:cs="宋体"/>
          <w:szCs w:val="21"/>
        </w:rPr>
      </w:pPr>
    </w:p>
    <w:p w14:paraId="06739223">
      <w:pPr>
        <w:snapToGrid w:val="0"/>
        <w:spacing w:line="480" w:lineRule="auto"/>
        <w:rPr>
          <w:rFonts w:ascii="宋体" w:hAnsi="宋体" w:cs="宋体"/>
          <w:szCs w:val="21"/>
        </w:rPr>
      </w:pPr>
    </w:p>
    <w:tbl>
      <w:tblPr>
        <w:tblStyle w:val="1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990"/>
        <w:gridCol w:w="4084"/>
      </w:tblGrid>
      <w:tr w14:paraId="5C406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5" w:hRule="atLeast"/>
          <w:jc w:val="center"/>
        </w:trPr>
        <w:tc>
          <w:tcPr>
            <w:tcW w:w="3990" w:type="dxa"/>
          </w:tcPr>
          <w:p w14:paraId="7B9FE5E3">
            <w:pPr>
              <w:spacing w:line="360" w:lineRule="auto"/>
              <w:rPr>
                <w:b/>
                <w:szCs w:val="21"/>
              </w:rPr>
            </w:pPr>
            <w:r>
              <w:rPr>
                <w:b/>
                <w:szCs w:val="21"/>
              </w:rPr>
              <w:t>甲方（盖章）</w:t>
            </w:r>
            <w:r>
              <w:rPr>
                <w:szCs w:val="21"/>
              </w:rPr>
              <w:t>：清华大学</w:t>
            </w:r>
            <w:r>
              <w:rPr>
                <w:rFonts w:hint="eastAsia"/>
                <w:szCs w:val="21"/>
              </w:rPr>
              <w:t>深圳国际研究生院</w:t>
            </w:r>
          </w:p>
          <w:p w14:paraId="4EA2CED0">
            <w:pPr>
              <w:spacing w:line="360" w:lineRule="auto"/>
              <w:rPr>
                <w:szCs w:val="21"/>
              </w:rPr>
            </w:pPr>
            <w:r>
              <w:rPr>
                <w:szCs w:val="21"/>
              </w:rPr>
              <w:t>地址：</w:t>
            </w:r>
            <w:r>
              <w:rPr>
                <w:rFonts w:hint="eastAsia"/>
                <w:szCs w:val="21"/>
              </w:rPr>
              <w:t>深圳市西丽深圳大学城清华校区A栋二楼</w:t>
            </w:r>
          </w:p>
          <w:p w14:paraId="045C1079">
            <w:pPr>
              <w:spacing w:line="360" w:lineRule="auto"/>
            </w:pPr>
            <w:r>
              <w:rPr>
                <w:szCs w:val="21"/>
              </w:rPr>
              <w:t>开户银行：</w:t>
            </w:r>
            <w:r>
              <w:rPr>
                <w:rFonts w:hint="eastAsia"/>
                <w:szCs w:val="21"/>
              </w:rPr>
              <w:t>平安银行深圳大学城支行(联行号:307584008257)</w:t>
            </w:r>
          </w:p>
          <w:p w14:paraId="093E4953"/>
          <w:p w14:paraId="1C7E45F4">
            <w:pPr>
              <w:spacing w:line="360" w:lineRule="auto"/>
              <w:rPr>
                <w:szCs w:val="21"/>
              </w:rPr>
            </w:pPr>
            <w:r>
              <w:rPr>
                <w:rFonts w:hint="eastAsia"/>
                <w:szCs w:val="21"/>
              </w:rPr>
              <w:t>项目负责人（签字）：</w:t>
            </w:r>
          </w:p>
          <w:p w14:paraId="51DCD6D0">
            <w:pPr>
              <w:spacing w:line="360" w:lineRule="auto"/>
              <w:rPr>
                <w:szCs w:val="21"/>
              </w:rPr>
            </w:pPr>
            <w:r>
              <w:rPr>
                <w:rFonts w:hint="eastAsia"/>
                <w:szCs w:val="21"/>
              </w:rPr>
              <w:t>联系人</w:t>
            </w:r>
            <w:r>
              <w:rPr>
                <w:szCs w:val="21"/>
              </w:rPr>
              <w:t>：</w:t>
            </w:r>
          </w:p>
          <w:p w14:paraId="46379A2A">
            <w:pPr>
              <w:spacing w:line="360" w:lineRule="auto"/>
              <w:rPr>
                <w:szCs w:val="21"/>
              </w:rPr>
            </w:pPr>
            <w:r>
              <w:rPr>
                <w:szCs w:val="21"/>
              </w:rPr>
              <w:t>联系</w:t>
            </w:r>
            <w:r>
              <w:rPr>
                <w:rFonts w:hint="eastAsia"/>
                <w:szCs w:val="21"/>
              </w:rPr>
              <w:t>电话</w:t>
            </w:r>
            <w:r>
              <w:rPr>
                <w:szCs w:val="21"/>
              </w:rPr>
              <w:t>：</w:t>
            </w:r>
          </w:p>
          <w:p w14:paraId="02EEEF28">
            <w:pPr>
              <w:spacing w:line="360" w:lineRule="auto"/>
              <w:rPr>
                <w:szCs w:val="21"/>
                <w:u w:val="single"/>
              </w:rPr>
            </w:pPr>
            <w:r>
              <w:rPr>
                <w:szCs w:val="21"/>
              </w:rPr>
              <w:t>日期：</w:t>
            </w:r>
          </w:p>
        </w:tc>
        <w:tc>
          <w:tcPr>
            <w:tcW w:w="4084" w:type="dxa"/>
          </w:tcPr>
          <w:p w14:paraId="0A4A1E8E">
            <w:pPr>
              <w:spacing w:line="360" w:lineRule="auto"/>
              <w:rPr>
                <w:b/>
                <w:szCs w:val="21"/>
              </w:rPr>
            </w:pPr>
            <w:r>
              <w:rPr>
                <w:b/>
                <w:szCs w:val="21"/>
              </w:rPr>
              <w:t>乙方（盖章）</w:t>
            </w:r>
            <w:r>
              <w:rPr>
                <w:szCs w:val="21"/>
              </w:rPr>
              <w:t>：</w:t>
            </w:r>
          </w:p>
          <w:p w14:paraId="4147941D">
            <w:pPr>
              <w:spacing w:line="360" w:lineRule="auto"/>
              <w:rPr>
                <w:szCs w:val="21"/>
              </w:rPr>
            </w:pPr>
            <w:r>
              <w:rPr>
                <w:rFonts w:hint="eastAsia"/>
                <w:szCs w:val="21"/>
              </w:rPr>
              <w:t>名称</w:t>
            </w:r>
            <w:r>
              <w:rPr>
                <w:szCs w:val="21"/>
              </w:rPr>
              <w:t>：</w:t>
            </w:r>
          </w:p>
          <w:p w14:paraId="268D0F1D">
            <w:pPr>
              <w:spacing w:line="360" w:lineRule="auto"/>
              <w:rPr>
                <w:szCs w:val="21"/>
              </w:rPr>
            </w:pPr>
            <w:r>
              <w:rPr>
                <w:szCs w:val="21"/>
              </w:rPr>
              <w:t>法定代表人：</w:t>
            </w:r>
          </w:p>
          <w:p w14:paraId="6F0E7386">
            <w:pPr>
              <w:spacing w:line="360" w:lineRule="auto"/>
              <w:rPr>
                <w:szCs w:val="21"/>
              </w:rPr>
            </w:pPr>
            <w:r>
              <w:rPr>
                <w:szCs w:val="21"/>
              </w:rPr>
              <w:t xml:space="preserve">地址： </w:t>
            </w:r>
          </w:p>
          <w:p w14:paraId="75426FEE">
            <w:pPr>
              <w:spacing w:line="360" w:lineRule="auto"/>
              <w:rPr>
                <w:szCs w:val="21"/>
              </w:rPr>
            </w:pPr>
            <w:r>
              <w:rPr>
                <w:szCs w:val="21"/>
              </w:rPr>
              <w:t>开户银行：</w:t>
            </w:r>
          </w:p>
          <w:p w14:paraId="6D6D770E">
            <w:pPr>
              <w:spacing w:line="360" w:lineRule="auto"/>
              <w:rPr>
                <w:szCs w:val="21"/>
              </w:rPr>
            </w:pPr>
            <w:r>
              <w:rPr>
                <w:szCs w:val="21"/>
              </w:rPr>
              <w:t>银行账号：</w:t>
            </w:r>
          </w:p>
          <w:p w14:paraId="5A38D280">
            <w:pPr>
              <w:spacing w:line="360" w:lineRule="auto"/>
              <w:rPr>
                <w:szCs w:val="21"/>
              </w:rPr>
            </w:pPr>
          </w:p>
          <w:p w14:paraId="1808F0F3">
            <w:pPr>
              <w:spacing w:line="360" w:lineRule="auto"/>
              <w:rPr>
                <w:szCs w:val="21"/>
              </w:rPr>
            </w:pPr>
            <w:r>
              <w:rPr>
                <w:rFonts w:hint="eastAsia"/>
                <w:szCs w:val="21"/>
              </w:rPr>
              <w:t>项目负责人（签字）：</w:t>
            </w:r>
          </w:p>
          <w:p w14:paraId="57636894">
            <w:pPr>
              <w:spacing w:line="360" w:lineRule="auto"/>
              <w:rPr>
                <w:szCs w:val="21"/>
              </w:rPr>
            </w:pPr>
            <w:r>
              <w:rPr>
                <w:szCs w:val="21"/>
              </w:rPr>
              <w:t>联系</w:t>
            </w:r>
            <w:r>
              <w:rPr>
                <w:rFonts w:hint="eastAsia"/>
                <w:szCs w:val="21"/>
              </w:rPr>
              <w:t>电话</w:t>
            </w:r>
            <w:r>
              <w:rPr>
                <w:szCs w:val="21"/>
              </w:rPr>
              <w:t xml:space="preserve">： </w:t>
            </w:r>
          </w:p>
          <w:p w14:paraId="55D84364">
            <w:pPr>
              <w:spacing w:line="360" w:lineRule="auto"/>
              <w:rPr>
                <w:szCs w:val="21"/>
              </w:rPr>
            </w:pPr>
            <w:r>
              <w:rPr>
                <w:rFonts w:hint="eastAsia"/>
                <w:szCs w:val="21"/>
              </w:rPr>
              <w:t xml:space="preserve">日期： </w:t>
            </w:r>
            <w:r>
              <w:rPr>
                <w:szCs w:val="21"/>
              </w:rPr>
              <w:t xml:space="preserve">                                                                                                                                                                                                                                                                                                                                                                                                                                                                                                                                                                                                                                                                                                                                                                                                                                                                                                                                                                                                                                                                                                                                                                                                                                                                                                                                                                                                                                                                                                                                                                                                                                                                                                                                                                                                                                                                                                                                                                                                                                                                                                                                                                                                                                                                                                                                                                                                                                                                                                                                                                                                                                                                                                                                                                                                                                                                                                                                                                                                                                                                                                                                                                                                                                                                                                                                                                                                                                                                                                                                                                                                                                                                                                                                                                                                                                                                                                                                                                                                                                                                                                                                                                                                                </w:t>
            </w:r>
            <w:r>
              <w:rPr>
                <w:szCs w:val="21"/>
              </w:rPr>
              <w:t xml:space="preserve">                                                                                                                                                                                                                                                                                                                                                                                                                                                                                                                                                                                                                                                                                                                                                                                                                                 </w:t>
            </w:r>
          </w:p>
        </w:tc>
      </w:tr>
    </w:tbl>
    <w:p w14:paraId="6CBBDF6D">
      <w:pPr>
        <w:snapToGrid w:val="0"/>
        <w:spacing w:line="480" w:lineRule="auto"/>
        <w:rPr>
          <w:rFonts w:ascii="宋体" w:hAnsi="宋体" w:cs="宋体"/>
          <w:szCs w:val="21"/>
        </w:rPr>
      </w:pPr>
    </w:p>
    <w:p w14:paraId="29363916">
      <w:pPr>
        <w:snapToGrid w:val="0"/>
        <w:spacing w:line="480" w:lineRule="auto"/>
        <w:rPr>
          <w:rFonts w:ascii="宋体" w:hAnsi="宋体" w:cs="宋体"/>
          <w:szCs w:val="21"/>
        </w:rPr>
      </w:pPr>
    </w:p>
    <w:p w14:paraId="470C6DC0">
      <w:pPr>
        <w:snapToGrid w:val="0"/>
        <w:spacing w:line="480" w:lineRule="auto"/>
        <w:rPr>
          <w:rFonts w:ascii="宋体" w:hAnsi="宋体" w:cs="宋体"/>
          <w:szCs w:val="21"/>
        </w:rPr>
      </w:pPr>
    </w:p>
    <w:p w14:paraId="6EBF4838">
      <w:pPr>
        <w:snapToGrid w:val="0"/>
        <w:spacing w:line="480" w:lineRule="auto"/>
        <w:rPr>
          <w:rFonts w:ascii="宋体" w:hAnsi="宋体" w:cs="宋体"/>
          <w:szCs w:val="21"/>
        </w:rPr>
      </w:pPr>
    </w:p>
    <w:sectPr>
      <w:footerReference r:id="rId5" w:type="default"/>
      <w:pgSz w:w="11906" w:h="16838"/>
      <w:pgMar w:top="1440" w:right="1274" w:bottom="1440" w:left="1800" w:header="851" w:footer="992" w:gutter="0"/>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作者" w:date="2022-11-30T09:44:00Z" w:initials="u">
    <w:p w14:paraId="3934BCBC">
      <w:pPr>
        <w:pStyle w:val="5"/>
      </w:pPr>
      <w:r>
        <w:rPr>
          <w:rFonts w:hint="eastAsia"/>
        </w:rPr>
        <w:t>采购</w:t>
      </w:r>
      <w:r>
        <w:t>需求单位项目经办人</w:t>
      </w:r>
    </w:p>
  </w:comment>
  <w:comment w:id="1" w:author="作者" w:date="2022-11-30T09:47:00Z" w:initials="u">
    <w:p w14:paraId="577D7EA9">
      <w:pPr>
        <w:pStyle w:val="5"/>
      </w:pPr>
      <w:r>
        <w:t>乙方联系人是投标人授权代表</w:t>
      </w:r>
    </w:p>
  </w:comment>
  <w:comment w:id="2" w:author="作者 [2]" w:date="2025-04-23T17:00:00Z" w:initials="">
    <w:p w14:paraId="6C8DEB8C">
      <w:pPr>
        <w:pStyle w:val="22"/>
        <w:widowControl/>
        <w:ind w:left="360" w:firstLine="0" w:firstLineChars="0"/>
        <w:jc w:val="left"/>
        <w:rPr>
          <w:rFonts w:ascii="微软雅黑" w:hAnsi="微软雅黑" w:eastAsia="微软雅黑" w:cs="宋体"/>
          <w:color w:val="000000"/>
          <w:kern w:val="0"/>
          <w:sz w:val="24"/>
          <w:szCs w:val="24"/>
        </w:rPr>
      </w:pPr>
      <w:r>
        <w:rPr>
          <w:rFonts w:hint="eastAsia" w:ascii="微软雅黑" w:hAnsi="微软雅黑" w:eastAsia="微软雅黑" w:cs="宋体"/>
          <w:color w:val="000000"/>
          <w:kern w:val="0"/>
          <w:sz w:val="24"/>
          <w:szCs w:val="24"/>
        </w:rPr>
        <w:t>财政要求，原则上</w:t>
      </w:r>
      <w:r>
        <w:rPr>
          <w:rFonts w:ascii="微软雅黑" w:hAnsi="微软雅黑" w:eastAsia="微软雅黑" w:cs="宋体"/>
          <w:color w:val="000000"/>
          <w:kern w:val="0"/>
          <w:sz w:val="24"/>
          <w:szCs w:val="24"/>
        </w:rPr>
        <w:t>预付款</w:t>
      </w:r>
      <w:r>
        <w:rPr>
          <w:rFonts w:hint="eastAsia" w:ascii="微软雅黑" w:hAnsi="微软雅黑" w:eastAsia="微软雅黑" w:cs="宋体"/>
          <w:color w:val="000000"/>
          <w:kern w:val="0"/>
          <w:sz w:val="24"/>
          <w:szCs w:val="24"/>
        </w:rPr>
        <w:t>比例≥30</w:t>
      </w:r>
      <w:r>
        <w:rPr>
          <w:rFonts w:ascii="微软雅黑" w:hAnsi="微软雅黑" w:eastAsia="微软雅黑" w:cs="宋体"/>
          <w:color w:val="000000"/>
          <w:kern w:val="0"/>
          <w:sz w:val="24"/>
          <w:szCs w:val="24"/>
        </w:rPr>
        <w:t>%，</w:t>
      </w:r>
      <w:r>
        <w:rPr>
          <w:rFonts w:hint="eastAsia" w:ascii="微软雅黑" w:hAnsi="微软雅黑" w:eastAsia="微软雅黑" w:cs="宋体"/>
          <w:color w:val="000000"/>
          <w:kern w:val="0"/>
          <w:sz w:val="24"/>
          <w:szCs w:val="24"/>
        </w:rPr>
        <w:t>同时</w:t>
      </w:r>
      <w:r>
        <w:rPr>
          <w:rFonts w:ascii="微软雅黑" w:hAnsi="微软雅黑" w:eastAsia="微软雅黑" w:cs="宋体"/>
          <w:color w:val="000000"/>
          <w:kern w:val="0"/>
          <w:sz w:val="24"/>
          <w:szCs w:val="24"/>
        </w:rPr>
        <w:t>≤70%</w:t>
      </w:r>
      <w:r>
        <w:rPr>
          <w:rFonts w:hint="eastAsia" w:ascii="微软雅黑" w:hAnsi="微软雅黑" w:eastAsia="微软雅黑" w:cs="宋体"/>
          <w:color w:val="000000"/>
          <w:kern w:val="0"/>
          <w:sz w:val="24"/>
          <w:szCs w:val="24"/>
        </w:rPr>
        <w:t>。</w:t>
      </w:r>
    </w:p>
    <w:p w14:paraId="6524B7BA">
      <w:pPr>
        <w:widowControl/>
        <w:spacing w:before="100" w:beforeAutospacing="1" w:after="100" w:afterAutospacing="1"/>
        <w:jc w:val="left"/>
        <w:rPr>
          <w:rFonts w:ascii="宋体" w:hAnsi="宋体" w:cs="宋体"/>
          <w:color w:val="FF0000"/>
          <w:kern w:val="0"/>
          <w:szCs w:val="21"/>
        </w:rPr>
      </w:pPr>
      <w:r>
        <w:rPr>
          <w:rFonts w:hint="eastAsia" w:ascii="微软雅黑" w:hAnsi="微软雅黑" w:eastAsia="微软雅黑"/>
          <w:b/>
          <w:color w:val="FF0000"/>
          <w:kern w:val="0"/>
          <w:sz w:val="24"/>
        </w:rPr>
        <w:t>注：</w:t>
      </w:r>
      <w:r>
        <w:rPr>
          <w:rFonts w:hint="eastAsia" w:ascii="微软雅黑" w:hAnsi="微软雅黑" w:eastAsia="微软雅黑" w:cs="宋体"/>
          <w:color w:val="FF0000"/>
          <w:kern w:val="0"/>
          <w:sz w:val="27"/>
          <w:szCs w:val="27"/>
        </w:rPr>
        <w:t>按财政规定，政府采购货物和服务项目不得收取（预留）质量保证金，也不得将已收取的履约保证金转为质量保证金。</w:t>
      </w:r>
    </w:p>
    <w:p w14:paraId="5FC19F9E">
      <w:pPr>
        <w:pStyle w:val="5"/>
      </w:pPr>
    </w:p>
  </w:comment>
  <w:comment w:id="3" w:author="作者 [2]" w:date="2025-05-10T11:22:00Z" w:initials="">
    <w:p w14:paraId="0297B202">
      <w:pPr>
        <w:pStyle w:val="5"/>
      </w:pPr>
      <w:r>
        <w:rPr>
          <w:rFonts w:hint="eastAsia"/>
        </w:rPr>
        <w:t>一般不超过30%</w:t>
      </w:r>
    </w:p>
  </w:comment>
  <w:comment w:id="4" w:author="作者 [2]" w:date="2025-04-27T16:34:00Z" w:initials="">
    <w:p w14:paraId="62D8E4DC">
      <w:pPr>
        <w:pStyle w:val="5"/>
      </w:pPr>
      <w:r>
        <w:rPr>
          <w:rFonts w:hint="eastAsia"/>
        </w:rPr>
        <w:t>一般不超过30%</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3934BCBC" w15:done="0"/>
  <w15:commentEx w15:paraId="577D7EA9" w15:done="0"/>
  <w15:commentEx w15:paraId="5FC19F9E" w15:done="0"/>
  <w15:commentEx w15:paraId="0297B202" w15:done="0"/>
  <w15:commentEx w15:paraId="62D8E4DC"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33438088"/>
    </w:sdtPr>
    <w:sdtContent>
      <w:sdt>
        <w:sdtPr>
          <w:id w:val="-1669238322"/>
        </w:sdtPr>
        <w:sdtContent>
          <w:p w14:paraId="5387AF9C">
            <w:pPr>
              <w:pStyle w:val="8"/>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4</w:t>
            </w:r>
            <w:r>
              <w:rPr>
                <w:b/>
                <w:bCs/>
                <w:sz w:val="24"/>
                <w:szCs w:val="24"/>
              </w:rPr>
              <w:fldChar w:fldCharType="end"/>
            </w:r>
          </w:p>
        </w:sdtContent>
      </w:sdt>
    </w:sdtContent>
  </w:sdt>
  <w:p w14:paraId="76A240DA">
    <w:pPr>
      <w:jc w:val="cen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1B7748D"/>
    <w:multiLevelType w:val="singleLevel"/>
    <w:tmpl w:val="F1B7748D"/>
    <w:lvl w:ilvl="0" w:tentative="0">
      <w:start w:val="1"/>
      <w:numFmt w:val="decimal"/>
      <w:suff w:val="nothing"/>
      <w:lvlText w:val="%1．"/>
      <w:lvlJc w:val="left"/>
      <w:pPr>
        <w:ind w:left="0" w:firstLine="400"/>
      </w:pPr>
      <w:rPr>
        <w:rFonts w:hint="default"/>
      </w:rPr>
    </w:lvl>
  </w:abstractNum>
  <w:abstractNum w:abstractNumId="1">
    <w:nsid w:val="0EEC2369"/>
    <w:multiLevelType w:val="multilevel"/>
    <w:tmpl w:val="0EEC2369"/>
    <w:lvl w:ilvl="0" w:tentative="0">
      <w:start w:val="1"/>
      <w:numFmt w:val="chineseCountingThousand"/>
      <w:pStyle w:val="2"/>
      <w:suff w:val="space"/>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EF91FB8"/>
    <w:multiLevelType w:val="multilevel"/>
    <w:tmpl w:val="0EF91FB8"/>
    <w:lvl w:ilvl="0" w:tentative="0">
      <w:start w:val="1"/>
      <w:numFmt w:val="decimal"/>
      <w:lvlText w:val="%1."/>
      <w:lvlJc w:val="left"/>
      <w:pPr>
        <w:tabs>
          <w:tab w:val="left" w:pos="425"/>
        </w:tabs>
        <w:ind w:left="425" w:hanging="425"/>
      </w:pPr>
    </w:lvl>
    <w:lvl w:ilvl="1" w:tentative="0">
      <w:start w:val="1"/>
      <w:numFmt w:val="decimal"/>
      <w:lvlText w:val="%1.%2."/>
      <w:lvlJc w:val="left"/>
      <w:pPr>
        <w:tabs>
          <w:tab w:val="left" w:pos="567"/>
        </w:tabs>
        <w:ind w:left="567" w:hanging="567"/>
      </w:pPr>
    </w:lvl>
    <w:lvl w:ilvl="2" w:tentative="0">
      <w:start w:val="1"/>
      <w:numFmt w:val="decimal"/>
      <w:lvlText w:val="%1.%2.%3."/>
      <w:lvlJc w:val="left"/>
      <w:pPr>
        <w:tabs>
          <w:tab w:val="left" w:pos="709"/>
        </w:tabs>
        <w:ind w:left="709" w:hanging="709"/>
      </w:pPr>
    </w:lvl>
    <w:lvl w:ilvl="3" w:tentative="0">
      <w:start w:val="1"/>
      <w:numFmt w:val="decimal"/>
      <w:lvlText w:val="%1.%2.%3.%4."/>
      <w:lvlJc w:val="left"/>
      <w:pPr>
        <w:tabs>
          <w:tab w:val="left" w:pos="851"/>
        </w:tabs>
        <w:ind w:left="851" w:hanging="851"/>
      </w:pPr>
    </w:lvl>
    <w:lvl w:ilvl="4" w:tentative="0">
      <w:start w:val="1"/>
      <w:numFmt w:val="decimal"/>
      <w:lvlText w:val="%1.%2.%3.%4.%5."/>
      <w:lvlJc w:val="left"/>
      <w:pPr>
        <w:tabs>
          <w:tab w:val="left" w:pos="992"/>
        </w:tabs>
        <w:ind w:left="992" w:hanging="992"/>
      </w:pPr>
    </w:lvl>
    <w:lvl w:ilvl="5" w:tentative="0">
      <w:start w:val="1"/>
      <w:numFmt w:val="decimal"/>
      <w:lvlText w:val="%1.%2.%3.%4.%5.%6."/>
      <w:lvlJc w:val="left"/>
      <w:pPr>
        <w:tabs>
          <w:tab w:val="left" w:pos="1134"/>
        </w:tabs>
        <w:ind w:left="1134" w:hanging="1134"/>
      </w:pPr>
    </w:lvl>
    <w:lvl w:ilvl="6" w:tentative="0">
      <w:start w:val="1"/>
      <w:numFmt w:val="decimal"/>
      <w:lvlText w:val="%1.%2.%3.%4.%5.%6.%7."/>
      <w:lvlJc w:val="left"/>
      <w:pPr>
        <w:tabs>
          <w:tab w:val="left" w:pos="1276"/>
        </w:tabs>
        <w:ind w:left="1276" w:hanging="1276"/>
      </w:pPr>
    </w:lvl>
    <w:lvl w:ilvl="7" w:tentative="0">
      <w:start w:val="1"/>
      <w:numFmt w:val="decimal"/>
      <w:lvlText w:val="%1.%2.%3.%4.%5.%6.%7.%8."/>
      <w:lvlJc w:val="left"/>
      <w:pPr>
        <w:tabs>
          <w:tab w:val="left" w:pos="1418"/>
        </w:tabs>
        <w:ind w:left="1418" w:hanging="1418"/>
      </w:pPr>
    </w:lvl>
    <w:lvl w:ilvl="8" w:tentative="0">
      <w:start w:val="1"/>
      <w:numFmt w:val="decimal"/>
      <w:lvlText w:val="%1.%2.%3.%4.%5.%6.%7.%8.%9."/>
      <w:lvlJc w:val="left"/>
      <w:pPr>
        <w:tabs>
          <w:tab w:val="left" w:pos="1559"/>
        </w:tabs>
        <w:ind w:left="1559" w:hanging="1559"/>
      </w:pPr>
    </w:lvl>
  </w:abstractNum>
  <w:abstractNum w:abstractNumId="3">
    <w:nsid w:val="183C604A"/>
    <w:multiLevelType w:val="singleLevel"/>
    <w:tmpl w:val="183C604A"/>
    <w:lvl w:ilvl="0" w:tentative="0">
      <w:start w:val="1"/>
      <w:numFmt w:val="japaneseCounting"/>
      <w:lvlText w:val="%1、"/>
      <w:lvlJc w:val="left"/>
      <w:pPr>
        <w:tabs>
          <w:tab w:val="left" w:pos="905"/>
        </w:tabs>
        <w:ind w:left="905" w:hanging="480"/>
      </w:pPr>
    </w:lvl>
  </w:abstractNum>
  <w:abstractNum w:abstractNumId="4">
    <w:nsid w:val="75D6580D"/>
    <w:multiLevelType w:val="multilevel"/>
    <w:tmpl w:val="75D6580D"/>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1"/>
  </w:num>
  <w:num w:numId="2">
    <w:abstractNumId w:val="3"/>
    <w:lvlOverride w:ilvl="0">
      <w:startOverride w:val="1"/>
    </w:lvlOverride>
  </w:num>
  <w:num w:numId="3">
    <w:abstractNumId w:val="2"/>
  </w:num>
  <w:num w:numId="4">
    <w:abstractNumId w:val="4"/>
  </w:num>
  <w:num w:numId="5">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作者">
    <w15:presenceInfo w15:providerId="None" w15:userId="作者"/>
  </w15:person>
  <w15:person w15:author="作者 [2]">
    <w15:presenceInfo w15:providerId="WPS Office" w15:userId="404058481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1"/>
  <w:bordersDoNotSurroundFooter w:val="1"/>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18B3"/>
    <w:rsid w:val="00036202"/>
    <w:rsid w:val="0004232B"/>
    <w:rsid w:val="00050E3F"/>
    <w:rsid w:val="00055AD7"/>
    <w:rsid w:val="00055E7C"/>
    <w:rsid w:val="00082342"/>
    <w:rsid w:val="00084788"/>
    <w:rsid w:val="00096DE7"/>
    <w:rsid w:val="000A39D1"/>
    <w:rsid w:val="000A4795"/>
    <w:rsid w:val="000C27AB"/>
    <w:rsid w:val="000C60FF"/>
    <w:rsid w:val="000D3F8F"/>
    <w:rsid w:val="000E3D1E"/>
    <w:rsid w:val="000E744A"/>
    <w:rsid w:val="000F444D"/>
    <w:rsid w:val="001105DB"/>
    <w:rsid w:val="00117267"/>
    <w:rsid w:val="00122D3E"/>
    <w:rsid w:val="00137957"/>
    <w:rsid w:val="001449D8"/>
    <w:rsid w:val="0014675D"/>
    <w:rsid w:val="00147EB4"/>
    <w:rsid w:val="00166200"/>
    <w:rsid w:val="00175A83"/>
    <w:rsid w:val="00177BAA"/>
    <w:rsid w:val="0018352A"/>
    <w:rsid w:val="00183C42"/>
    <w:rsid w:val="00183FE6"/>
    <w:rsid w:val="001A3D29"/>
    <w:rsid w:val="001A72BC"/>
    <w:rsid w:val="001B0A09"/>
    <w:rsid w:val="001C1EF1"/>
    <w:rsid w:val="001D046C"/>
    <w:rsid w:val="001E1713"/>
    <w:rsid w:val="001E25F4"/>
    <w:rsid w:val="001F2350"/>
    <w:rsid w:val="001F6D33"/>
    <w:rsid w:val="0023320A"/>
    <w:rsid w:val="0023621A"/>
    <w:rsid w:val="002476D6"/>
    <w:rsid w:val="0025065E"/>
    <w:rsid w:val="002535D9"/>
    <w:rsid w:val="002700B9"/>
    <w:rsid w:val="00296C15"/>
    <w:rsid w:val="002A10FD"/>
    <w:rsid w:val="002A3A40"/>
    <w:rsid w:val="002B3477"/>
    <w:rsid w:val="002B6BFC"/>
    <w:rsid w:val="002B7E76"/>
    <w:rsid w:val="002C4F53"/>
    <w:rsid w:val="002C5E3A"/>
    <w:rsid w:val="002D215E"/>
    <w:rsid w:val="002D6F52"/>
    <w:rsid w:val="002E07D1"/>
    <w:rsid w:val="002E1181"/>
    <w:rsid w:val="002F0A58"/>
    <w:rsid w:val="003240A5"/>
    <w:rsid w:val="003466B8"/>
    <w:rsid w:val="00346D8B"/>
    <w:rsid w:val="00362A6D"/>
    <w:rsid w:val="003700CE"/>
    <w:rsid w:val="00375281"/>
    <w:rsid w:val="003A19FB"/>
    <w:rsid w:val="003C5D86"/>
    <w:rsid w:val="003D5295"/>
    <w:rsid w:val="003F6BD1"/>
    <w:rsid w:val="003F6D5A"/>
    <w:rsid w:val="004014FF"/>
    <w:rsid w:val="004119C0"/>
    <w:rsid w:val="00414EE4"/>
    <w:rsid w:val="00434D08"/>
    <w:rsid w:val="0045419D"/>
    <w:rsid w:val="00465FA8"/>
    <w:rsid w:val="004710D5"/>
    <w:rsid w:val="00494710"/>
    <w:rsid w:val="004B118E"/>
    <w:rsid w:val="004E14C6"/>
    <w:rsid w:val="004E2A78"/>
    <w:rsid w:val="004F644A"/>
    <w:rsid w:val="004F72E6"/>
    <w:rsid w:val="00515425"/>
    <w:rsid w:val="00515D03"/>
    <w:rsid w:val="00515F4B"/>
    <w:rsid w:val="0053227E"/>
    <w:rsid w:val="005421E3"/>
    <w:rsid w:val="0054458F"/>
    <w:rsid w:val="00590512"/>
    <w:rsid w:val="005B2779"/>
    <w:rsid w:val="005E4397"/>
    <w:rsid w:val="005E77E1"/>
    <w:rsid w:val="005E7D07"/>
    <w:rsid w:val="005F4264"/>
    <w:rsid w:val="005F46A1"/>
    <w:rsid w:val="0060281C"/>
    <w:rsid w:val="00611971"/>
    <w:rsid w:val="00635AF6"/>
    <w:rsid w:val="00641AD4"/>
    <w:rsid w:val="00646355"/>
    <w:rsid w:val="006509DC"/>
    <w:rsid w:val="006557A4"/>
    <w:rsid w:val="00697888"/>
    <w:rsid w:val="006A4ADD"/>
    <w:rsid w:val="006B4B8D"/>
    <w:rsid w:val="006E22C7"/>
    <w:rsid w:val="006E2F59"/>
    <w:rsid w:val="00715150"/>
    <w:rsid w:val="007226A5"/>
    <w:rsid w:val="00734C53"/>
    <w:rsid w:val="00753A00"/>
    <w:rsid w:val="00766D05"/>
    <w:rsid w:val="00767EDA"/>
    <w:rsid w:val="00777F58"/>
    <w:rsid w:val="00792071"/>
    <w:rsid w:val="00793EEF"/>
    <w:rsid w:val="00796444"/>
    <w:rsid w:val="007A1AD1"/>
    <w:rsid w:val="007A5145"/>
    <w:rsid w:val="007A5D2A"/>
    <w:rsid w:val="007B479E"/>
    <w:rsid w:val="007D34A5"/>
    <w:rsid w:val="007D4789"/>
    <w:rsid w:val="007D656B"/>
    <w:rsid w:val="007E0E6D"/>
    <w:rsid w:val="007F03B7"/>
    <w:rsid w:val="00812859"/>
    <w:rsid w:val="00814FA2"/>
    <w:rsid w:val="0082212C"/>
    <w:rsid w:val="00834FF2"/>
    <w:rsid w:val="00850195"/>
    <w:rsid w:val="00863EFD"/>
    <w:rsid w:val="00875D05"/>
    <w:rsid w:val="00876B4A"/>
    <w:rsid w:val="008C3B00"/>
    <w:rsid w:val="008D280E"/>
    <w:rsid w:val="008D6B84"/>
    <w:rsid w:val="008F2749"/>
    <w:rsid w:val="00916D6E"/>
    <w:rsid w:val="009210D0"/>
    <w:rsid w:val="009303EB"/>
    <w:rsid w:val="00931284"/>
    <w:rsid w:val="00933154"/>
    <w:rsid w:val="00941F57"/>
    <w:rsid w:val="009436F5"/>
    <w:rsid w:val="00957677"/>
    <w:rsid w:val="009625FD"/>
    <w:rsid w:val="00974DFE"/>
    <w:rsid w:val="00980306"/>
    <w:rsid w:val="009A4B12"/>
    <w:rsid w:val="009C262D"/>
    <w:rsid w:val="009C672C"/>
    <w:rsid w:val="009C6BDE"/>
    <w:rsid w:val="009E2853"/>
    <w:rsid w:val="009F18B3"/>
    <w:rsid w:val="00A118BD"/>
    <w:rsid w:val="00A1385E"/>
    <w:rsid w:val="00A23033"/>
    <w:rsid w:val="00A316EA"/>
    <w:rsid w:val="00A330B6"/>
    <w:rsid w:val="00A4290A"/>
    <w:rsid w:val="00AA73E1"/>
    <w:rsid w:val="00AB5C6A"/>
    <w:rsid w:val="00AB654E"/>
    <w:rsid w:val="00AD529F"/>
    <w:rsid w:val="00AD7F96"/>
    <w:rsid w:val="00AF4480"/>
    <w:rsid w:val="00AF68D3"/>
    <w:rsid w:val="00B00FC3"/>
    <w:rsid w:val="00B1352D"/>
    <w:rsid w:val="00B21477"/>
    <w:rsid w:val="00B23EB5"/>
    <w:rsid w:val="00B242DE"/>
    <w:rsid w:val="00B30756"/>
    <w:rsid w:val="00B377F1"/>
    <w:rsid w:val="00B81FD7"/>
    <w:rsid w:val="00B95B37"/>
    <w:rsid w:val="00BB7F77"/>
    <w:rsid w:val="00BB7FF4"/>
    <w:rsid w:val="00BC4A44"/>
    <w:rsid w:val="00BC5249"/>
    <w:rsid w:val="00BD13DE"/>
    <w:rsid w:val="00BD3F9B"/>
    <w:rsid w:val="00BD51F2"/>
    <w:rsid w:val="00C23D33"/>
    <w:rsid w:val="00C303E3"/>
    <w:rsid w:val="00C47D10"/>
    <w:rsid w:val="00C5349C"/>
    <w:rsid w:val="00C76465"/>
    <w:rsid w:val="00C923CA"/>
    <w:rsid w:val="00C95E0D"/>
    <w:rsid w:val="00CC107F"/>
    <w:rsid w:val="00CC32BA"/>
    <w:rsid w:val="00CC3562"/>
    <w:rsid w:val="00CD66AE"/>
    <w:rsid w:val="00CD6CEE"/>
    <w:rsid w:val="00CF74BE"/>
    <w:rsid w:val="00D27FC5"/>
    <w:rsid w:val="00D34E9A"/>
    <w:rsid w:val="00D41021"/>
    <w:rsid w:val="00D41FAF"/>
    <w:rsid w:val="00D44CD9"/>
    <w:rsid w:val="00D4600B"/>
    <w:rsid w:val="00D52231"/>
    <w:rsid w:val="00D56028"/>
    <w:rsid w:val="00D57719"/>
    <w:rsid w:val="00D57EB4"/>
    <w:rsid w:val="00D64F81"/>
    <w:rsid w:val="00D73713"/>
    <w:rsid w:val="00D774D6"/>
    <w:rsid w:val="00D826A5"/>
    <w:rsid w:val="00D90AA2"/>
    <w:rsid w:val="00DA0F1A"/>
    <w:rsid w:val="00DA114B"/>
    <w:rsid w:val="00DA435C"/>
    <w:rsid w:val="00DB5498"/>
    <w:rsid w:val="00DC433C"/>
    <w:rsid w:val="00DC7AE9"/>
    <w:rsid w:val="00DD49BB"/>
    <w:rsid w:val="00E001B3"/>
    <w:rsid w:val="00E06A27"/>
    <w:rsid w:val="00E10049"/>
    <w:rsid w:val="00E35977"/>
    <w:rsid w:val="00E61046"/>
    <w:rsid w:val="00E74886"/>
    <w:rsid w:val="00E84DF2"/>
    <w:rsid w:val="00E85DB8"/>
    <w:rsid w:val="00E86CD4"/>
    <w:rsid w:val="00EC5180"/>
    <w:rsid w:val="00EE0F49"/>
    <w:rsid w:val="00EF1544"/>
    <w:rsid w:val="00F02EB8"/>
    <w:rsid w:val="00F452D9"/>
    <w:rsid w:val="00F45DB7"/>
    <w:rsid w:val="00F51990"/>
    <w:rsid w:val="00F5753E"/>
    <w:rsid w:val="00F62ABD"/>
    <w:rsid w:val="00F64845"/>
    <w:rsid w:val="00F70BAF"/>
    <w:rsid w:val="00F75974"/>
    <w:rsid w:val="00F828AA"/>
    <w:rsid w:val="00FA35D8"/>
    <w:rsid w:val="00FC7D78"/>
    <w:rsid w:val="00FD2BA9"/>
    <w:rsid w:val="00FE0D9B"/>
    <w:rsid w:val="00FF7D89"/>
    <w:rsid w:val="0430412A"/>
    <w:rsid w:val="083C2012"/>
    <w:rsid w:val="099F4797"/>
    <w:rsid w:val="0AD6256A"/>
    <w:rsid w:val="0BE27164"/>
    <w:rsid w:val="1C751600"/>
    <w:rsid w:val="20680537"/>
    <w:rsid w:val="216476E3"/>
    <w:rsid w:val="2684198C"/>
    <w:rsid w:val="27B91F26"/>
    <w:rsid w:val="295D5B96"/>
    <w:rsid w:val="2EEE46F3"/>
    <w:rsid w:val="38A00F55"/>
    <w:rsid w:val="39DD388A"/>
    <w:rsid w:val="3AF9516B"/>
    <w:rsid w:val="3C284B9A"/>
    <w:rsid w:val="43035FE1"/>
    <w:rsid w:val="46541F10"/>
    <w:rsid w:val="48540955"/>
    <w:rsid w:val="48F13107"/>
    <w:rsid w:val="49CC66DC"/>
    <w:rsid w:val="4AAE7501"/>
    <w:rsid w:val="522347CB"/>
    <w:rsid w:val="582475BA"/>
    <w:rsid w:val="595137E7"/>
    <w:rsid w:val="64051EAF"/>
    <w:rsid w:val="74A305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1"/>
    <w:qFormat/>
    <w:uiPriority w:val="0"/>
    <w:pPr>
      <w:keepNext/>
      <w:keepLines/>
      <w:numPr>
        <w:ilvl w:val="0"/>
        <w:numId w:val="1"/>
      </w:numPr>
      <w:adjustRightInd w:val="0"/>
      <w:spacing w:before="340" w:after="330" w:line="578" w:lineRule="atLeast"/>
      <w:textAlignment w:val="baseline"/>
      <w:outlineLvl w:val="0"/>
    </w:pPr>
    <w:rPr>
      <w:b/>
      <w:bCs/>
      <w:kern w:val="44"/>
      <w:sz w:val="44"/>
      <w:szCs w:val="44"/>
    </w:rPr>
  </w:style>
  <w:style w:type="paragraph" w:styleId="3">
    <w:name w:val="heading 3"/>
    <w:basedOn w:val="1"/>
    <w:next w:val="1"/>
    <w:link w:val="23"/>
    <w:semiHidden/>
    <w:unhideWhenUsed/>
    <w:qFormat/>
    <w:uiPriority w:val="9"/>
    <w:pPr>
      <w:keepNext/>
      <w:keepLines/>
      <w:spacing w:before="260" w:after="260" w:line="416" w:lineRule="auto"/>
      <w:outlineLvl w:val="2"/>
    </w:pPr>
    <w:rPr>
      <w:b/>
      <w:bCs/>
      <w:sz w:val="32"/>
      <w:szCs w:val="32"/>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Document Map"/>
    <w:basedOn w:val="1"/>
    <w:link w:val="18"/>
    <w:semiHidden/>
    <w:unhideWhenUsed/>
    <w:qFormat/>
    <w:uiPriority w:val="99"/>
    <w:rPr>
      <w:rFonts w:ascii="宋体"/>
      <w:sz w:val="18"/>
      <w:szCs w:val="18"/>
    </w:rPr>
  </w:style>
  <w:style w:type="paragraph" w:styleId="5">
    <w:name w:val="annotation text"/>
    <w:basedOn w:val="1"/>
    <w:link w:val="27"/>
    <w:semiHidden/>
    <w:unhideWhenUsed/>
    <w:qFormat/>
    <w:uiPriority w:val="99"/>
    <w:pPr>
      <w:jc w:val="left"/>
    </w:pPr>
  </w:style>
  <w:style w:type="paragraph" w:styleId="6">
    <w:name w:val="Plain Text"/>
    <w:basedOn w:val="1"/>
    <w:link w:val="17"/>
    <w:unhideWhenUsed/>
    <w:qFormat/>
    <w:uiPriority w:val="0"/>
    <w:rPr>
      <w:rFonts w:ascii="宋体" w:hAnsi="Courier New"/>
      <w:szCs w:val="21"/>
    </w:rPr>
  </w:style>
  <w:style w:type="paragraph" w:styleId="7">
    <w:name w:val="Balloon Text"/>
    <w:basedOn w:val="1"/>
    <w:link w:val="29"/>
    <w:semiHidden/>
    <w:unhideWhenUsed/>
    <w:qFormat/>
    <w:uiPriority w:val="99"/>
    <w:rPr>
      <w:sz w:val="18"/>
      <w:szCs w:val="18"/>
    </w:rPr>
  </w:style>
  <w:style w:type="paragraph" w:styleId="8">
    <w:name w:val="footer"/>
    <w:basedOn w:val="1"/>
    <w:link w:val="16"/>
    <w:unhideWhenUsed/>
    <w:qFormat/>
    <w:uiPriority w:val="99"/>
    <w:pPr>
      <w:tabs>
        <w:tab w:val="center" w:pos="4153"/>
        <w:tab w:val="right" w:pos="8306"/>
      </w:tabs>
      <w:snapToGrid w:val="0"/>
      <w:jc w:val="left"/>
    </w:pPr>
    <w:rPr>
      <w:sz w:val="18"/>
      <w:szCs w:val="18"/>
    </w:rPr>
  </w:style>
  <w:style w:type="paragraph" w:styleId="9">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annotation subject"/>
    <w:basedOn w:val="5"/>
    <w:next w:val="5"/>
    <w:link w:val="28"/>
    <w:semiHidden/>
    <w:unhideWhenUsed/>
    <w:qFormat/>
    <w:uiPriority w:val="99"/>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annotation reference"/>
    <w:basedOn w:val="13"/>
    <w:semiHidden/>
    <w:unhideWhenUsed/>
    <w:qFormat/>
    <w:uiPriority w:val="99"/>
    <w:rPr>
      <w:sz w:val="21"/>
      <w:szCs w:val="21"/>
    </w:rPr>
  </w:style>
  <w:style w:type="character" w:customStyle="1" w:styleId="15">
    <w:name w:val="页眉 Char"/>
    <w:basedOn w:val="13"/>
    <w:link w:val="9"/>
    <w:qFormat/>
    <w:uiPriority w:val="99"/>
    <w:rPr>
      <w:sz w:val="18"/>
      <w:szCs w:val="18"/>
    </w:rPr>
  </w:style>
  <w:style w:type="character" w:customStyle="1" w:styleId="16">
    <w:name w:val="页脚 Char"/>
    <w:basedOn w:val="13"/>
    <w:link w:val="8"/>
    <w:qFormat/>
    <w:uiPriority w:val="99"/>
    <w:rPr>
      <w:sz w:val="18"/>
      <w:szCs w:val="18"/>
    </w:rPr>
  </w:style>
  <w:style w:type="character" w:customStyle="1" w:styleId="17">
    <w:name w:val="纯文本 Char"/>
    <w:basedOn w:val="13"/>
    <w:link w:val="6"/>
    <w:semiHidden/>
    <w:qFormat/>
    <w:uiPriority w:val="0"/>
    <w:rPr>
      <w:rFonts w:ascii="宋体" w:hAnsi="Courier New" w:eastAsia="宋体" w:cs="Times New Roman"/>
      <w:szCs w:val="21"/>
    </w:rPr>
  </w:style>
  <w:style w:type="character" w:customStyle="1" w:styleId="18">
    <w:name w:val="文档结构图 Char"/>
    <w:basedOn w:val="13"/>
    <w:link w:val="4"/>
    <w:semiHidden/>
    <w:qFormat/>
    <w:uiPriority w:val="99"/>
    <w:rPr>
      <w:rFonts w:ascii="宋体" w:hAnsi="Times New Roman" w:eastAsia="宋体" w:cs="Times New Roman"/>
      <w:sz w:val="18"/>
      <w:szCs w:val="18"/>
    </w:rPr>
  </w:style>
  <w:style w:type="paragraph" w:customStyle="1" w:styleId="19">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20">
    <w:name w:val="彩色列表 - 着色 11"/>
    <w:basedOn w:val="1"/>
    <w:qFormat/>
    <w:uiPriority w:val="34"/>
    <w:pPr>
      <w:ind w:firstLine="420" w:firstLineChars="200"/>
    </w:pPr>
    <w:rPr>
      <w:rFonts w:ascii="Calibri" w:hAnsi="Calibri"/>
      <w:sz w:val="24"/>
    </w:rPr>
  </w:style>
  <w:style w:type="character" w:customStyle="1" w:styleId="21">
    <w:name w:val="标题 1 Char"/>
    <w:basedOn w:val="13"/>
    <w:link w:val="2"/>
    <w:qFormat/>
    <w:uiPriority w:val="0"/>
    <w:rPr>
      <w:rFonts w:ascii="Times New Roman" w:hAnsi="Times New Roman" w:eastAsia="宋体" w:cs="Times New Roman"/>
      <w:b/>
      <w:bCs/>
      <w:kern w:val="44"/>
      <w:sz w:val="44"/>
      <w:szCs w:val="44"/>
    </w:rPr>
  </w:style>
  <w:style w:type="paragraph" w:styleId="22">
    <w:name w:val="List Paragraph"/>
    <w:basedOn w:val="1"/>
    <w:link w:val="24"/>
    <w:qFormat/>
    <w:uiPriority w:val="34"/>
    <w:pPr>
      <w:ind w:firstLine="420" w:firstLineChars="200"/>
    </w:pPr>
    <w:rPr>
      <w:szCs w:val="20"/>
    </w:rPr>
  </w:style>
  <w:style w:type="character" w:customStyle="1" w:styleId="23">
    <w:name w:val="标题 3 Char"/>
    <w:basedOn w:val="13"/>
    <w:link w:val="3"/>
    <w:semiHidden/>
    <w:qFormat/>
    <w:uiPriority w:val="9"/>
    <w:rPr>
      <w:rFonts w:ascii="Times New Roman" w:hAnsi="Times New Roman" w:eastAsia="宋体" w:cs="Times New Roman"/>
      <w:b/>
      <w:bCs/>
      <w:sz w:val="32"/>
      <w:szCs w:val="32"/>
    </w:rPr>
  </w:style>
  <w:style w:type="character" w:customStyle="1" w:styleId="24">
    <w:name w:val="列出段落 Char"/>
    <w:basedOn w:val="13"/>
    <w:link w:val="22"/>
    <w:qFormat/>
    <w:uiPriority w:val="34"/>
    <w:rPr>
      <w:rFonts w:ascii="Times New Roman" w:hAnsi="Times New Roman" w:eastAsia="宋体" w:cs="Times New Roman"/>
      <w:szCs w:val="20"/>
    </w:rPr>
  </w:style>
  <w:style w:type="character" w:customStyle="1" w:styleId="25">
    <w:name w:val="中文正文、 Char"/>
    <w:link w:val="26"/>
    <w:qFormat/>
    <w:uiPriority w:val="99"/>
    <w:rPr>
      <w:szCs w:val="21"/>
    </w:rPr>
  </w:style>
  <w:style w:type="paragraph" w:customStyle="1" w:styleId="26">
    <w:name w:val="中文正文、"/>
    <w:basedOn w:val="1"/>
    <w:link w:val="25"/>
    <w:qFormat/>
    <w:uiPriority w:val="99"/>
    <w:pPr>
      <w:spacing w:line="360" w:lineRule="auto"/>
      <w:ind w:firstLine="420" w:firstLineChars="200"/>
      <w:jc w:val="left"/>
    </w:pPr>
    <w:rPr>
      <w:rFonts w:asciiTheme="minorHAnsi" w:hAnsiTheme="minorHAnsi" w:eastAsiaTheme="minorEastAsia" w:cstheme="minorBidi"/>
      <w:szCs w:val="21"/>
    </w:rPr>
  </w:style>
  <w:style w:type="character" w:customStyle="1" w:styleId="27">
    <w:name w:val="批注文字 Char"/>
    <w:basedOn w:val="13"/>
    <w:link w:val="5"/>
    <w:semiHidden/>
    <w:qFormat/>
    <w:uiPriority w:val="99"/>
    <w:rPr>
      <w:rFonts w:ascii="Times New Roman" w:hAnsi="Times New Roman" w:eastAsia="宋体" w:cs="Times New Roman"/>
      <w:szCs w:val="24"/>
    </w:rPr>
  </w:style>
  <w:style w:type="character" w:customStyle="1" w:styleId="28">
    <w:name w:val="批注主题 Char"/>
    <w:basedOn w:val="27"/>
    <w:link w:val="10"/>
    <w:semiHidden/>
    <w:qFormat/>
    <w:uiPriority w:val="99"/>
    <w:rPr>
      <w:rFonts w:ascii="Times New Roman" w:hAnsi="Times New Roman" w:eastAsia="宋体" w:cs="Times New Roman"/>
      <w:b/>
      <w:bCs/>
      <w:szCs w:val="24"/>
    </w:rPr>
  </w:style>
  <w:style w:type="character" w:customStyle="1" w:styleId="29">
    <w:name w:val="批注框文本 Char"/>
    <w:basedOn w:val="13"/>
    <w:link w:val="7"/>
    <w:semiHidden/>
    <w:qFormat/>
    <w:uiPriority w:val="99"/>
    <w:rPr>
      <w:rFonts w:ascii="Times New Roman" w:hAnsi="Times New Roman" w:eastAsia="宋体" w:cs="Times New Roman"/>
      <w:sz w:val="18"/>
      <w:szCs w:val="18"/>
    </w:rPr>
  </w:style>
  <w:style w:type="paragraph" w:customStyle="1" w:styleId="30">
    <w:name w:val="Char Char Char Char Char Char1 Char"/>
    <w:basedOn w:val="4"/>
    <w:qFormat/>
    <w:uiPriority w:val="0"/>
    <w:pPr>
      <w:shd w:val="clear" w:color="auto" w:fill="000080"/>
      <w:adjustRightInd w:val="0"/>
      <w:spacing w:line="436" w:lineRule="exact"/>
      <w:ind w:left="357"/>
      <w:jc w:val="left"/>
      <w:outlineLvl w:val="3"/>
    </w:pPr>
    <w:rPr>
      <w:rFonts w:ascii="Times New Roman"/>
      <w:sz w:val="21"/>
      <w:szCs w:val="24"/>
    </w:rPr>
  </w:style>
  <w:style w:type="paragraph" w:customStyle="1" w:styleId="31">
    <w:name w:val="正文文字缩进 2"/>
    <w:basedOn w:val="1"/>
    <w:qFormat/>
    <w:uiPriority w:val="0"/>
    <w:pPr>
      <w:widowControl/>
      <w:spacing w:line="351" w:lineRule="atLeast"/>
      <w:ind w:firstLine="481"/>
      <w:textAlignment w:val="baseline"/>
    </w:pPr>
    <w:rPr>
      <w:rFonts w:ascii="仿宋_GB2312" w:eastAsia="仿宋_GB2312"/>
      <w:color w:val="000000"/>
      <w:kern w:val="0"/>
      <w:sz w:val="24"/>
      <w:szCs w:val="20"/>
      <w:u w:color="000000"/>
    </w:r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4</Pages>
  <Words>3068</Words>
  <Characters>3153</Characters>
  <Lines>60</Lines>
  <Paragraphs>16</Paragraphs>
  <TotalTime>1</TotalTime>
  <ScaleCrop>false</ScaleCrop>
  <LinksUpToDate>false</LinksUpToDate>
  <CharactersWithSpaces>8421</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2019-06-29T04:05:00Z</dcterms:created>
  <dc:creator>IVS</dc:creator>
  <cp:lastModifiedBy>作者</cp:lastModifiedBy>
  <dcterms:modified xsi:type="dcterms:W3CDTF">2025-09-04T08:08:15Z</dcterms:modified>
  <cp:revision>106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eyJoZGlkIjoiODI3ZGNmMTBmYjU1ZGU3Zjk4Y2E1YmE1NWMzYjliZmMiLCJ1c2VySWQiOiIyOTI3ODM5OTgifQ==</vt:lpwstr>
  </property>
  <property fmtid="{D5CDD505-2E9C-101B-9397-08002B2CF9AE}" pid="3" name="KSOProductBuildVer">
    <vt:lpwstr>2052-12.1.0.22529</vt:lpwstr>
  </property>
  <property fmtid="{D5CDD505-2E9C-101B-9397-08002B2CF9AE}" pid="4" name="ICV">
    <vt:lpwstr>1B83E786C29140F39F894E1CBF955E2D_13</vt:lpwstr>
  </property>
</Properties>
</file>