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EF179">
      <w:pPr>
        <w:jc w:val="center"/>
        <w:rPr>
          <w:rFonts w:ascii="宋体" w:hAnsi="宋体" w:eastAsia="宋体" w:cs="宋体"/>
          <w:bCs/>
          <w:sz w:val="52"/>
          <w:szCs w:val="52"/>
        </w:rPr>
      </w:pPr>
      <w:r>
        <w:rPr>
          <w:rFonts w:hint="eastAsia" w:ascii="宋体" w:hAnsi="宋体" w:eastAsia="宋体" w:cs="宋体"/>
          <w:bCs/>
          <w:sz w:val="52"/>
          <w:szCs w:val="52"/>
        </w:rPr>
        <w:t>XXX常年法律服务合同</w:t>
      </w:r>
    </w:p>
    <w:p w14:paraId="202AD6C1">
      <w:pPr>
        <w:spacing w:line="600" w:lineRule="exact"/>
        <w:jc w:val="right"/>
        <w:rPr>
          <w:rFonts w:ascii="宋体" w:hAnsi="宋体" w:eastAsia="宋体" w:cs="宋体"/>
          <w:bCs/>
          <w:sz w:val="52"/>
          <w:szCs w:val="52"/>
        </w:rPr>
      </w:pPr>
      <w:r>
        <w:rPr>
          <w:rFonts w:hint="eastAsia" w:ascii="宋体" w:hAnsi="宋体" w:eastAsia="宋体" w:cs="宋体"/>
          <w:sz w:val="28"/>
          <w:szCs w:val="28"/>
        </w:rPr>
        <w:t>合同签订地：深圳市</w:t>
      </w:r>
    </w:p>
    <w:p w14:paraId="5C56BDCA">
      <w:pPr>
        <w:spacing w:line="400" w:lineRule="exact"/>
        <w:jc w:val="center"/>
        <w:rPr>
          <w:rFonts w:asciiTheme="minorEastAsia" w:hAnsiTheme="minorEastAsia" w:cstheme="minorEastAsia"/>
          <w:sz w:val="24"/>
          <w:szCs w:val="24"/>
        </w:rPr>
      </w:pPr>
    </w:p>
    <w:tbl>
      <w:tblPr>
        <w:tblStyle w:val="10"/>
        <w:tblpPr w:leftFromText="180" w:rightFromText="180" w:vertAnchor="text" w:horzAnchor="page" w:tblpX="1832" w:tblpY="252"/>
        <w:tblW w:w="0" w:type="auto"/>
        <w:tblInd w:w="0" w:type="dxa"/>
        <w:tblLayout w:type="fixed"/>
        <w:tblCellMar>
          <w:top w:w="0" w:type="dxa"/>
          <w:left w:w="108" w:type="dxa"/>
          <w:bottom w:w="0" w:type="dxa"/>
          <w:right w:w="108" w:type="dxa"/>
        </w:tblCellMar>
      </w:tblPr>
      <w:tblGrid>
        <w:gridCol w:w="8472"/>
      </w:tblGrid>
      <w:tr w14:paraId="73299DAB">
        <w:tblPrEx>
          <w:tblCellMar>
            <w:top w:w="0" w:type="dxa"/>
            <w:left w:w="108" w:type="dxa"/>
            <w:bottom w:w="0" w:type="dxa"/>
            <w:right w:w="108" w:type="dxa"/>
          </w:tblCellMar>
        </w:tblPrEx>
        <w:trPr>
          <w:trHeight w:val="567" w:hRule="atLeast"/>
        </w:trPr>
        <w:tc>
          <w:tcPr>
            <w:tcW w:w="8472" w:type="dxa"/>
          </w:tcPr>
          <w:p w14:paraId="229759F9">
            <w:pPr>
              <w:pStyle w:val="8"/>
              <w:shd w:val="clear" w:color="auto" w:fill="FFFFFF"/>
              <w:spacing w:line="440" w:lineRule="exact"/>
              <w:ind w:right="250"/>
              <w:rPr>
                <w:rFonts w:ascii="宋体" w:hAnsi="宋体" w:eastAsia="宋体" w:cs="宋体"/>
                <w:sz w:val="28"/>
                <w:szCs w:val="28"/>
              </w:rPr>
            </w:pPr>
            <w:r>
              <w:rPr>
                <w:rFonts w:hint="eastAsia" w:ascii="宋体" w:hAnsi="宋体" w:eastAsia="宋体" w:cs="宋体"/>
                <w:b/>
                <w:bCs/>
                <w:sz w:val="28"/>
                <w:szCs w:val="28"/>
              </w:rPr>
              <w:t>甲方</w:t>
            </w:r>
            <w:r>
              <w:rPr>
                <w:rFonts w:hint="eastAsia" w:ascii="宋体" w:hAnsi="宋体" w:eastAsia="宋体" w:cs="宋体"/>
                <w:sz w:val="28"/>
                <w:szCs w:val="28"/>
              </w:rPr>
              <w:t>：清华大学深圳国际研究生院</w:t>
            </w:r>
          </w:p>
          <w:p w14:paraId="0FDD09EC">
            <w:pPr>
              <w:pStyle w:val="17"/>
              <w:spacing w:line="312" w:lineRule="auto"/>
              <w:ind w:firstLine="840" w:firstLineChars="300"/>
              <w:rPr>
                <w:rFonts w:ascii="宋体" w:hAnsi="宋体" w:eastAsia="宋体" w:cs="宋体"/>
                <w:sz w:val="28"/>
                <w:szCs w:val="28"/>
              </w:rPr>
            </w:pPr>
            <w:r>
              <w:rPr>
                <w:rFonts w:hint="eastAsia" w:ascii="宋体" w:hAnsi="宋体" w:eastAsia="宋体" w:cs="宋体"/>
                <w:b w:val="0"/>
                <w:bCs/>
                <w:color w:val="000000"/>
                <w:sz w:val="28"/>
                <w:szCs w:val="28"/>
              </w:rPr>
              <w:t>（具体承办单位：</w:t>
            </w:r>
            <w:r>
              <w:rPr>
                <w:rFonts w:hint="eastAsia" w:ascii="宋体" w:hAnsi="宋体" w:eastAsia="宋体" w:cs="宋体"/>
                <w:b w:val="0"/>
                <w:bCs/>
                <w:color w:val="000000"/>
                <w:sz w:val="28"/>
                <w:szCs w:val="28"/>
                <w:u w:val="single"/>
              </w:rPr>
              <w:t xml:space="preserve">       </w:t>
            </w:r>
            <w:r>
              <w:rPr>
                <w:rFonts w:hint="eastAsia" w:ascii="宋体" w:hAnsi="宋体" w:eastAsia="宋体" w:cs="宋体"/>
                <w:b w:val="0"/>
                <w:bCs/>
                <w:color w:val="000000"/>
                <w:sz w:val="28"/>
                <w:szCs w:val="28"/>
              </w:rPr>
              <w:t>）</w:t>
            </w:r>
          </w:p>
        </w:tc>
      </w:tr>
      <w:tr w14:paraId="33B14366">
        <w:tblPrEx>
          <w:tblCellMar>
            <w:top w:w="0" w:type="dxa"/>
            <w:left w:w="108" w:type="dxa"/>
            <w:bottom w:w="0" w:type="dxa"/>
            <w:right w:w="108" w:type="dxa"/>
          </w:tblCellMar>
        </w:tblPrEx>
        <w:trPr>
          <w:trHeight w:val="567" w:hRule="atLeast"/>
        </w:trPr>
        <w:tc>
          <w:tcPr>
            <w:tcW w:w="8472" w:type="dxa"/>
          </w:tcPr>
          <w:p w14:paraId="2AAFF539">
            <w:pPr>
              <w:spacing w:line="440" w:lineRule="exact"/>
              <w:rPr>
                <w:rFonts w:ascii="宋体" w:hAnsi="宋体" w:eastAsia="宋体" w:cs="宋体"/>
                <w:sz w:val="28"/>
                <w:szCs w:val="28"/>
              </w:rPr>
            </w:pPr>
            <w:r>
              <w:rPr>
                <w:rFonts w:hint="eastAsia" w:ascii="宋体" w:hAnsi="宋体" w:eastAsia="宋体" w:cs="宋体"/>
                <w:sz w:val="28"/>
                <w:szCs w:val="28"/>
              </w:rPr>
              <w:t>联系人：</w:t>
            </w:r>
          </w:p>
        </w:tc>
      </w:tr>
      <w:tr w14:paraId="450914F2">
        <w:tblPrEx>
          <w:tblCellMar>
            <w:top w:w="0" w:type="dxa"/>
            <w:left w:w="108" w:type="dxa"/>
            <w:bottom w:w="0" w:type="dxa"/>
            <w:right w:w="108" w:type="dxa"/>
          </w:tblCellMar>
        </w:tblPrEx>
        <w:trPr>
          <w:trHeight w:val="567" w:hRule="atLeast"/>
        </w:trPr>
        <w:tc>
          <w:tcPr>
            <w:tcW w:w="8472" w:type="dxa"/>
          </w:tcPr>
          <w:p w14:paraId="5B69019C">
            <w:pPr>
              <w:spacing w:line="440" w:lineRule="exact"/>
              <w:rPr>
                <w:rFonts w:ascii="宋体" w:hAnsi="宋体" w:eastAsia="宋体" w:cs="宋体"/>
                <w:sz w:val="28"/>
                <w:szCs w:val="28"/>
              </w:rPr>
            </w:pPr>
            <w:r>
              <w:rPr>
                <w:rFonts w:hint="eastAsia" w:ascii="宋体" w:hAnsi="宋体" w:eastAsia="宋体" w:cs="宋体"/>
                <w:sz w:val="28"/>
                <w:szCs w:val="28"/>
              </w:rPr>
              <w:t>联系电话：</w:t>
            </w:r>
          </w:p>
        </w:tc>
      </w:tr>
      <w:tr w14:paraId="711DD216">
        <w:tblPrEx>
          <w:tblCellMar>
            <w:top w:w="0" w:type="dxa"/>
            <w:left w:w="108" w:type="dxa"/>
            <w:bottom w:w="0" w:type="dxa"/>
            <w:right w:w="108" w:type="dxa"/>
          </w:tblCellMar>
        </w:tblPrEx>
        <w:trPr>
          <w:trHeight w:val="567" w:hRule="atLeast"/>
        </w:trPr>
        <w:tc>
          <w:tcPr>
            <w:tcW w:w="8472" w:type="dxa"/>
          </w:tcPr>
          <w:p w14:paraId="091AD5A6">
            <w:pPr>
              <w:spacing w:line="440" w:lineRule="exact"/>
              <w:rPr>
                <w:rFonts w:ascii="宋体" w:hAnsi="宋体" w:eastAsia="宋体" w:cs="宋体"/>
                <w:sz w:val="28"/>
                <w:szCs w:val="28"/>
              </w:rPr>
            </w:pPr>
            <w:r>
              <w:rPr>
                <w:rFonts w:hint="eastAsia" w:ascii="宋体" w:hAnsi="宋体" w:eastAsia="宋体" w:cs="宋体"/>
                <w:sz w:val="28"/>
                <w:szCs w:val="28"/>
              </w:rPr>
              <w:t>地址：</w:t>
            </w:r>
          </w:p>
        </w:tc>
      </w:tr>
      <w:tr w14:paraId="58F632C5">
        <w:tblPrEx>
          <w:tblCellMar>
            <w:top w:w="0" w:type="dxa"/>
            <w:left w:w="108" w:type="dxa"/>
            <w:bottom w:w="0" w:type="dxa"/>
            <w:right w:w="108" w:type="dxa"/>
          </w:tblCellMar>
        </w:tblPrEx>
        <w:trPr>
          <w:trHeight w:val="567" w:hRule="atLeast"/>
        </w:trPr>
        <w:tc>
          <w:tcPr>
            <w:tcW w:w="8472" w:type="dxa"/>
          </w:tcPr>
          <w:p w14:paraId="2E952616">
            <w:pPr>
              <w:spacing w:line="440" w:lineRule="exact"/>
              <w:rPr>
                <w:rFonts w:ascii="宋体" w:hAnsi="宋体" w:eastAsia="宋体" w:cs="宋体"/>
                <w:sz w:val="28"/>
                <w:szCs w:val="28"/>
              </w:rPr>
            </w:pPr>
            <w:r>
              <w:rPr>
                <w:rFonts w:hint="eastAsia" w:ascii="宋体" w:hAnsi="宋体" w:eastAsia="宋体" w:cs="宋体"/>
                <w:b/>
                <w:bCs/>
                <w:sz w:val="28"/>
                <w:szCs w:val="28"/>
              </w:rPr>
              <w:t>乙方：</w:t>
            </w:r>
          </w:p>
        </w:tc>
      </w:tr>
      <w:tr w14:paraId="044D8B22">
        <w:tblPrEx>
          <w:tblCellMar>
            <w:top w:w="0" w:type="dxa"/>
            <w:left w:w="108" w:type="dxa"/>
            <w:bottom w:w="0" w:type="dxa"/>
            <w:right w:w="108" w:type="dxa"/>
          </w:tblCellMar>
        </w:tblPrEx>
        <w:trPr>
          <w:trHeight w:val="567" w:hRule="atLeast"/>
        </w:trPr>
        <w:tc>
          <w:tcPr>
            <w:tcW w:w="8472" w:type="dxa"/>
          </w:tcPr>
          <w:p w14:paraId="3F28B1DA">
            <w:pPr>
              <w:spacing w:line="440" w:lineRule="exact"/>
              <w:rPr>
                <w:rFonts w:ascii="宋体" w:hAnsi="宋体" w:eastAsia="宋体" w:cs="宋体"/>
                <w:sz w:val="28"/>
                <w:szCs w:val="28"/>
              </w:rPr>
            </w:pPr>
            <w:r>
              <w:rPr>
                <w:rFonts w:hint="eastAsia" w:ascii="宋体" w:hAnsi="宋体" w:eastAsia="宋体" w:cs="宋体"/>
                <w:sz w:val="28"/>
                <w:szCs w:val="28"/>
              </w:rPr>
              <w:t>联系人：</w:t>
            </w:r>
          </w:p>
        </w:tc>
      </w:tr>
      <w:tr w14:paraId="3F05B8C7">
        <w:tblPrEx>
          <w:tblCellMar>
            <w:top w:w="0" w:type="dxa"/>
            <w:left w:w="108" w:type="dxa"/>
            <w:bottom w:w="0" w:type="dxa"/>
            <w:right w:w="108" w:type="dxa"/>
          </w:tblCellMar>
        </w:tblPrEx>
        <w:trPr>
          <w:trHeight w:val="567" w:hRule="atLeast"/>
        </w:trPr>
        <w:tc>
          <w:tcPr>
            <w:tcW w:w="8472" w:type="dxa"/>
          </w:tcPr>
          <w:p w14:paraId="5F2BBAE6">
            <w:pPr>
              <w:spacing w:line="440" w:lineRule="exact"/>
              <w:rPr>
                <w:rFonts w:ascii="宋体" w:hAnsi="宋体" w:eastAsia="宋体" w:cs="宋体"/>
                <w:sz w:val="28"/>
                <w:szCs w:val="28"/>
              </w:rPr>
            </w:pPr>
            <w:r>
              <w:rPr>
                <w:rFonts w:hint="eastAsia" w:ascii="宋体" w:hAnsi="宋体" w:eastAsia="宋体" w:cs="宋体"/>
                <w:sz w:val="28"/>
                <w:szCs w:val="28"/>
              </w:rPr>
              <w:t>联系电话：</w:t>
            </w:r>
          </w:p>
        </w:tc>
      </w:tr>
      <w:tr w14:paraId="5C1DEC48">
        <w:tblPrEx>
          <w:tblCellMar>
            <w:top w:w="0" w:type="dxa"/>
            <w:left w:w="108" w:type="dxa"/>
            <w:bottom w:w="0" w:type="dxa"/>
            <w:right w:w="108" w:type="dxa"/>
          </w:tblCellMar>
        </w:tblPrEx>
        <w:trPr>
          <w:trHeight w:val="567" w:hRule="atLeast"/>
        </w:trPr>
        <w:tc>
          <w:tcPr>
            <w:tcW w:w="8472" w:type="dxa"/>
          </w:tcPr>
          <w:p w14:paraId="17C4D67C">
            <w:pPr>
              <w:rPr>
                <w:rFonts w:ascii="宋体" w:hAnsi="宋体" w:eastAsia="宋体" w:cs="宋体"/>
                <w:sz w:val="28"/>
                <w:szCs w:val="28"/>
              </w:rPr>
            </w:pPr>
            <w:r>
              <w:rPr>
                <w:rFonts w:hint="eastAsia" w:ascii="宋体" w:hAnsi="宋体" w:eastAsia="宋体" w:cs="宋体"/>
                <w:sz w:val="28"/>
                <w:szCs w:val="28"/>
              </w:rPr>
              <w:t>地址：</w:t>
            </w:r>
          </w:p>
        </w:tc>
      </w:tr>
    </w:tbl>
    <w:p w14:paraId="71841A15">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 xml:space="preserve">  </w:t>
      </w:r>
    </w:p>
    <w:p w14:paraId="2986AB25">
      <w:pPr>
        <w:spacing w:line="312" w:lineRule="auto"/>
        <w:ind w:firstLine="560" w:firstLineChars="200"/>
        <w:jc w:val="left"/>
        <w:rPr>
          <w:rFonts w:asciiTheme="minorEastAsia" w:hAnsiTheme="minorEastAsia" w:cstheme="minorEastAsia"/>
          <w:sz w:val="24"/>
          <w:szCs w:val="24"/>
        </w:rPr>
      </w:pPr>
      <w:r>
        <w:rPr>
          <w:rFonts w:hint="eastAsia" w:ascii="宋体" w:hAnsi="宋体" w:eastAsia="宋体" w:cs="宋体"/>
          <w:kern w:val="0"/>
          <w:sz w:val="28"/>
          <w:szCs w:val="28"/>
        </w:rPr>
        <w:t>根据</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项目（项目编号</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）的采购结果，</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为中标/成交方。按照《中华人民共和国民法典》（第三编合同）和《中华人民共和国政府采购法》、《深圳经济特区政府采购条例》等相关法律法规，经双方友好协商协商，达成以下合同条款：</w:t>
      </w:r>
    </w:p>
    <w:p w14:paraId="6B93D282">
      <w:pPr>
        <w:spacing w:line="312" w:lineRule="auto"/>
        <w:ind w:firstLine="480" w:firstLineChars="200"/>
        <w:jc w:val="left"/>
        <w:rPr>
          <w:rFonts w:asciiTheme="minorEastAsia" w:hAnsiTheme="minorEastAsia" w:cstheme="minorEastAsia"/>
          <w:sz w:val="24"/>
          <w:szCs w:val="24"/>
        </w:rPr>
      </w:pPr>
      <w:r>
        <w:rPr>
          <w:rFonts w:hint="eastAsia" w:asciiTheme="minorEastAsia" w:hAnsiTheme="minorEastAsia" w:cstheme="minorEastAsia"/>
          <w:sz w:val="24"/>
          <w:szCs w:val="24"/>
        </w:rPr>
        <w:t xml:space="preserve"> </w:t>
      </w:r>
    </w:p>
    <w:p w14:paraId="2E905625">
      <w:pPr>
        <w:spacing w:line="312" w:lineRule="auto"/>
        <w:jc w:val="left"/>
        <w:rPr>
          <w:rFonts w:ascii="宋体" w:hAnsi="宋体" w:eastAsia="宋体" w:cs="宋体"/>
          <w:b/>
          <w:bCs/>
          <w:sz w:val="28"/>
          <w:szCs w:val="28"/>
        </w:rPr>
      </w:pPr>
      <w:r>
        <w:rPr>
          <w:rFonts w:hint="eastAsia" w:ascii="宋体" w:hAnsi="宋体" w:eastAsia="宋体" w:cs="宋体"/>
          <w:b/>
          <w:bCs/>
          <w:sz w:val="28"/>
          <w:szCs w:val="28"/>
        </w:rPr>
        <w:t>一、项目概况</w:t>
      </w:r>
    </w:p>
    <w:p w14:paraId="6C804C67">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1. 甲方因发展需要，聘任乙方律师作为</w:t>
      </w:r>
      <w:r>
        <w:rPr>
          <w:rFonts w:hint="eastAsia" w:ascii="宋体" w:hAnsi="宋体" w:eastAsia="宋体" w:cs="宋体"/>
          <w:sz w:val="28"/>
          <w:szCs w:val="28"/>
          <w:u w:val="single"/>
        </w:rPr>
        <w:t>XXX</w:t>
      </w:r>
      <w:r>
        <w:rPr>
          <w:rFonts w:hint="eastAsia" w:ascii="宋体" w:hAnsi="宋体" w:eastAsia="宋体" w:cs="宋体"/>
          <w:sz w:val="28"/>
          <w:szCs w:val="28"/>
        </w:rPr>
        <w:t>常年法律顾问。乙方接受甲方的委托，同意并指派</w:t>
      </w:r>
      <w:r>
        <w:rPr>
          <w:rFonts w:hint="eastAsia" w:ascii="宋体" w:hAnsi="宋体" w:eastAsia="宋体" w:cs="宋体"/>
          <w:sz w:val="28"/>
          <w:szCs w:val="28"/>
          <w:u w:val="single"/>
        </w:rPr>
        <w:t xml:space="preserve">             </w:t>
      </w:r>
      <w:r>
        <w:rPr>
          <w:rFonts w:hint="eastAsia" w:ascii="宋体" w:hAnsi="宋体" w:eastAsia="宋体" w:cs="宋体"/>
          <w:sz w:val="28"/>
          <w:szCs w:val="28"/>
        </w:rPr>
        <w:t>律师（执业证号：</w:t>
      </w:r>
      <w:r>
        <w:rPr>
          <w:rFonts w:hint="eastAsia" w:ascii="宋体" w:hAnsi="宋体" w:eastAsia="宋体" w:cs="宋体"/>
          <w:sz w:val="28"/>
          <w:szCs w:val="28"/>
          <w:u w:val="single"/>
        </w:rPr>
        <w:t xml:space="preserve">                 </w:t>
      </w:r>
      <w:r>
        <w:rPr>
          <w:rFonts w:hint="eastAsia" w:ascii="宋体" w:hAnsi="宋体" w:eastAsia="宋体" w:cs="宋体"/>
          <w:sz w:val="28"/>
          <w:szCs w:val="28"/>
        </w:rPr>
        <w:t>）作为甲方的法律顾问。</w:t>
      </w:r>
    </w:p>
    <w:p w14:paraId="1E410A64">
      <w:pPr>
        <w:numPr>
          <w:ilvl w:val="0"/>
          <w:numId w:val="1"/>
        </w:num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乙方律师应以自己的专业知识和技能，在顾问期内为甲方提供综合性的法律服务。</w:t>
      </w:r>
    </w:p>
    <w:p w14:paraId="1BB34B81">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3.合同执行过程中，甲方如对乙方人员的工作不满意，</w:t>
      </w:r>
      <w:r>
        <w:rPr>
          <w:rFonts w:hint="eastAsia" w:ascii="宋体" w:hAnsi="宋体" w:eastAsia="宋体" w:cs="宋体"/>
          <w:sz w:val="28"/>
          <w:szCs w:val="28"/>
          <w:lang w:val="en-US" w:eastAsia="zh-CN"/>
        </w:rPr>
        <w:t>可</w:t>
      </w:r>
      <w:r>
        <w:rPr>
          <w:rFonts w:hint="eastAsia" w:ascii="宋体" w:hAnsi="宋体" w:eastAsia="宋体" w:cs="宋体"/>
          <w:sz w:val="28"/>
          <w:szCs w:val="28"/>
        </w:rPr>
        <w:t>提前20个工作日通知乙方，由乙方另外再安排同等资质的人员，并经甲方审核同意后，顶替其工作。乙方如需更换人员，需提前通知甲方并取得甲方同意。</w:t>
      </w:r>
    </w:p>
    <w:p w14:paraId="1246DADD">
      <w:pPr>
        <w:spacing w:line="312" w:lineRule="auto"/>
        <w:jc w:val="left"/>
        <w:rPr>
          <w:rFonts w:ascii="宋体" w:hAnsi="宋体" w:eastAsia="宋体" w:cs="宋体"/>
          <w:b/>
          <w:bCs/>
          <w:sz w:val="28"/>
          <w:szCs w:val="28"/>
        </w:rPr>
      </w:pPr>
      <w:r>
        <w:rPr>
          <w:rFonts w:hint="eastAsia" w:ascii="宋体" w:hAnsi="宋体" w:eastAsia="宋体" w:cs="宋体"/>
          <w:b/>
          <w:bCs/>
          <w:sz w:val="28"/>
          <w:szCs w:val="28"/>
        </w:rPr>
        <w:t>二、服务期限</w:t>
      </w:r>
    </w:p>
    <w:p w14:paraId="35F096E2">
      <w:pPr>
        <w:spacing w:line="312" w:lineRule="auto"/>
        <w:ind w:firstLine="560" w:firstLineChars="200"/>
        <w:jc w:val="left"/>
        <w:rPr>
          <w:rFonts w:ascii="宋体" w:hAnsi="宋体" w:eastAsia="宋体" w:cs="宋体"/>
          <w:sz w:val="28"/>
          <w:szCs w:val="28"/>
          <w:u w:val="single"/>
        </w:rPr>
      </w:pPr>
      <w:r>
        <w:rPr>
          <w:rFonts w:hint="eastAsia" w:ascii="宋体" w:hAnsi="宋体" w:eastAsia="宋体" w:cs="宋体"/>
          <w:sz w:val="28"/>
          <w:szCs w:val="28"/>
        </w:rPr>
        <w:t>合同有效期自</w:t>
      </w:r>
      <w:r>
        <w:rPr>
          <w:rFonts w:hint="eastAsia" w:ascii="宋体" w:hAnsi="宋体" w:eastAsia="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rPr>
        <w:t xml:space="preserve">   </w:t>
      </w:r>
      <w:r>
        <w:rPr>
          <w:rFonts w:hint="eastAsia" w:ascii="宋体" w:hAnsi="宋体" w:eastAsia="宋体" w:cs="宋体"/>
          <w:sz w:val="28"/>
          <w:szCs w:val="28"/>
        </w:rPr>
        <w:t>日至</w:t>
      </w:r>
      <w:r>
        <w:rPr>
          <w:rFonts w:hint="eastAsia" w:ascii="宋体" w:hAnsi="宋体" w:eastAsia="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rPr>
        <w:t xml:space="preserve">   </w:t>
      </w:r>
      <w:r>
        <w:rPr>
          <w:rFonts w:hint="eastAsia" w:ascii="宋体" w:hAnsi="宋体" w:eastAsia="宋体" w:cs="宋体"/>
          <w:sz w:val="28"/>
          <w:szCs w:val="28"/>
        </w:rPr>
        <w:t>日止。</w:t>
      </w:r>
      <w:r>
        <w:rPr>
          <w:rFonts w:hint="eastAsia" w:ascii="宋体" w:hAnsi="宋体" w:eastAsia="宋体" w:cs="宋体"/>
          <w:sz w:val="28"/>
          <w:szCs w:val="28"/>
          <w:u w:val="single"/>
        </w:rPr>
        <w:t>若乙方在本合同期限内，其管理服务水平达到既定的目标及承诺，且甲、乙双方合作良好，甲方可考虑与乙方续签合同，总合同期限不得超过三十六个月。</w:t>
      </w:r>
    </w:p>
    <w:p w14:paraId="25BA1B27">
      <w:pPr>
        <w:spacing w:line="312" w:lineRule="auto"/>
        <w:jc w:val="left"/>
        <w:rPr>
          <w:rFonts w:ascii="宋体" w:hAnsi="宋体" w:eastAsia="宋体" w:cs="宋体"/>
          <w:b/>
          <w:bCs/>
          <w:sz w:val="28"/>
          <w:szCs w:val="28"/>
        </w:rPr>
      </w:pPr>
      <w:r>
        <w:rPr>
          <w:rFonts w:hint="eastAsia" w:ascii="宋体" w:hAnsi="宋体" w:eastAsia="宋体" w:cs="宋体"/>
          <w:b/>
          <w:bCs/>
          <w:sz w:val="28"/>
          <w:szCs w:val="28"/>
        </w:rPr>
        <w:t>三、法律服务范围</w:t>
      </w:r>
    </w:p>
    <w:p w14:paraId="159B6772">
      <w:pPr>
        <w:spacing w:line="312" w:lineRule="auto"/>
        <w:ind w:firstLine="560" w:firstLineChars="200"/>
        <w:jc w:val="left"/>
        <w:rPr>
          <w:rFonts w:ascii="宋体" w:hAnsi="宋体" w:eastAsia="宋体" w:cs="宋体"/>
          <w:sz w:val="28"/>
          <w:szCs w:val="28"/>
          <w:u w:val="single"/>
        </w:rPr>
      </w:pPr>
      <w:r>
        <w:rPr>
          <w:rFonts w:hint="eastAsia" w:ascii="宋体" w:hAnsi="宋体" w:eastAsia="宋体" w:cs="宋体"/>
          <w:sz w:val="28"/>
          <w:szCs w:val="28"/>
          <w:u w:val="single"/>
        </w:rPr>
        <w:t>1.协助甲方草拟、制订、审查或修改各类合同、协议等法律文件或其他规范性文件（中英文）。</w:t>
      </w:r>
    </w:p>
    <w:p w14:paraId="08BE5ED5">
      <w:pPr>
        <w:spacing w:line="312" w:lineRule="auto"/>
        <w:ind w:firstLine="560" w:firstLineChars="200"/>
        <w:jc w:val="left"/>
        <w:rPr>
          <w:rFonts w:ascii="宋体" w:hAnsi="宋体" w:eastAsia="宋体" w:cs="宋体"/>
          <w:sz w:val="28"/>
          <w:szCs w:val="28"/>
          <w:u w:val="single"/>
        </w:rPr>
      </w:pPr>
      <w:r>
        <w:rPr>
          <w:rFonts w:hint="eastAsia" w:ascii="宋体" w:hAnsi="宋体" w:eastAsia="宋体" w:cs="宋体"/>
          <w:sz w:val="28"/>
          <w:szCs w:val="28"/>
          <w:u w:val="single"/>
        </w:rPr>
        <w:t>2.就甲方日常所涉及的法律问题或专项事务提供法律咨询服务并参与磋商、谈判以及提供咨询意见或进行可行性论证。</w:t>
      </w:r>
    </w:p>
    <w:p w14:paraId="28FC7F48">
      <w:pPr>
        <w:spacing w:line="312" w:lineRule="auto"/>
        <w:ind w:firstLine="560" w:firstLineChars="200"/>
        <w:jc w:val="left"/>
        <w:rPr>
          <w:rFonts w:ascii="宋体" w:hAnsi="宋体" w:eastAsia="宋体" w:cs="宋体"/>
          <w:sz w:val="28"/>
          <w:szCs w:val="28"/>
          <w:u w:val="single"/>
        </w:rPr>
      </w:pPr>
      <w:r>
        <w:rPr>
          <w:rFonts w:hint="eastAsia" w:ascii="宋体" w:hAnsi="宋体" w:eastAsia="宋体" w:cs="宋体"/>
          <w:sz w:val="28"/>
          <w:szCs w:val="28"/>
          <w:u w:val="single"/>
        </w:rPr>
        <w:t>3.就甲方重大决策进行法律分析、提供论证、审核意见。</w:t>
      </w:r>
    </w:p>
    <w:p w14:paraId="1D94432B">
      <w:pPr>
        <w:spacing w:line="312" w:lineRule="auto"/>
        <w:ind w:firstLine="560" w:firstLineChars="200"/>
        <w:jc w:val="left"/>
        <w:rPr>
          <w:rFonts w:ascii="宋体" w:hAnsi="宋体" w:eastAsia="宋体" w:cs="宋体"/>
          <w:sz w:val="28"/>
          <w:szCs w:val="28"/>
          <w:u w:val="single"/>
        </w:rPr>
      </w:pPr>
      <w:r>
        <w:rPr>
          <w:rFonts w:hint="eastAsia" w:ascii="宋体" w:hAnsi="宋体" w:eastAsia="宋体" w:cs="宋体"/>
          <w:sz w:val="28"/>
          <w:szCs w:val="28"/>
          <w:u w:val="single"/>
        </w:rPr>
        <w:t>4.就甲方已经面临或者可能发生的纠纷进行法律论证、提出解决方案、出具律师函或专项法律意见书、发表律师意见</w:t>
      </w:r>
      <w:bookmarkStart w:id="2" w:name="_GoBack"/>
      <w:r>
        <w:rPr>
          <w:rFonts w:hint="eastAsia" w:ascii="宋体" w:hAnsi="宋体" w:eastAsia="宋体" w:cs="宋体"/>
          <w:sz w:val="28"/>
          <w:szCs w:val="28"/>
          <w:u w:val="single"/>
        </w:rPr>
        <w:t>，以及参与非诉讼民事、商事谈判、协调、调解</w:t>
      </w:r>
      <w:bookmarkEnd w:id="2"/>
      <w:r>
        <w:rPr>
          <w:rFonts w:hint="eastAsia" w:ascii="宋体" w:hAnsi="宋体" w:eastAsia="宋体" w:cs="宋体"/>
          <w:sz w:val="28"/>
          <w:szCs w:val="28"/>
          <w:u w:val="single"/>
        </w:rPr>
        <w:t>等。</w:t>
      </w:r>
    </w:p>
    <w:p w14:paraId="6BD5789E">
      <w:pPr>
        <w:spacing w:line="312" w:lineRule="auto"/>
        <w:ind w:firstLine="560" w:firstLineChars="200"/>
        <w:jc w:val="left"/>
        <w:rPr>
          <w:rFonts w:ascii="宋体" w:hAnsi="宋体" w:eastAsia="宋体" w:cs="宋体"/>
          <w:sz w:val="28"/>
          <w:szCs w:val="28"/>
          <w:u w:val="single"/>
        </w:rPr>
      </w:pPr>
      <w:r>
        <w:rPr>
          <w:rFonts w:hint="eastAsia" w:ascii="宋体" w:hAnsi="宋体" w:eastAsia="宋体" w:cs="宋体"/>
          <w:sz w:val="28"/>
          <w:szCs w:val="28"/>
          <w:u w:val="single"/>
        </w:rPr>
        <w:t>5.应甲方要求讲授法律知识，为甲方提供法律法规及规章的教育培训服务。</w:t>
      </w:r>
    </w:p>
    <w:p w14:paraId="7A4134C5">
      <w:pPr>
        <w:spacing w:line="312" w:lineRule="auto"/>
        <w:ind w:firstLine="560" w:firstLineChars="200"/>
        <w:jc w:val="left"/>
        <w:rPr>
          <w:rFonts w:ascii="宋体" w:hAnsi="宋体" w:eastAsia="宋体" w:cs="宋体"/>
          <w:sz w:val="28"/>
          <w:szCs w:val="28"/>
          <w:u w:val="single"/>
        </w:rPr>
      </w:pPr>
      <w:r>
        <w:rPr>
          <w:rFonts w:hint="eastAsia" w:ascii="宋体" w:hAnsi="宋体" w:eastAsia="宋体" w:cs="宋体"/>
          <w:sz w:val="28"/>
          <w:szCs w:val="28"/>
          <w:u w:val="single"/>
        </w:rPr>
        <w:t>6.协助甲方审查内部规章制度，包括但不限于人事管理体系制度、合同管理制度等，解答甲方有关劳动法的问题，并协助甲方处理劳动争议，为甲方依法管理提供法律支持。</w:t>
      </w:r>
    </w:p>
    <w:p w14:paraId="41E59766">
      <w:pPr>
        <w:spacing w:line="312" w:lineRule="auto"/>
        <w:ind w:firstLine="560" w:firstLineChars="200"/>
        <w:jc w:val="left"/>
        <w:rPr>
          <w:rFonts w:ascii="宋体" w:hAnsi="宋体" w:eastAsia="宋体" w:cs="宋体"/>
          <w:sz w:val="28"/>
          <w:szCs w:val="28"/>
          <w:u w:val="single"/>
        </w:rPr>
      </w:pPr>
      <w:r>
        <w:rPr>
          <w:rFonts w:hint="eastAsia" w:ascii="宋体" w:hAnsi="宋体" w:eastAsia="宋体" w:cs="宋体"/>
          <w:sz w:val="28"/>
          <w:szCs w:val="28"/>
          <w:u w:val="single"/>
        </w:rPr>
        <w:t>7.每年向甲方提交年度法律顾问工作年度报告。</w:t>
      </w:r>
    </w:p>
    <w:p w14:paraId="063D0616">
      <w:pPr>
        <w:spacing w:line="312" w:lineRule="auto"/>
        <w:ind w:firstLine="560" w:firstLineChars="200"/>
        <w:jc w:val="left"/>
        <w:rPr>
          <w:rFonts w:ascii="宋体" w:hAnsi="宋体" w:eastAsia="宋体" w:cs="宋体"/>
          <w:sz w:val="28"/>
          <w:szCs w:val="28"/>
          <w:u w:val="single"/>
        </w:rPr>
      </w:pPr>
      <w:r>
        <w:rPr>
          <w:rFonts w:hint="eastAsia" w:ascii="宋体" w:hAnsi="宋体" w:eastAsia="宋体" w:cs="宋体"/>
          <w:sz w:val="28"/>
          <w:szCs w:val="28"/>
          <w:u w:val="single"/>
        </w:rPr>
        <w:t>8.办理双方商定的其他法律事务。</w:t>
      </w:r>
    </w:p>
    <w:p w14:paraId="372B6E4A">
      <w:pPr>
        <w:spacing w:line="312" w:lineRule="auto"/>
        <w:jc w:val="left"/>
        <w:rPr>
          <w:rFonts w:ascii="宋体" w:hAnsi="宋体" w:eastAsia="宋体" w:cs="宋体"/>
          <w:sz w:val="28"/>
          <w:szCs w:val="28"/>
          <w:u w:val="single"/>
        </w:rPr>
      </w:pPr>
      <w:r>
        <w:rPr>
          <w:rFonts w:hint="eastAsia" w:ascii="宋体" w:hAnsi="宋体" w:eastAsia="宋体" w:cs="宋体"/>
          <w:sz w:val="28"/>
          <w:szCs w:val="28"/>
          <w:u w:val="single"/>
        </w:rPr>
        <w:t xml:space="preserve">                                                                 </w:t>
      </w:r>
    </w:p>
    <w:p w14:paraId="102C05D3">
      <w:pPr>
        <w:spacing w:line="312" w:lineRule="auto"/>
        <w:jc w:val="left"/>
        <w:rPr>
          <w:rFonts w:ascii="宋体" w:hAnsi="宋体" w:eastAsia="宋体" w:cs="宋体"/>
          <w:b/>
          <w:bCs/>
          <w:sz w:val="28"/>
          <w:szCs w:val="28"/>
        </w:rPr>
      </w:pPr>
      <w:r>
        <w:rPr>
          <w:rFonts w:hint="eastAsia" w:ascii="宋体" w:hAnsi="宋体" w:eastAsia="宋体" w:cs="宋体"/>
          <w:b/>
          <w:bCs/>
          <w:sz w:val="28"/>
          <w:szCs w:val="28"/>
        </w:rPr>
        <w:t>四、双方权利义务</w:t>
      </w:r>
    </w:p>
    <w:p w14:paraId="457C3F73">
      <w:pPr>
        <w:spacing w:line="312" w:lineRule="auto"/>
        <w:jc w:val="left"/>
        <w:rPr>
          <w:rFonts w:ascii="宋体" w:hAnsi="宋体" w:eastAsia="宋体" w:cs="宋体"/>
          <w:sz w:val="28"/>
          <w:szCs w:val="28"/>
        </w:rPr>
      </w:pPr>
      <w:r>
        <w:rPr>
          <w:rFonts w:hint="eastAsia" w:ascii="宋体" w:hAnsi="宋体" w:eastAsia="宋体" w:cs="宋体"/>
          <w:sz w:val="28"/>
          <w:szCs w:val="28"/>
        </w:rPr>
        <w:t>（一）甲方权利义务</w:t>
      </w:r>
    </w:p>
    <w:p w14:paraId="13B76A3E">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1.及时、真实、详尽地向乙方律师提供与法律事项有关的情况报告、文件及其他书面材料等资料。</w:t>
      </w:r>
    </w:p>
    <w:p w14:paraId="64611C56">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2.积极、主动地配合乙方律师为甲方利益所从事的各项服务工作，并根据实际需要为乙方律师提供办公条件和其它便利。</w:t>
      </w:r>
    </w:p>
    <w:p w14:paraId="62644FD4">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3.甲方对乙方律师提出的项目工作要求应当明确、合理。</w:t>
      </w:r>
    </w:p>
    <w:p w14:paraId="613B4C0F">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4.按双方的约定按时、足额向乙方支付律师服务费和各项工作费用。</w:t>
      </w:r>
    </w:p>
    <w:p w14:paraId="3A447AF8">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5.甲方有责任对委托事项做出独立的判断、决策。乙方尊重甲方对委托代理事务做出的独立地判断和决策。甲方非根据乙方律师提供的法律意见、建议、方案所做出的决定而造成的损失，应由甲方承担。</w:t>
      </w:r>
    </w:p>
    <w:p w14:paraId="2DB4B8EB">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 xml:space="preserve">（二） 乙方的义务 </w:t>
      </w:r>
    </w:p>
    <w:p w14:paraId="59BA8525">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1. 乙方律师应当在取得甲方委托和收到甲方提供的文件资料后，充分运用自己的专业知识，谨慎、诚实、客观地为甲方提供本合同第三条所列法律服务，及时完成委托事项，维护甲方的利益，并应甲方要求通报工作进程。</w:t>
      </w:r>
    </w:p>
    <w:p w14:paraId="61D7AD6E">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2. 乙方律师的工作时间、地点应根据甲方的提议和乙方律师的安排，随时联系约定。乙方律师应当及时处理甲方委托的各项工作。如乙方主办合伙人或指定律师因故不能及时处理甲方委托的法律事务，应及时通知甲方，在征得甲方同意后，根据实际情况乙方可以指派具有相同资质和能力的其他律师履行本合同项下的义务。</w:t>
      </w:r>
    </w:p>
    <w:p w14:paraId="6D4EA71A">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3. 乙方在开展相关法律服务工作过程中所获悉的尚未为公众知晓的甲方的包括但不仅限于国家秘密、商业秘密以及甲方不愿意让外界知晓的全部信息及文件资料，乙方及乙方相关工作人员须保守秘密，不得向任何第三方披露，更不得利用上述保密信息从事任何有损甲方权益的活动。</w:t>
      </w:r>
    </w:p>
    <w:p w14:paraId="020E4CBB">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4. 乙方律师在担任常年法律顾问期间，不得为甲方员工个人提供任何不利于甲方的咨询意见；</w:t>
      </w:r>
    </w:p>
    <w:p w14:paraId="6ED2856C">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5．乙方为甲方提供法律服务，在不违背法律法规的前提下，应充分尊重甲方的意愿。</w:t>
      </w:r>
    </w:p>
    <w:p w14:paraId="5C658296">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6. 乙方律师未经甲方同意，不得担任与甲方具有法律利益冲突的另一方的法律顾问或者代理人。</w:t>
      </w:r>
    </w:p>
    <w:p w14:paraId="5D486941">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7.乙方对甲方业务应当单独建档，应为甲方保存完整的工作记录，妥善保管涉及甲方的原始资料、实物、证据、法律文件及相关材料。</w:t>
      </w:r>
    </w:p>
    <w:p w14:paraId="25E10004">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8．商标注册证等重要文件，应指派专人送达或以EMS快递方式寄送，甲方指定代表签收后视为有效送达。如因乙方原因导致文件丢失或损毁，乙方应尽快落实补救措施，并对甲方损失进行赔偿。</w:t>
      </w:r>
    </w:p>
    <w:p w14:paraId="37117082">
      <w:pPr>
        <w:spacing w:line="312" w:lineRule="auto"/>
        <w:jc w:val="left"/>
        <w:rPr>
          <w:rFonts w:ascii="宋体" w:hAnsi="宋体" w:eastAsia="宋体" w:cs="宋体"/>
          <w:b/>
          <w:bCs/>
          <w:sz w:val="28"/>
          <w:szCs w:val="28"/>
        </w:rPr>
      </w:pPr>
      <w:r>
        <w:rPr>
          <w:rFonts w:hint="eastAsia" w:ascii="宋体" w:hAnsi="宋体" w:eastAsia="宋体" w:cs="宋体"/>
          <w:b/>
          <w:bCs/>
          <w:sz w:val="28"/>
          <w:szCs w:val="28"/>
        </w:rPr>
        <w:t>五、服务费用及支付方式</w:t>
      </w:r>
    </w:p>
    <w:p w14:paraId="5BB487A3">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1.甲、乙双方协商确定法律服务费的金额及支付方式，乙方收取服务费，已充分考虑了以下因素：(1)耗费的工作时间；(2)法律事务的难易程度；(3)委托人的承受能力；(4)律师可能承担的风险和责任；(5)律师的社会信誉和工作水平。</w:t>
      </w:r>
    </w:p>
    <w:p w14:paraId="771F0E86">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2. 经甲乙双方友好协商一致，本合同费用总金额为¥</w:t>
      </w:r>
      <w:r>
        <w:rPr>
          <w:rFonts w:hint="eastAsia" w:ascii="宋体" w:hAnsi="宋体" w:eastAsia="宋体" w:cs="宋体"/>
          <w:sz w:val="28"/>
          <w:szCs w:val="28"/>
          <w:u w:val="single"/>
        </w:rPr>
        <w:t xml:space="preserve">  </w:t>
      </w:r>
      <w:r>
        <w:rPr>
          <w:rFonts w:hint="eastAsia" w:ascii="宋体" w:hAnsi="宋体" w:eastAsia="宋体" w:cs="宋体"/>
          <w:sz w:val="28"/>
          <w:szCs w:val="28"/>
        </w:rPr>
        <w:t>（大写：人民币</w:t>
      </w:r>
      <w:r>
        <w:rPr>
          <w:rFonts w:hint="eastAsia" w:ascii="宋体" w:hAnsi="宋体" w:eastAsia="宋体" w:cs="宋体"/>
          <w:sz w:val="28"/>
          <w:szCs w:val="28"/>
          <w:u w:val="single"/>
        </w:rPr>
        <w:t xml:space="preserve">              元整</w:t>
      </w:r>
      <w:r>
        <w:rPr>
          <w:rFonts w:hint="eastAsia" w:ascii="宋体" w:hAnsi="宋体" w:eastAsia="宋体" w:cs="宋体"/>
          <w:sz w:val="28"/>
          <w:szCs w:val="28"/>
        </w:rPr>
        <w:t>）（含税）。</w:t>
      </w:r>
    </w:p>
    <w:p w14:paraId="13A163EE">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3.支付方式：</w:t>
      </w:r>
    </w:p>
    <w:p w14:paraId="68BE050E">
      <w:pPr>
        <w:pStyle w:val="16"/>
        <w:spacing w:line="312" w:lineRule="auto"/>
        <w:ind w:firstLine="560"/>
        <w:jc w:val="left"/>
        <w:rPr>
          <w:rFonts w:ascii="宋体" w:hAnsi="宋体" w:eastAsia="宋体" w:cs="宋体"/>
          <w:color w:val="000000"/>
          <w:sz w:val="28"/>
          <w:szCs w:val="28"/>
        </w:rPr>
      </w:pPr>
      <w:r>
        <w:rPr>
          <w:rFonts w:hint="eastAsia" w:ascii="宋体" w:hAnsi="宋体" w:eastAsia="宋体" w:cs="宋体"/>
          <w:color w:val="000000"/>
          <w:sz w:val="28"/>
          <w:szCs w:val="28"/>
        </w:rPr>
        <w:t>甲方采用下列第</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条的方式支付合同价款。</w:t>
      </w:r>
    </w:p>
    <w:p w14:paraId="6A402DC4">
      <w:pPr>
        <w:pStyle w:val="16"/>
        <w:spacing w:line="312" w:lineRule="auto"/>
        <w:ind w:firstLine="560"/>
        <w:jc w:val="left"/>
        <w:rPr>
          <w:rFonts w:ascii="宋体" w:hAnsi="宋体" w:eastAsia="宋体" w:cs="宋体"/>
          <w:color w:val="000000"/>
          <w:sz w:val="28"/>
          <w:szCs w:val="28"/>
        </w:rPr>
      </w:pPr>
      <w:r>
        <w:rPr>
          <w:rFonts w:hint="eastAsia" w:ascii="宋体" w:hAnsi="宋体" w:eastAsia="宋体" w:cs="宋体"/>
          <w:color w:val="000000"/>
          <w:sz w:val="28"/>
          <w:szCs w:val="28"/>
        </w:rPr>
        <w:t>（1）乙方按照合同约定完成所有服务并经甲方验收合格后，甲方在收到乙方提交的下列全部单据并经审核无误后</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日内，一次性向乙方支付合同价款。</w:t>
      </w:r>
    </w:p>
    <w:p w14:paraId="55FD3069">
      <w:pPr>
        <w:pStyle w:val="16"/>
        <w:spacing w:line="312" w:lineRule="auto"/>
        <w:ind w:firstLine="560"/>
        <w:jc w:val="left"/>
        <w:rPr>
          <w:rFonts w:ascii="宋体" w:hAnsi="宋体" w:eastAsia="宋体" w:cs="宋体"/>
          <w:color w:val="000000"/>
          <w:sz w:val="28"/>
          <w:szCs w:val="28"/>
        </w:rPr>
      </w:pPr>
      <w:r>
        <w:rPr>
          <w:rFonts w:hint="eastAsia" w:ascii="宋体" w:hAnsi="宋体" w:eastAsia="宋体" w:cs="宋体"/>
          <w:color w:val="000000"/>
          <w:sz w:val="28"/>
          <w:szCs w:val="28"/>
        </w:rPr>
        <w:t>1）验收报告</w:t>
      </w:r>
    </w:p>
    <w:p w14:paraId="5CAAC65B">
      <w:pPr>
        <w:pStyle w:val="16"/>
        <w:spacing w:line="312" w:lineRule="auto"/>
        <w:ind w:firstLine="560"/>
        <w:jc w:val="left"/>
        <w:rPr>
          <w:rFonts w:ascii="宋体" w:hAnsi="宋体" w:eastAsia="宋体" w:cs="宋体"/>
          <w:color w:val="000000"/>
          <w:sz w:val="28"/>
          <w:szCs w:val="28"/>
        </w:rPr>
      </w:pPr>
      <w:r>
        <w:rPr>
          <w:rFonts w:hint="eastAsia" w:ascii="宋体" w:hAnsi="宋体" w:eastAsia="宋体" w:cs="宋体"/>
          <w:color w:val="000000"/>
          <w:sz w:val="28"/>
          <w:szCs w:val="28"/>
        </w:rPr>
        <w:t>2）合同价格100%金额的合法发票一份。</w:t>
      </w:r>
    </w:p>
    <w:p w14:paraId="7B90D09D">
      <w:pPr>
        <w:pStyle w:val="16"/>
        <w:spacing w:line="312" w:lineRule="auto"/>
        <w:ind w:firstLine="560"/>
        <w:jc w:val="left"/>
        <w:rPr>
          <w:rFonts w:ascii="宋体" w:hAnsi="宋体" w:eastAsia="宋体" w:cs="宋体"/>
          <w:color w:val="000000"/>
          <w:sz w:val="28"/>
          <w:szCs w:val="28"/>
        </w:rPr>
      </w:pPr>
      <w:r>
        <w:rPr>
          <w:rFonts w:hint="eastAsia" w:ascii="宋体" w:hAnsi="宋体" w:eastAsia="宋体" w:cs="宋体"/>
          <w:color w:val="000000"/>
          <w:sz w:val="28"/>
          <w:szCs w:val="28"/>
        </w:rPr>
        <w:t>（2）分期支付</w:t>
      </w:r>
    </w:p>
    <w:p w14:paraId="2285A932">
      <w:pPr>
        <w:pStyle w:val="16"/>
        <w:spacing w:line="312" w:lineRule="auto"/>
        <w:ind w:firstLine="560"/>
        <w:jc w:val="left"/>
        <w:rPr>
          <w:rFonts w:ascii="宋体" w:hAnsi="宋体" w:eastAsia="宋体" w:cs="宋体"/>
          <w:color w:val="000000"/>
          <w:sz w:val="28"/>
          <w:szCs w:val="28"/>
        </w:rPr>
      </w:pPr>
      <w:r>
        <w:rPr>
          <w:rFonts w:hint="eastAsia" w:ascii="宋体" w:hAnsi="宋体" w:eastAsia="宋体" w:cs="宋体"/>
          <w:color w:val="000000"/>
          <w:sz w:val="28"/>
          <w:szCs w:val="28"/>
        </w:rPr>
        <w:t>第1期：合同签订后，后10个工作日内向乙方支付合同价</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 xml:space="preserve">%作为预付款，即人民币：￥ </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元（</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元整）。</w:t>
      </w:r>
    </w:p>
    <w:p w14:paraId="203F3DCB">
      <w:pPr>
        <w:pStyle w:val="16"/>
        <w:spacing w:line="312" w:lineRule="auto"/>
        <w:ind w:firstLine="560"/>
        <w:jc w:val="left"/>
        <w:rPr>
          <w:rFonts w:ascii="宋体" w:hAnsi="宋体" w:eastAsia="宋体" w:cs="宋体"/>
          <w:color w:val="000000"/>
          <w:sz w:val="28"/>
          <w:szCs w:val="28"/>
        </w:rPr>
      </w:pPr>
      <w:r>
        <w:rPr>
          <w:rFonts w:hint="eastAsia" w:ascii="宋体" w:hAnsi="宋体" w:eastAsia="宋体" w:cs="宋体"/>
          <w:color w:val="000000"/>
          <w:sz w:val="28"/>
          <w:szCs w:val="28"/>
        </w:rPr>
        <w:t>第2期：乙方完成</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服务后，甲方向乙方支付合同金额</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%，即人民币：￥</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元（</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元整）。</w:t>
      </w:r>
    </w:p>
    <w:p w14:paraId="6F5EABF0">
      <w:pPr>
        <w:pStyle w:val="16"/>
        <w:spacing w:line="312" w:lineRule="auto"/>
        <w:ind w:firstLine="560"/>
        <w:jc w:val="left"/>
        <w:rPr>
          <w:rFonts w:ascii="宋体" w:hAnsi="宋体" w:eastAsia="宋体" w:cs="宋体"/>
          <w:color w:val="000000"/>
          <w:sz w:val="28"/>
          <w:szCs w:val="28"/>
        </w:rPr>
      </w:pPr>
      <w:r>
        <w:rPr>
          <w:rFonts w:hint="eastAsia" w:ascii="宋体" w:hAnsi="宋体" w:eastAsia="宋体" w:cs="宋体"/>
          <w:color w:val="000000"/>
          <w:sz w:val="28"/>
          <w:szCs w:val="28"/>
        </w:rPr>
        <w:t>第3期：乙方完成合同约定所有服务并经甲方验收合格后，甲方向乙方支付合同金额的</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%，即￥</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元（大写：</w:t>
      </w:r>
      <w:r>
        <w:rPr>
          <w:rFonts w:hint="eastAsia" w:ascii="宋体" w:hAnsi="宋体" w:eastAsia="宋体" w:cs="宋体"/>
          <w:color w:val="000000"/>
          <w:sz w:val="28"/>
          <w:szCs w:val="28"/>
          <w:u w:val="single"/>
        </w:rPr>
        <w:t xml:space="preserve">                    元整</w:t>
      </w:r>
      <w:r>
        <w:rPr>
          <w:rFonts w:hint="eastAsia" w:ascii="宋体" w:hAnsi="宋体" w:eastAsia="宋体" w:cs="宋体"/>
          <w:color w:val="000000"/>
          <w:sz w:val="28"/>
          <w:szCs w:val="28"/>
        </w:rPr>
        <w:t>）。</w:t>
      </w:r>
    </w:p>
    <w:p w14:paraId="1A3A71A9">
      <w:pPr>
        <w:pStyle w:val="16"/>
        <w:spacing w:line="312" w:lineRule="auto"/>
        <w:ind w:firstLine="560"/>
        <w:jc w:val="left"/>
        <w:rPr>
          <w:rFonts w:ascii="宋体" w:hAnsi="宋体" w:eastAsia="宋体" w:cs="宋体"/>
          <w:b/>
          <w:bCs/>
          <w:color w:val="000000"/>
          <w:sz w:val="28"/>
          <w:szCs w:val="28"/>
        </w:rPr>
      </w:pPr>
      <w:r>
        <w:rPr>
          <w:rFonts w:hint="eastAsia" w:ascii="宋体" w:hAnsi="宋体" w:eastAsia="宋体" w:cs="宋体"/>
          <w:color w:val="000000"/>
          <w:sz w:val="28"/>
          <w:szCs w:val="28"/>
        </w:rPr>
        <w:t>4.甲方按照乙方提供的银行账户支付货款后，因乙方提供账户或者账号相关信息遗漏、错误等原因所产生的后果由乙方自行承担。</w:t>
      </w:r>
    </w:p>
    <w:p w14:paraId="1E0E8736">
      <w:pPr>
        <w:pStyle w:val="16"/>
        <w:spacing w:line="312" w:lineRule="auto"/>
        <w:ind w:firstLine="560"/>
        <w:jc w:val="left"/>
      </w:pPr>
      <w:r>
        <w:rPr>
          <w:rFonts w:hint="eastAsia" w:ascii="宋体" w:hAnsi="宋体" w:eastAsia="宋体" w:cs="宋体"/>
          <w:bCs/>
          <w:color w:val="000000"/>
          <w:sz w:val="28"/>
          <w:szCs w:val="28"/>
        </w:rPr>
        <w:t>5.乙方同意，所有付款均在政府财政部门划拨款项到位后支付，甲方不承担因财政审批或拨款延迟造成延迟付款的违约责任。</w:t>
      </w:r>
    </w:p>
    <w:p w14:paraId="223CC182">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6.乙方指定收款账户信息如下：</w:t>
      </w:r>
    </w:p>
    <w:p w14:paraId="7F7F6C0B">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 xml:space="preserve">账户名称: </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p>
    <w:p w14:paraId="7A40A1B8">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账    号：</w:t>
      </w:r>
      <w:r>
        <w:rPr>
          <w:rFonts w:hint="eastAsia" w:ascii="宋体" w:hAnsi="宋体" w:eastAsia="宋体" w:cs="宋体"/>
          <w:sz w:val="28"/>
          <w:szCs w:val="28"/>
          <w:u w:val="single"/>
        </w:rPr>
        <w:t xml:space="preserve">                        </w:t>
      </w:r>
    </w:p>
    <w:p w14:paraId="54643FFE">
      <w:pPr>
        <w:spacing w:line="312" w:lineRule="auto"/>
        <w:ind w:firstLine="560" w:firstLineChars="200"/>
        <w:jc w:val="left"/>
        <w:rPr>
          <w:rFonts w:ascii="宋体" w:hAnsi="宋体" w:eastAsia="宋体" w:cs="宋体"/>
          <w:sz w:val="28"/>
          <w:szCs w:val="28"/>
          <w:u w:val="single"/>
        </w:rPr>
      </w:pPr>
      <w:r>
        <w:rPr>
          <w:rFonts w:hint="eastAsia" w:ascii="宋体" w:hAnsi="宋体" w:eastAsia="宋体" w:cs="宋体"/>
          <w:sz w:val="28"/>
          <w:szCs w:val="28"/>
        </w:rPr>
        <w:t>开户银行：</w:t>
      </w:r>
      <w:r>
        <w:rPr>
          <w:rFonts w:hint="eastAsia" w:ascii="宋体" w:hAnsi="宋体" w:eastAsia="宋体" w:cs="宋体"/>
          <w:sz w:val="28"/>
          <w:szCs w:val="28"/>
          <w:u w:val="single"/>
        </w:rPr>
        <w:t xml:space="preserve">                        </w:t>
      </w:r>
    </w:p>
    <w:p w14:paraId="310E3D25">
      <w:pPr>
        <w:spacing w:line="312" w:lineRule="auto"/>
        <w:jc w:val="left"/>
        <w:rPr>
          <w:rFonts w:ascii="宋体" w:hAnsi="宋体" w:eastAsia="宋体" w:cs="宋体"/>
          <w:b/>
          <w:bCs/>
          <w:sz w:val="28"/>
          <w:szCs w:val="28"/>
        </w:rPr>
      </w:pPr>
      <w:r>
        <w:rPr>
          <w:rFonts w:hint="eastAsia" w:ascii="宋体" w:hAnsi="宋体" w:eastAsia="宋体" w:cs="宋体"/>
          <w:b/>
          <w:bCs/>
          <w:sz w:val="28"/>
          <w:szCs w:val="28"/>
        </w:rPr>
        <w:t>六、工作费用</w:t>
      </w:r>
    </w:p>
    <w:p w14:paraId="62383979">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1．乙方律师从事与完成甲方委托的法律事务有关的活动而发生的必要及合理的、由第三方服务机构收取的费用，由甲方自行支付，包括但不限于翻译费、公证费、评估费、查档费等，但该费用支出应由甲方事先确认同意。乙方代甲方支付上述费用的，应当凭有效票证与甲方结算。</w:t>
      </w:r>
    </w:p>
    <w:p w14:paraId="4A49888C">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2．乙方为甲方办理法律事务，所需要的差旅费用</w:t>
      </w:r>
      <w:bookmarkStart w:id="0" w:name="_Hlk501975470"/>
      <w:r>
        <w:rPr>
          <w:rFonts w:hint="eastAsia" w:ascii="宋体" w:hAnsi="宋体" w:eastAsia="宋体" w:cs="宋体"/>
          <w:sz w:val="28"/>
          <w:szCs w:val="28"/>
        </w:rPr>
        <w:t>凭乙方律师提供的有效票据据实报销</w:t>
      </w:r>
      <w:bookmarkEnd w:id="0"/>
      <w:r>
        <w:rPr>
          <w:rFonts w:hint="eastAsia" w:ascii="宋体" w:hAnsi="宋体" w:eastAsia="宋体" w:cs="宋体"/>
          <w:sz w:val="28"/>
          <w:szCs w:val="28"/>
        </w:rPr>
        <w:t>。若乙方预收差旅费，乙方应事先与甲方书面协商费用概算，乙方办理法律事务完毕后，应及时凭有效票据与甲方结算办案差旅费，多退少补。</w:t>
      </w:r>
    </w:p>
    <w:p w14:paraId="19035B8F">
      <w:pPr>
        <w:spacing w:line="312" w:lineRule="auto"/>
        <w:jc w:val="left"/>
        <w:rPr>
          <w:rFonts w:ascii="宋体" w:hAnsi="宋体" w:eastAsia="宋体" w:cs="宋体"/>
          <w:b/>
          <w:bCs/>
          <w:sz w:val="28"/>
          <w:szCs w:val="28"/>
        </w:rPr>
      </w:pPr>
      <w:r>
        <w:rPr>
          <w:rFonts w:hint="eastAsia" w:ascii="宋体" w:hAnsi="宋体" w:eastAsia="宋体" w:cs="宋体"/>
          <w:b/>
          <w:bCs/>
          <w:sz w:val="28"/>
          <w:szCs w:val="28"/>
        </w:rPr>
        <w:t>七、知识产权及保密</w:t>
      </w:r>
    </w:p>
    <w:p w14:paraId="346FE21C">
      <w:pPr>
        <w:ind w:firstLine="560" w:firstLineChars="200"/>
        <w:jc w:val="left"/>
        <w:rPr>
          <w:rFonts w:ascii="宋体" w:hAnsi="宋体" w:eastAsia="宋体" w:cs="宋体"/>
          <w:sz w:val="28"/>
          <w:szCs w:val="28"/>
        </w:rPr>
      </w:pPr>
      <w:r>
        <w:rPr>
          <w:rFonts w:hint="eastAsia" w:ascii="宋体" w:hAnsi="宋体" w:eastAsia="宋体" w:cs="宋体"/>
          <w:sz w:val="28"/>
          <w:szCs w:val="28"/>
        </w:rPr>
        <w:t>1.乙方承诺所提供的服务或其任何一部分均不会侵犯任何第三方的专利权、商标权或著作权。否则视为乙方违约。乙方应负担由此而产生的一切损失。</w:t>
      </w:r>
    </w:p>
    <w:p w14:paraId="081AAD2D">
      <w:pPr>
        <w:ind w:firstLine="560" w:firstLineChars="200"/>
        <w:jc w:val="left"/>
        <w:rPr>
          <w:rFonts w:ascii="宋体" w:hAnsi="宋体" w:eastAsia="宋体" w:cs="宋体"/>
          <w:sz w:val="28"/>
          <w:szCs w:val="28"/>
        </w:rPr>
      </w:pPr>
      <w:r>
        <w:rPr>
          <w:rFonts w:hint="eastAsia" w:ascii="宋体" w:hAnsi="宋体" w:eastAsia="宋体" w:cs="宋体"/>
          <w:sz w:val="28"/>
          <w:szCs w:val="28"/>
        </w:rPr>
        <w:t>2.由甲方收集的、开发的、整理的、复制的、研究的和准备的与本合同项下工作有关的所有资料在提供给乙方时，均被视为保密的，不得泄漏给除甲方或其指定的代表之外的任何人、企业或公司，不管本合同因何种原因终止，本条款一直约束乙方。</w:t>
      </w:r>
    </w:p>
    <w:p w14:paraId="2E91E5BF">
      <w:pPr>
        <w:ind w:firstLine="560" w:firstLineChars="200"/>
        <w:jc w:val="left"/>
        <w:rPr>
          <w:rFonts w:ascii="宋体" w:hAnsi="宋体" w:eastAsia="宋体" w:cs="宋体"/>
          <w:sz w:val="28"/>
          <w:szCs w:val="28"/>
        </w:rPr>
      </w:pPr>
      <w:r>
        <w:rPr>
          <w:rFonts w:hint="eastAsia" w:ascii="宋体" w:hAnsi="宋体" w:eastAsia="宋体" w:cs="宋体"/>
          <w:sz w:val="28"/>
          <w:szCs w:val="28"/>
        </w:rPr>
        <w:t>3.乙方在履行合同过程中所获得或接触到的任何内部数据资料，未经甲方同意，不得向第三方透露。</w:t>
      </w:r>
    </w:p>
    <w:p w14:paraId="74C886DA">
      <w:pPr>
        <w:ind w:firstLine="560" w:firstLineChars="200"/>
        <w:jc w:val="left"/>
        <w:rPr>
          <w:rFonts w:ascii="宋体" w:hAnsi="宋体" w:eastAsia="宋体" w:cs="宋体"/>
          <w:sz w:val="28"/>
          <w:szCs w:val="28"/>
        </w:rPr>
      </w:pPr>
      <w:r>
        <w:rPr>
          <w:rFonts w:hint="eastAsia" w:ascii="宋体" w:hAnsi="宋体" w:eastAsia="宋体" w:cs="宋体"/>
          <w:sz w:val="28"/>
          <w:szCs w:val="28"/>
        </w:rPr>
        <w:t>4.乙方实施项目的一切程序都应符合国家安全、保密的有关规定和标准。</w:t>
      </w:r>
    </w:p>
    <w:p w14:paraId="1DDFAEE0">
      <w:pPr>
        <w:spacing w:line="312" w:lineRule="auto"/>
        <w:jc w:val="left"/>
        <w:rPr>
          <w:rFonts w:ascii="宋体" w:hAnsi="宋体" w:eastAsia="宋体" w:cs="宋体"/>
          <w:b/>
          <w:bCs/>
          <w:sz w:val="28"/>
          <w:szCs w:val="28"/>
        </w:rPr>
      </w:pPr>
      <w:r>
        <w:rPr>
          <w:rFonts w:hint="eastAsia" w:ascii="宋体" w:hAnsi="宋体" w:eastAsia="宋体" w:cs="宋体"/>
          <w:b/>
          <w:bCs/>
          <w:sz w:val="28"/>
          <w:szCs w:val="28"/>
        </w:rPr>
        <w:t>八、合同的解除</w:t>
      </w:r>
    </w:p>
    <w:p w14:paraId="4379A370">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1．乙方有下列情形之一的，甲方有权解除合同：</w:t>
      </w:r>
    </w:p>
    <w:p w14:paraId="267E84EC">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（1）未经甲方同意，擅自更换作为甲方常年法律顾问的律师或乙方提供的律师未能按照合同约定完成服务事项的；</w:t>
      </w:r>
    </w:p>
    <w:p w14:paraId="6A436573">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（2）乙方律师履行本合同义务存在违法执业、工作延误、失职、故意或重大过失给甲方造成损失的；</w:t>
      </w:r>
    </w:p>
    <w:p w14:paraId="3D819B86">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（3）乙方违反本合同约定义务，经甲方提出异议15日后仍未更正或采取补救措施的。</w:t>
      </w:r>
    </w:p>
    <w:p w14:paraId="4F56E3B6">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2．甲方有下列情形之一的，乙方有权解除合同：</w:t>
      </w:r>
    </w:p>
    <w:p w14:paraId="0F98CAEC">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（1）甲方的委托事项违反法律或者违反律师执业规范的；</w:t>
      </w:r>
    </w:p>
    <w:p w14:paraId="25014D76">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（2）甲方有捏造事实、伪造证据或者隐瞒重要情节等情形，致使乙方律师不能提供有效的法律服务的；</w:t>
      </w:r>
    </w:p>
    <w:p w14:paraId="39A3F8D2">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（3）甲方逾期十五个工作日仍不向乙方支付服务费或者工作费用的。</w:t>
      </w:r>
    </w:p>
    <w:p w14:paraId="7F4D4676">
      <w:pPr>
        <w:spacing w:line="312" w:lineRule="auto"/>
        <w:jc w:val="left"/>
        <w:rPr>
          <w:rFonts w:ascii="宋体" w:hAnsi="宋体" w:eastAsia="宋体" w:cs="宋体"/>
          <w:b/>
          <w:bCs/>
          <w:sz w:val="28"/>
          <w:szCs w:val="28"/>
        </w:rPr>
      </w:pPr>
      <w:r>
        <w:rPr>
          <w:rFonts w:hint="eastAsia" w:ascii="宋体" w:hAnsi="宋体" w:eastAsia="宋体" w:cs="宋体"/>
          <w:b/>
          <w:bCs/>
          <w:sz w:val="28"/>
          <w:szCs w:val="28"/>
        </w:rPr>
        <w:t>九、违约责任</w:t>
      </w:r>
    </w:p>
    <w:p w14:paraId="36E01361">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1.乙方无正当理由在甲方提出要求后不提供第三条规定的法律服务或者违反第四条规定的义务，甲方有权要求乙方退还相应部分的法律服务费用，并承担本合同服务费用总金额</w:t>
      </w:r>
      <w:r>
        <w:rPr>
          <w:rFonts w:hint="eastAsia" w:ascii="宋体" w:hAnsi="宋体" w:eastAsia="宋体" w:cs="宋体"/>
          <w:sz w:val="28"/>
          <w:szCs w:val="28"/>
          <w:u w:val="single"/>
        </w:rPr>
        <w:t xml:space="preserve"> 10  </w:t>
      </w:r>
      <w:r>
        <w:rPr>
          <w:rFonts w:hint="eastAsia" w:ascii="宋体" w:hAnsi="宋体" w:eastAsia="宋体" w:cs="宋体"/>
          <w:sz w:val="28"/>
          <w:szCs w:val="28"/>
        </w:rPr>
        <w:t>%的违约责任。</w:t>
      </w:r>
    </w:p>
    <w:p w14:paraId="7947FCE0">
      <w:pPr>
        <w:spacing w:line="312" w:lineRule="auto"/>
        <w:ind w:firstLine="560" w:firstLineChars="200"/>
        <w:jc w:val="left"/>
        <w:rPr>
          <w:rFonts w:ascii="宋体" w:hAnsi="宋体" w:eastAsia="宋体" w:cs="宋体"/>
          <w:sz w:val="28"/>
          <w:szCs w:val="28"/>
        </w:rPr>
      </w:pPr>
      <w:r>
        <w:rPr>
          <w:rFonts w:hint="eastAsia" w:ascii="宋体" w:hAnsi="宋体" w:eastAsia="宋体" w:cs="宋体"/>
          <w:sz w:val="28"/>
          <w:szCs w:val="28"/>
        </w:rPr>
        <w:t>2.甲方无正当理由不支付法律顾问费或者工作费用，或者无故终止合同，乙方有权要求甲方支付未付的法律顾问费和未报销的工作费用。</w:t>
      </w:r>
    </w:p>
    <w:p w14:paraId="3048133D">
      <w:pPr>
        <w:pStyle w:val="4"/>
        <w:spacing w:line="312" w:lineRule="auto"/>
        <w:ind w:firstLine="560" w:firstLineChars="200"/>
        <w:jc w:val="left"/>
        <w:rPr>
          <w:rFonts w:ascii="宋体" w:hAnsi="宋体" w:eastAsia="宋体" w:cs="宋体"/>
          <w:b w:val="0"/>
          <w:szCs w:val="28"/>
        </w:rPr>
      </w:pPr>
      <w:r>
        <w:rPr>
          <w:rFonts w:hint="eastAsia" w:ascii="宋体" w:hAnsi="宋体" w:eastAsia="宋体" w:cs="宋体"/>
          <w:b w:val="0"/>
          <w:szCs w:val="28"/>
        </w:rPr>
        <w:t>3.在本合同履行期间，因乙方工作延误、失职、失误导致甲方遭受损失或者违反本合同约定之乙方义务并给甲方造成损失的，乙方应当通过其所投保的执业保险向甲方承担赔偿责任。</w:t>
      </w:r>
    </w:p>
    <w:p w14:paraId="1815FCA1">
      <w:pPr>
        <w:pStyle w:val="4"/>
        <w:spacing w:line="312" w:lineRule="auto"/>
        <w:ind w:firstLine="560" w:firstLineChars="200"/>
        <w:jc w:val="left"/>
        <w:rPr>
          <w:rFonts w:ascii="宋体" w:hAnsi="宋体" w:eastAsia="宋体" w:cs="宋体"/>
          <w:b w:val="0"/>
          <w:szCs w:val="28"/>
        </w:rPr>
      </w:pPr>
      <w:r>
        <w:rPr>
          <w:rFonts w:hint="eastAsia" w:ascii="宋体" w:hAnsi="宋体" w:eastAsia="宋体" w:cs="宋体"/>
          <w:b w:val="0"/>
          <w:szCs w:val="28"/>
        </w:rPr>
        <w:t>4.被乙方指派的律师因故不能履行义务时，经甲方事先同意可由具有同等资历的乙方其他执业律师代为履行相关法律服务，乙方指派的其他律师不能履行本合同约定的法律服务事项的，甲方有权要求更换律师或终止合同，乙方应退还甲方已支付的全部或部分费用。</w:t>
      </w:r>
    </w:p>
    <w:p w14:paraId="2124A3F4">
      <w:pPr>
        <w:spacing w:line="312" w:lineRule="auto"/>
        <w:jc w:val="left"/>
        <w:rPr>
          <w:rFonts w:ascii="宋体" w:hAnsi="宋体" w:eastAsia="宋体" w:cs="宋体"/>
          <w:b/>
          <w:bCs/>
          <w:sz w:val="28"/>
          <w:szCs w:val="28"/>
        </w:rPr>
      </w:pPr>
      <w:r>
        <w:rPr>
          <w:rFonts w:hint="eastAsia" w:ascii="宋体" w:hAnsi="宋体" w:eastAsia="宋体" w:cs="宋体"/>
          <w:b/>
          <w:bCs/>
          <w:sz w:val="28"/>
          <w:szCs w:val="28"/>
        </w:rPr>
        <w:t>十、争议的解决</w:t>
      </w:r>
    </w:p>
    <w:p w14:paraId="3BE5D05E">
      <w:pPr>
        <w:ind w:firstLine="560" w:firstLineChars="200"/>
        <w:jc w:val="left"/>
        <w:rPr>
          <w:rFonts w:ascii="宋体" w:hAnsi="宋体" w:eastAsia="宋体" w:cs="宋体"/>
          <w:sz w:val="28"/>
          <w:szCs w:val="28"/>
        </w:rPr>
      </w:pPr>
      <w:r>
        <w:rPr>
          <w:rFonts w:hint="eastAsia" w:ascii="宋体" w:hAnsi="宋体" w:eastAsia="宋体" w:cs="宋体"/>
          <w:sz w:val="28"/>
          <w:szCs w:val="28"/>
        </w:rPr>
        <w:t>本合同适用中华人民共和国法律。由本合同产生或与本合同有关的任何纠纷，将由双方友好协商解决。协商不成的，任何一方可</w:t>
      </w:r>
      <w:r>
        <w:rPr>
          <w:rFonts w:ascii="宋体" w:hAnsi="宋体" w:eastAsia="宋体" w:cs="宋体"/>
          <w:sz w:val="28"/>
          <w:szCs w:val="28"/>
        </w:rPr>
        <w:t>向深圳国际仲裁院申请仲裁，仲裁是终局的，对双方均具有法律约束力。</w:t>
      </w:r>
    </w:p>
    <w:p w14:paraId="57F105C7">
      <w:pPr>
        <w:ind w:firstLine="560" w:firstLineChars="200"/>
        <w:jc w:val="left"/>
        <w:rPr>
          <w:rFonts w:ascii="宋体" w:hAnsi="宋体" w:eastAsia="宋体" w:cs="宋体"/>
          <w:b/>
          <w:bCs/>
          <w:sz w:val="28"/>
          <w:szCs w:val="28"/>
        </w:rPr>
      </w:pPr>
      <w:r>
        <w:rPr>
          <w:rFonts w:hint="eastAsia" w:ascii="宋体" w:hAnsi="宋体" w:eastAsia="宋体" w:cs="宋体"/>
          <w:sz w:val="28"/>
          <w:szCs w:val="28"/>
        </w:rPr>
        <w:t>在仲裁期间，除正在进行仲裁部分外，合同其他部分继续执行。</w:t>
      </w:r>
      <w:r>
        <w:rPr>
          <w:rFonts w:hint="eastAsia" w:ascii="宋体" w:hAnsi="宋体" w:eastAsia="宋体" w:cs="宋体"/>
          <w:b/>
          <w:bCs/>
          <w:sz w:val="28"/>
          <w:szCs w:val="28"/>
        </w:rPr>
        <w:t>十一</w:t>
      </w:r>
      <w:r>
        <w:rPr>
          <w:rFonts w:hint="eastAsia" w:ascii="宋体" w:hAnsi="宋体" w:eastAsia="宋体" w:cs="宋体"/>
          <w:sz w:val="28"/>
          <w:szCs w:val="28"/>
        </w:rPr>
        <w:t>、</w:t>
      </w:r>
      <w:r>
        <w:rPr>
          <w:rFonts w:hint="eastAsia" w:ascii="宋体" w:hAnsi="宋体" w:eastAsia="宋体" w:cs="宋体"/>
          <w:b/>
          <w:bCs/>
          <w:sz w:val="28"/>
          <w:szCs w:val="28"/>
        </w:rPr>
        <w:t>合同的生效</w:t>
      </w:r>
    </w:p>
    <w:p w14:paraId="7AB88755">
      <w:pPr>
        <w:pStyle w:val="14"/>
        <w:adjustRightInd w:val="0"/>
        <w:snapToGrid w:val="0"/>
        <w:spacing w:line="312" w:lineRule="auto"/>
        <w:ind w:firstLine="560"/>
        <w:jc w:val="left"/>
        <w:rPr>
          <w:rFonts w:ascii="宋体" w:hAnsi="宋体" w:eastAsia="宋体" w:cs="宋体"/>
          <w:sz w:val="28"/>
          <w:szCs w:val="28"/>
        </w:rPr>
      </w:pPr>
      <w:r>
        <w:rPr>
          <w:rFonts w:hint="eastAsia" w:ascii="宋体" w:hAnsi="宋体" w:eastAsia="宋体" w:cs="宋体"/>
          <w:sz w:val="28"/>
          <w:szCs w:val="28"/>
        </w:rPr>
        <w:t>1. 本合同壹式</w:t>
      </w:r>
      <w:r>
        <w:rPr>
          <w:rFonts w:hint="eastAsia" w:ascii="宋体" w:hAnsi="宋体" w:eastAsia="宋体" w:cs="宋体"/>
          <w:sz w:val="28"/>
          <w:szCs w:val="28"/>
          <w:u w:val="single"/>
        </w:rPr>
        <w:t xml:space="preserve">    </w:t>
      </w:r>
      <w:r>
        <w:rPr>
          <w:rFonts w:hint="eastAsia" w:ascii="宋体" w:hAnsi="宋体" w:eastAsia="宋体" w:cs="宋体"/>
          <w:sz w:val="28"/>
          <w:szCs w:val="28"/>
        </w:rPr>
        <w:t>份，甲乙双方各执</w:t>
      </w:r>
      <w:r>
        <w:rPr>
          <w:rFonts w:hint="eastAsia" w:ascii="宋体" w:hAnsi="宋体" w:eastAsia="宋体" w:cs="宋体"/>
          <w:sz w:val="28"/>
          <w:szCs w:val="28"/>
          <w:u w:val="single"/>
        </w:rPr>
        <w:t xml:space="preserve">    </w:t>
      </w:r>
      <w:r>
        <w:rPr>
          <w:rFonts w:hint="eastAsia" w:ascii="宋体" w:hAnsi="宋体" w:eastAsia="宋体" w:cs="宋体"/>
          <w:sz w:val="28"/>
          <w:szCs w:val="28"/>
        </w:rPr>
        <w:t>份，每份具有同等法律效力。</w:t>
      </w:r>
    </w:p>
    <w:p w14:paraId="4DA5F770">
      <w:pPr>
        <w:pStyle w:val="14"/>
        <w:adjustRightInd w:val="0"/>
        <w:snapToGrid w:val="0"/>
        <w:spacing w:line="312" w:lineRule="auto"/>
        <w:ind w:firstLine="560"/>
        <w:jc w:val="left"/>
        <w:rPr>
          <w:rFonts w:ascii="宋体" w:hAnsi="宋体" w:eastAsia="宋体" w:cs="宋体"/>
          <w:sz w:val="28"/>
          <w:szCs w:val="28"/>
        </w:rPr>
      </w:pPr>
      <w:r>
        <w:rPr>
          <w:rFonts w:hint="eastAsia" w:ascii="宋体" w:hAnsi="宋体" w:eastAsia="宋体" w:cs="宋体"/>
          <w:sz w:val="28"/>
          <w:szCs w:val="28"/>
        </w:rPr>
        <w:t>2. 本合同自甲乙双方法定代表人或授权代表签字盖章之日起生效，</w:t>
      </w:r>
      <w:bookmarkStart w:id="1" w:name="_Hlk484981809"/>
      <w:r>
        <w:rPr>
          <w:rFonts w:hint="eastAsia" w:ascii="宋体" w:hAnsi="宋体" w:eastAsia="宋体" w:cs="宋体"/>
          <w:sz w:val="28"/>
          <w:szCs w:val="28"/>
        </w:rPr>
        <w:t>有效期至本合同服务期届满、双方权利义务履行完毕之日止。</w:t>
      </w:r>
      <w:bookmarkEnd w:id="1"/>
    </w:p>
    <w:p w14:paraId="479B483A">
      <w:pPr>
        <w:pStyle w:val="14"/>
        <w:adjustRightInd w:val="0"/>
        <w:snapToGrid w:val="0"/>
        <w:spacing w:line="312" w:lineRule="auto"/>
        <w:ind w:firstLine="0" w:firstLineChars="0"/>
        <w:jc w:val="left"/>
        <w:rPr>
          <w:rFonts w:ascii="宋体" w:hAnsi="宋体" w:eastAsia="宋体" w:cs="宋体"/>
          <w:b/>
          <w:bCs/>
          <w:sz w:val="28"/>
          <w:szCs w:val="28"/>
        </w:rPr>
      </w:pPr>
      <w:r>
        <w:rPr>
          <w:rFonts w:hint="eastAsia" w:ascii="宋体" w:hAnsi="宋体" w:eastAsia="宋体" w:cs="宋体"/>
          <w:b/>
          <w:bCs/>
          <w:sz w:val="28"/>
          <w:szCs w:val="28"/>
        </w:rPr>
        <w:t>十二、通知和送达</w:t>
      </w:r>
    </w:p>
    <w:p w14:paraId="74B19F41">
      <w:pPr>
        <w:pStyle w:val="14"/>
        <w:adjustRightInd w:val="0"/>
        <w:snapToGrid w:val="0"/>
        <w:spacing w:line="312" w:lineRule="auto"/>
        <w:ind w:firstLine="560"/>
        <w:jc w:val="left"/>
        <w:rPr>
          <w:rFonts w:ascii="宋体" w:hAnsi="宋体" w:eastAsia="宋体" w:cs="宋体"/>
          <w:sz w:val="28"/>
          <w:szCs w:val="28"/>
        </w:rPr>
      </w:pPr>
      <w:r>
        <w:rPr>
          <w:rFonts w:hint="eastAsia" w:ascii="宋体" w:hAnsi="宋体" w:eastAsia="宋体" w:cs="宋体"/>
          <w:sz w:val="28"/>
          <w:szCs w:val="28"/>
        </w:rPr>
        <w:t>1. 甲乙双方因履行本合同而相互发出或提供的所有通知、文件、资料，均以本合同首页所列明的地址、电子邮件方式送达，一方如果变更联系地址或联络方式，应当自变更之日起3日内书面通知对方。</w:t>
      </w:r>
    </w:p>
    <w:p w14:paraId="2CF8CEFB">
      <w:pPr>
        <w:pStyle w:val="14"/>
        <w:adjustRightInd w:val="0"/>
        <w:snapToGrid w:val="0"/>
        <w:spacing w:line="312" w:lineRule="auto"/>
        <w:ind w:firstLine="560"/>
        <w:jc w:val="left"/>
        <w:rPr>
          <w:rFonts w:ascii="宋体" w:hAnsi="宋体" w:eastAsia="宋体" w:cs="宋体"/>
          <w:sz w:val="28"/>
          <w:szCs w:val="28"/>
        </w:rPr>
      </w:pPr>
      <w:r>
        <w:rPr>
          <w:rFonts w:hint="eastAsia" w:ascii="宋体" w:hAnsi="宋体" w:eastAsia="宋体" w:cs="宋体"/>
          <w:sz w:val="28"/>
          <w:szCs w:val="28"/>
        </w:rPr>
        <w:t>2. 通过电子邮件方式送达的，在发出邮件发送成功时视为送达；以邮寄挂号信或快递方式送达的，挂号信或快递寄出满三日视为送达。</w:t>
      </w:r>
    </w:p>
    <w:p w14:paraId="24CFF8E0">
      <w:pPr>
        <w:pStyle w:val="14"/>
        <w:adjustRightInd w:val="0"/>
        <w:snapToGrid w:val="0"/>
        <w:spacing w:line="400" w:lineRule="exact"/>
        <w:ind w:firstLine="0" w:firstLineChars="0"/>
        <w:rPr>
          <w:rFonts w:ascii="宋体" w:hAnsi="宋体" w:eastAsia="宋体" w:cs="宋体"/>
          <w:sz w:val="28"/>
          <w:szCs w:val="28"/>
        </w:rPr>
      </w:pPr>
    </w:p>
    <w:p w14:paraId="2C346770">
      <w:pPr>
        <w:pStyle w:val="14"/>
        <w:adjustRightInd w:val="0"/>
        <w:snapToGrid w:val="0"/>
        <w:spacing w:line="400" w:lineRule="exact"/>
        <w:ind w:firstLine="562"/>
        <w:rPr>
          <w:rFonts w:ascii="宋体" w:hAnsi="宋体" w:eastAsia="宋体" w:cs="宋体"/>
          <w:b/>
          <w:bCs/>
          <w:sz w:val="28"/>
          <w:szCs w:val="28"/>
        </w:rPr>
      </w:pPr>
      <w:r>
        <w:rPr>
          <w:rFonts w:hint="eastAsia" w:ascii="宋体" w:hAnsi="宋体" w:eastAsia="宋体" w:cs="宋体"/>
          <w:b/>
          <w:bCs/>
          <w:sz w:val="28"/>
          <w:szCs w:val="28"/>
        </w:rPr>
        <w:t>（以下无正文，为本合同之签署项）</w:t>
      </w:r>
    </w:p>
    <w:p w14:paraId="62DFC71C">
      <w:pPr>
        <w:pStyle w:val="14"/>
        <w:adjustRightInd w:val="0"/>
        <w:snapToGrid w:val="0"/>
        <w:spacing w:line="400" w:lineRule="exact"/>
        <w:ind w:firstLine="562"/>
        <w:rPr>
          <w:rFonts w:ascii="宋体" w:hAnsi="宋体" w:eastAsia="宋体" w:cs="宋体"/>
          <w:b/>
          <w:bCs/>
          <w:sz w:val="28"/>
          <w:szCs w:val="28"/>
        </w:rPr>
      </w:pPr>
    </w:p>
    <w:p w14:paraId="51831B40">
      <w:pPr>
        <w:pStyle w:val="14"/>
        <w:adjustRightInd w:val="0"/>
        <w:snapToGrid w:val="0"/>
        <w:spacing w:line="400" w:lineRule="exact"/>
        <w:ind w:firstLine="562"/>
        <w:rPr>
          <w:rFonts w:ascii="宋体" w:hAnsi="宋体" w:eastAsia="宋体" w:cs="宋体"/>
          <w:b/>
          <w:bCs/>
          <w:sz w:val="28"/>
          <w:szCs w:val="28"/>
        </w:rPr>
      </w:pPr>
    </w:p>
    <w:tbl>
      <w:tblPr>
        <w:tblStyle w:val="10"/>
        <w:tblW w:w="0" w:type="auto"/>
        <w:tblInd w:w="0" w:type="dxa"/>
        <w:tblLayout w:type="autofit"/>
        <w:tblCellMar>
          <w:top w:w="0" w:type="dxa"/>
          <w:left w:w="108" w:type="dxa"/>
          <w:bottom w:w="0" w:type="dxa"/>
          <w:right w:w="108" w:type="dxa"/>
        </w:tblCellMar>
      </w:tblPr>
      <w:tblGrid>
        <w:gridCol w:w="4261"/>
        <w:gridCol w:w="4261"/>
      </w:tblGrid>
      <w:tr w14:paraId="6E49E848">
        <w:tblPrEx>
          <w:tblCellMar>
            <w:top w:w="0" w:type="dxa"/>
            <w:left w:w="108" w:type="dxa"/>
            <w:bottom w:w="0" w:type="dxa"/>
            <w:right w:w="108" w:type="dxa"/>
          </w:tblCellMar>
        </w:tblPrEx>
        <w:tc>
          <w:tcPr>
            <w:tcW w:w="4261" w:type="dxa"/>
          </w:tcPr>
          <w:p w14:paraId="4040BE73">
            <w:pPr>
              <w:spacing w:line="360" w:lineRule="auto"/>
              <w:rPr>
                <w:rFonts w:ascii="宋体" w:hAnsi="宋体" w:cs="宋体"/>
                <w:kern w:val="1"/>
                <w:sz w:val="28"/>
                <w:szCs w:val="28"/>
              </w:rPr>
            </w:pPr>
            <w:r>
              <w:rPr>
                <w:rFonts w:hint="eastAsia" w:ascii="宋体" w:hAnsi="宋体" w:cs="宋体"/>
                <w:kern w:val="1"/>
                <w:sz w:val="28"/>
                <w:szCs w:val="28"/>
              </w:rPr>
              <w:t>甲方：清华大学深圳国际研究生院</w:t>
            </w:r>
          </w:p>
        </w:tc>
        <w:tc>
          <w:tcPr>
            <w:tcW w:w="4261" w:type="dxa"/>
          </w:tcPr>
          <w:p w14:paraId="65306D82">
            <w:pPr>
              <w:spacing w:line="360" w:lineRule="auto"/>
              <w:rPr>
                <w:rFonts w:ascii="宋体" w:hAnsi="宋体" w:cs="宋体"/>
                <w:kern w:val="1"/>
                <w:sz w:val="28"/>
                <w:szCs w:val="28"/>
              </w:rPr>
            </w:pPr>
            <w:r>
              <w:rPr>
                <w:rFonts w:hint="eastAsia" w:ascii="宋体" w:hAnsi="宋体" w:cs="宋体"/>
                <w:kern w:val="1"/>
                <w:sz w:val="28"/>
                <w:szCs w:val="28"/>
              </w:rPr>
              <w:t>乙方：</w:t>
            </w:r>
          </w:p>
        </w:tc>
      </w:tr>
      <w:tr w14:paraId="40890B59">
        <w:tblPrEx>
          <w:tblCellMar>
            <w:top w:w="0" w:type="dxa"/>
            <w:left w:w="108" w:type="dxa"/>
            <w:bottom w:w="0" w:type="dxa"/>
            <w:right w:w="108" w:type="dxa"/>
          </w:tblCellMar>
        </w:tblPrEx>
        <w:tc>
          <w:tcPr>
            <w:tcW w:w="4261" w:type="dxa"/>
          </w:tcPr>
          <w:p w14:paraId="79CF9B3D">
            <w:pPr>
              <w:spacing w:line="360" w:lineRule="auto"/>
              <w:rPr>
                <w:rFonts w:ascii="宋体" w:hAnsi="宋体" w:cs="宋体"/>
                <w:kern w:val="1"/>
                <w:sz w:val="28"/>
                <w:szCs w:val="28"/>
              </w:rPr>
            </w:pPr>
            <w:r>
              <w:rPr>
                <w:rFonts w:hint="eastAsia" w:ascii="宋体" w:hAnsi="宋体" w:cs="宋体"/>
                <w:kern w:val="1"/>
                <w:sz w:val="28"/>
                <w:szCs w:val="28"/>
              </w:rPr>
              <w:t>法定代表人</w:t>
            </w:r>
            <w:r>
              <w:rPr>
                <w:rFonts w:ascii="宋体" w:hAnsi="宋体" w:cs="宋体"/>
                <w:kern w:val="1"/>
                <w:sz w:val="28"/>
                <w:szCs w:val="28"/>
              </w:rPr>
              <w:t>/</w:t>
            </w:r>
            <w:r>
              <w:rPr>
                <w:rFonts w:hint="eastAsia" w:ascii="宋体" w:hAnsi="宋体" w:cs="宋体"/>
                <w:kern w:val="1"/>
                <w:sz w:val="28"/>
                <w:szCs w:val="28"/>
              </w:rPr>
              <w:t>授权代表人：</w:t>
            </w:r>
          </w:p>
        </w:tc>
        <w:tc>
          <w:tcPr>
            <w:tcW w:w="4261" w:type="dxa"/>
          </w:tcPr>
          <w:p w14:paraId="7C4D8BD6">
            <w:pPr>
              <w:spacing w:line="360" w:lineRule="auto"/>
              <w:rPr>
                <w:rFonts w:ascii="宋体" w:hAnsi="宋体" w:cs="宋体"/>
                <w:kern w:val="1"/>
                <w:sz w:val="28"/>
                <w:szCs w:val="28"/>
              </w:rPr>
            </w:pPr>
            <w:r>
              <w:rPr>
                <w:rFonts w:hint="eastAsia" w:ascii="宋体" w:hAnsi="宋体" w:cs="宋体"/>
                <w:kern w:val="1"/>
                <w:sz w:val="28"/>
                <w:szCs w:val="28"/>
              </w:rPr>
              <w:t>法定代表人</w:t>
            </w:r>
            <w:r>
              <w:rPr>
                <w:rFonts w:ascii="宋体" w:hAnsi="宋体" w:cs="宋体"/>
                <w:kern w:val="1"/>
                <w:sz w:val="28"/>
                <w:szCs w:val="28"/>
              </w:rPr>
              <w:t>/</w:t>
            </w:r>
            <w:r>
              <w:rPr>
                <w:rFonts w:hint="eastAsia" w:ascii="宋体" w:hAnsi="宋体" w:cs="宋体"/>
                <w:kern w:val="1"/>
                <w:sz w:val="28"/>
                <w:szCs w:val="28"/>
              </w:rPr>
              <w:t>授权代表人：</w:t>
            </w:r>
          </w:p>
        </w:tc>
      </w:tr>
      <w:tr w14:paraId="640A67FE">
        <w:tblPrEx>
          <w:tblCellMar>
            <w:top w:w="0" w:type="dxa"/>
            <w:left w:w="108" w:type="dxa"/>
            <w:bottom w:w="0" w:type="dxa"/>
            <w:right w:w="108" w:type="dxa"/>
          </w:tblCellMar>
        </w:tblPrEx>
        <w:tc>
          <w:tcPr>
            <w:tcW w:w="4261" w:type="dxa"/>
          </w:tcPr>
          <w:p w14:paraId="12DCF590">
            <w:pPr>
              <w:spacing w:line="360" w:lineRule="auto"/>
              <w:rPr>
                <w:rFonts w:ascii="宋体" w:hAnsi="宋体" w:cs="宋体"/>
                <w:kern w:val="1"/>
                <w:sz w:val="28"/>
                <w:szCs w:val="28"/>
              </w:rPr>
            </w:pPr>
            <w:r>
              <w:rPr>
                <w:rFonts w:hint="eastAsia" w:ascii="宋体" w:hAnsi="宋体" w:cs="宋体"/>
                <w:kern w:val="1"/>
                <w:sz w:val="28"/>
                <w:szCs w:val="28"/>
              </w:rPr>
              <w:t>开户银行：</w:t>
            </w:r>
          </w:p>
        </w:tc>
        <w:tc>
          <w:tcPr>
            <w:tcW w:w="4261" w:type="dxa"/>
          </w:tcPr>
          <w:p w14:paraId="77566C1D">
            <w:pPr>
              <w:spacing w:line="360" w:lineRule="auto"/>
              <w:rPr>
                <w:rFonts w:ascii="宋体" w:hAnsi="宋体" w:cs="宋体"/>
                <w:kern w:val="1"/>
                <w:sz w:val="28"/>
                <w:szCs w:val="28"/>
              </w:rPr>
            </w:pPr>
            <w:r>
              <w:rPr>
                <w:rFonts w:hint="eastAsia" w:ascii="宋体" w:hAnsi="宋体" w:cs="宋体"/>
                <w:kern w:val="1"/>
                <w:sz w:val="28"/>
                <w:szCs w:val="28"/>
              </w:rPr>
              <w:t>开户银行：</w:t>
            </w:r>
          </w:p>
        </w:tc>
      </w:tr>
      <w:tr w14:paraId="72C2A841">
        <w:tblPrEx>
          <w:tblCellMar>
            <w:top w:w="0" w:type="dxa"/>
            <w:left w:w="108" w:type="dxa"/>
            <w:bottom w:w="0" w:type="dxa"/>
            <w:right w:w="108" w:type="dxa"/>
          </w:tblCellMar>
        </w:tblPrEx>
        <w:tc>
          <w:tcPr>
            <w:tcW w:w="4261" w:type="dxa"/>
          </w:tcPr>
          <w:p w14:paraId="5594D3A9">
            <w:pPr>
              <w:spacing w:line="360" w:lineRule="auto"/>
              <w:rPr>
                <w:rFonts w:ascii="宋体" w:hAnsi="宋体" w:cs="宋体"/>
                <w:kern w:val="1"/>
                <w:sz w:val="28"/>
                <w:szCs w:val="28"/>
              </w:rPr>
            </w:pPr>
            <w:r>
              <w:rPr>
                <w:rFonts w:hint="eastAsia" w:ascii="宋体" w:hAnsi="宋体" w:cs="宋体"/>
                <w:kern w:val="1"/>
                <w:sz w:val="28"/>
                <w:szCs w:val="28"/>
              </w:rPr>
              <w:t>账号：</w:t>
            </w:r>
          </w:p>
        </w:tc>
        <w:tc>
          <w:tcPr>
            <w:tcW w:w="4261" w:type="dxa"/>
          </w:tcPr>
          <w:p w14:paraId="36E259E8">
            <w:pPr>
              <w:spacing w:line="360" w:lineRule="auto"/>
              <w:rPr>
                <w:rFonts w:ascii="宋体" w:hAnsi="宋体" w:cs="宋体"/>
                <w:kern w:val="1"/>
                <w:sz w:val="28"/>
                <w:szCs w:val="28"/>
              </w:rPr>
            </w:pPr>
            <w:r>
              <w:rPr>
                <w:rFonts w:hint="eastAsia" w:ascii="宋体" w:hAnsi="宋体" w:cs="宋体"/>
                <w:kern w:val="1"/>
                <w:sz w:val="28"/>
                <w:szCs w:val="28"/>
              </w:rPr>
              <w:t>账号：</w:t>
            </w:r>
          </w:p>
        </w:tc>
      </w:tr>
      <w:tr w14:paraId="695F62AD">
        <w:tblPrEx>
          <w:tblCellMar>
            <w:top w:w="0" w:type="dxa"/>
            <w:left w:w="108" w:type="dxa"/>
            <w:bottom w:w="0" w:type="dxa"/>
            <w:right w:w="108" w:type="dxa"/>
          </w:tblCellMar>
        </w:tblPrEx>
        <w:tc>
          <w:tcPr>
            <w:tcW w:w="4261" w:type="dxa"/>
          </w:tcPr>
          <w:p w14:paraId="6279AB70">
            <w:pPr>
              <w:spacing w:line="360" w:lineRule="auto"/>
              <w:rPr>
                <w:rFonts w:ascii="宋体" w:hAnsi="宋体" w:eastAsia="宋体" w:cs="宋体"/>
                <w:kern w:val="1"/>
                <w:sz w:val="28"/>
                <w:szCs w:val="28"/>
              </w:rPr>
            </w:pPr>
            <w:r>
              <w:rPr>
                <w:rFonts w:hint="eastAsia" w:ascii="宋体" w:hAnsi="宋体" w:cs="宋体"/>
                <w:kern w:val="1"/>
                <w:sz w:val="28"/>
                <w:szCs w:val="28"/>
              </w:rPr>
              <w:t>签约日期：</w:t>
            </w:r>
          </w:p>
        </w:tc>
        <w:tc>
          <w:tcPr>
            <w:tcW w:w="4261" w:type="dxa"/>
          </w:tcPr>
          <w:p w14:paraId="0814803C">
            <w:pPr>
              <w:spacing w:line="360" w:lineRule="auto"/>
              <w:rPr>
                <w:rFonts w:ascii="宋体" w:hAnsi="宋体" w:eastAsia="宋体" w:cs="宋体"/>
                <w:kern w:val="1"/>
                <w:sz w:val="28"/>
                <w:szCs w:val="28"/>
              </w:rPr>
            </w:pPr>
            <w:r>
              <w:rPr>
                <w:rFonts w:hint="eastAsia" w:ascii="宋体" w:hAnsi="宋体" w:cs="宋体"/>
                <w:kern w:val="1"/>
                <w:sz w:val="28"/>
                <w:szCs w:val="28"/>
              </w:rPr>
              <w:t>签约日期：</w:t>
            </w:r>
          </w:p>
        </w:tc>
      </w:tr>
    </w:tbl>
    <w:p w14:paraId="4AD3FF08">
      <w:pPr>
        <w:spacing w:line="400" w:lineRule="exact"/>
        <w:ind w:firstLine="480" w:firstLineChars="200"/>
        <w:rPr>
          <w:rFonts w:asciiTheme="minorEastAsia" w:hAnsiTheme="minorEastAsia" w:cstheme="minorEastAsia"/>
          <w:sz w:val="24"/>
          <w:szCs w:val="24"/>
        </w:rPr>
      </w:pPr>
    </w:p>
    <w:p w14:paraId="333EF6B4">
      <w:pPr>
        <w:spacing w:line="400" w:lineRule="exact"/>
        <w:ind w:firstLine="480" w:firstLineChars="200"/>
        <w:rPr>
          <w:rFonts w:asciiTheme="minorEastAsia" w:hAnsiTheme="minorEastAsia" w:cstheme="minorEastAsia"/>
          <w:sz w:val="24"/>
          <w:szCs w:val="24"/>
        </w:rPr>
      </w:pPr>
    </w:p>
    <w:p w14:paraId="100D1513">
      <w:pPr>
        <w:spacing w:line="400" w:lineRule="exact"/>
        <w:ind w:firstLine="480" w:firstLineChars="200"/>
        <w:rPr>
          <w:rFonts w:asciiTheme="minorEastAsia" w:hAnsiTheme="minorEastAsia" w:cstheme="minorEastAsia"/>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28E24">
    <w:pPr>
      <w:pStyle w:val="6"/>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path/>
          <v:fill on="f" focussize="0,0"/>
          <v:stroke on="f" weight="0.5pt" joinstyle="miter"/>
          <v:imagedata o:title=""/>
          <o:lock v:ext="edit"/>
          <v:textbox inset="0mm,0mm,0mm,0mm" style="mso-fit-shape-to-text:t;">
            <w:txbxContent>
              <w:p w14:paraId="31FDA806">
                <w:pPr>
                  <w:pStyle w:val="6"/>
                </w:pPr>
                <w:r>
                  <w:fldChar w:fldCharType="begin"/>
                </w:r>
                <w:r>
                  <w:instrText xml:space="preserve"> PAGE  \* MERGEFORMAT </w:instrText>
                </w:r>
                <w:r>
                  <w:fldChar w:fldCharType="separate"/>
                </w:r>
                <w:r>
                  <w:t>4</w:t>
                </w:r>
                <w:r>
                  <w:fldChar w:fldCharType="end"/>
                </w:r>
                <w:r>
                  <w:t xml:space="preserve"> / </w:t>
                </w:r>
                <w:r>
                  <w:fldChar w:fldCharType="begin"/>
                </w:r>
                <w:r>
                  <w:instrText xml:space="preserve"> NUMPAGES  \* MERGEFORMAT </w:instrText>
                </w:r>
                <w:r>
                  <w:fldChar w:fldCharType="separate"/>
                </w:r>
                <w:r>
                  <w:t>9</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A7570D"/>
    <w:multiLevelType w:val="singleLevel"/>
    <w:tmpl w:val="32A7570D"/>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1D8D3D4B"/>
    <w:rsid w:val="00066567"/>
    <w:rsid w:val="00066A20"/>
    <w:rsid w:val="00182727"/>
    <w:rsid w:val="00195DD8"/>
    <w:rsid w:val="00441A22"/>
    <w:rsid w:val="00444238"/>
    <w:rsid w:val="004D0596"/>
    <w:rsid w:val="005F1DFB"/>
    <w:rsid w:val="006E40A8"/>
    <w:rsid w:val="00761D7B"/>
    <w:rsid w:val="00780FF1"/>
    <w:rsid w:val="009467A7"/>
    <w:rsid w:val="00B5549E"/>
    <w:rsid w:val="00BA5365"/>
    <w:rsid w:val="00C25B3A"/>
    <w:rsid w:val="00D21AAE"/>
    <w:rsid w:val="00E10F56"/>
    <w:rsid w:val="00ED4A1D"/>
    <w:rsid w:val="01B036D8"/>
    <w:rsid w:val="06EA798E"/>
    <w:rsid w:val="08107C29"/>
    <w:rsid w:val="0FE27349"/>
    <w:rsid w:val="11491D12"/>
    <w:rsid w:val="114E22CA"/>
    <w:rsid w:val="147255B7"/>
    <w:rsid w:val="17125917"/>
    <w:rsid w:val="1D8D3D4B"/>
    <w:rsid w:val="1EB10B5F"/>
    <w:rsid w:val="22DF1321"/>
    <w:rsid w:val="265804AB"/>
    <w:rsid w:val="28A27C71"/>
    <w:rsid w:val="2A0106C7"/>
    <w:rsid w:val="2A7E275C"/>
    <w:rsid w:val="2DE94FFB"/>
    <w:rsid w:val="34C253E8"/>
    <w:rsid w:val="36503D5A"/>
    <w:rsid w:val="3A747ADF"/>
    <w:rsid w:val="3DDC0F19"/>
    <w:rsid w:val="44112D21"/>
    <w:rsid w:val="492F4158"/>
    <w:rsid w:val="4AF4602A"/>
    <w:rsid w:val="4B4514E9"/>
    <w:rsid w:val="504436EA"/>
    <w:rsid w:val="51DC04DD"/>
    <w:rsid w:val="57770C11"/>
    <w:rsid w:val="59952EDB"/>
    <w:rsid w:val="5AE519DC"/>
    <w:rsid w:val="5B7739E5"/>
    <w:rsid w:val="5EFB55C4"/>
    <w:rsid w:val="629828B3"/>
    <w:rsid w:val="62DE48A1"/>
    <w:rsid w:val="64642544"/>
    <w:rsid w:val="69E35490"/>
    <w:rsid w:val="6A7E0B45"/>
    <w:rsid w:val="6AC6150E"/>
    <w:rsid w:val="6E0D5983"/>
    <w:rsid w:val="736209F6"/>
    <w:rsid w:val="74030204"/>
    <w:rsid w:val="78FA53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9"/>
    <w:pPr>
      <w:keepNext/>
      <w:keepLines/>
      <w:spacing w:line="416" w:lineRule="auto"/>
      <w:outlineLvl w:val="1"/>
    </w:pPr>
    <w:rPr>
      <w:rFonts w:ascii="Arial" w:hAnsi="Arial" w:eastAsia="黑体"/>
      <w:b/>
      <w:bCs/>
      <w:sz w:val="32"/>
      <w:szCs w:val="32"/>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8"/>
    <w:qFormat/>
    <w:uiPriority w:val="0"/>
    <w:pPr>
      <w:jc w:val="left"/>
    </w:pPr>
  </w:style>
  <w:style w:type="paragraph" w:styleId="4">
    <w:name w:val="Body Text Indent 2"/>
    <w:basedOn w:val="1"/>
    <w:qFormat/>
    <w:uiPriority w:val="0"/>
    <w:pPr>
      <w:ind w:firstLine="540"/>
    </w:pPr>
    <w:rPr>
      <w:rFonts w:eastAsia="楷体_GB2312"/>
      <w:b/>
      <w:sz w:val="28"/>
      <w:szCs w:val="20"/>
    </w:rPr>
  </w:style>
  <w:style w:type="paragraph" w:styleId="5">
    <w:name w:val="Balloon Text"/>
    <w:basedOn w:val="1"/>
    <w:link w:val="15"/>
    <w:qFormat/>
    <w:uiPriority w:val="0"/>
    <w:rPr>
      <w:sz w:val="18"/>
      <w:szCs w:val="18"/>
    </w:rPr>
  </w:style>
  <w:style w:type="paragraph" w:styleId="6">
    <w:name w:val="footer"/>
    <w:basedOn w:val="1"/>
    <w:qFormat/>
    <w:uiPriority w:val="0"/>
    <w:pPr>
      <w:tabs>
        <w:tab w:val="center" w:pos="4153"/>
        <w:tab w:val="right" w:pos="8306"/>
      </w:tabs>
      <w:snapToGrid w:val="0"/>
      <w:jc w:val="left"/>
    </w:pPr>
    <w:rPr>
      <w:rFonts w:ascii="Times New Roman" w:hAnsi="Times New Roman" w:cs="Times New Roman"/>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rFonts w:ascii="Times New Roman" w:hAnsi="Times New Roman" w:cs="Times New Roman"/>
      <w:sz w:val="18"/>
      <w:szCs w:val="18"/>
    </w:rPr>
  </w:style>
  <w:style w:type="paragraph" w:styleId="8">
    <w:name w:val="Normal (Web)"/>
    <w:basedOn w:val="1"/>
    <w:qFormat/>
    <w:uiPriority w:val="99"/>
    <w:rPr>
      <w:sz w:val="24"/>
    </w:rPr>
  </w:style>
  <w:style w:type="paragraph" w:styleId="9">
    <w:name w:val="annotation subject"/>
    <w:basedOn w:val="3"/>
    <w:next w:val="3"/>
    <w:link w:val="19"/>
    <w:qFormat/>
    <w:uiPriority w:val="0"/>
    <w:rPr>
      <w:b/>
      <w:bCs/>
    </w:rPr>
  </w:style>
  <w:style w:type="character" w:styleId="12">
    <w:name w:val="Hyperlink"/>
    <w:qFormat/>
    <w:uiPriority w:val="0"/>
    <w:rPr>
      <w:color w:val="0000FF"/>
      <w:u w:val="single"/>
    </w:rPr>
  </w:style>
  <w:style w:type="character" w:styleId="13">
    <w:name w:val="annotation reference"/>
    <w:basedOn w:val="11"/>
    <w:qFormat/>
    <w:uiPriority w:val="0"/>
    <w:rPr>
      <w:sz w:val="21"/>
      <w:szCs w:val="21"/>
    </w:rPr>
  </w:style>
  <w:style w:type="paragraph" w:customStyle="1" w:styleId="14">
    <w:name w:val="列出段落1"/>
    <w:basedOn w:val="1"/>
    <w:qFormat/>
    <w:uiPriority w:val="34"/>
    <w:pPr>
      <w:ind w:firstLine="420" w:firstLineChars="200"/>
    </w:pPr>
    <w:rPr>
      <w:rFonts w:ascii="Calibri" w:hAnsi="Calibri"/>
    </w:rPr>
  </w:style>
  <w:style w:type="character" w:customStyle="1" w:styleId="15">
    <w:name w:val="批注框文本 Char"/>
    <w:basedOn w:val="11"/>
    <w:link w:val="5"/>
    <w:qFormat/>
    <w:uiPriority w:val="0"/>
    <w:rPr>
      <w:rFonts w:asciiTheme="minorHAnsi" w:hAnsiTheme="minorHAnsi" w:eastAsiaTheme="minorEastAsia" w:cstheme="minorBidi"/>
      <w:kern w:val="2"/>
      <w:sz w:val="18"/>
      <w:szCs w:val="18"/>
    </w:rPr>
  </w:style>
  <w:style w:type="paragraph" w:styleId="16">
    <w:name w:val="List Paragraph"/>
    <w:basedOn w:val="1"/>
    <w:qFormat/>
    <w:uiPriority w:val="99"/>
    <w:pPr>
      <w:ind w:firstLine="420" w:firstLineChars="200"/>
    </w:pPr>
  </w:style>
  <w:style w:type="paragraph" w:customStyle="1" w:styleId="17">
    <w:name w:val="传神二级标题"/>
    <w:basedOn w:val="1"/>
    <w:qFormat/>
    <w:uiPriority w:val="0"/>
    <w:pPr>
      <w:spacing w:line="440" w:lineRule="exact"/>
    </w:pPr>
    <w:rPr>
      <w:rFonts w:ascii="微软雅黑" w:hAnsi="微软雅黑" w:eastAsia="微软雅黑" w:cs="Times New Roman"/>
      <w:b/>
    </w:rPr>
  </w:style>
  <w:style w:type="character" w:customStyle="1" w:styleId="18">
    <w:name w:val="批注文字 Char"/>
    <w:basedOn w:val="11"/>
    <w:link w:val="3"/>
    <w:qFormat/>
    <w:uiPriority w:val="0"/>
    <w:rPr>
      <w:rFonts w:asciiTheme="minorHAnsi" w:hAnsiTheme="minorHAnsi" w:eastAsiaTheme="minorEastAsia" w:cstheme="minorBidi"/>
      <w:kern w:val="2"/>
      <w:sz w:val="21"/>
      <w:szCs w:val="22"/>
    </w:rPr>
  </w:style>
  <w:style w:type="character" w:customStyle="1" w:styleId="19">
    <w:name w:val="批注主题 Char"/>
    <w:basedOn w:val="18"/>
    <w:link w:val="9"/>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Pages>
  <Words>3891</Words>
  <Characters>3953</Characters>
  <Lines>31</Lines>
  <Paragraphs>8</Paragraphs>
  <TotalTime>9</TotalTime>
  <ScaleCrop>false</ScaleCrop>
  <LinksUpToDate>false</LinksUpToDate>
  <CharactersWithSpaces>4278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2018-05-18T05:40:00Z</dcterms:created>
  <dc:creator>法务办-李楠</dc:creator>
  <cp:lastModifiedBy>原东东</cp:lastModifiedBy>
  <dcterms:modified xsi:type="dcterms:W3CDTF">2025-10-29T12:37:14Z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D739698AF1FB4214855444872A40433A_13</vt:lpwstr>
  </property>
  <property fmtid="{D5CDD505-2E9C-101B-9397-08002B2CF9AE}" pid="4" name="KSOTemplateDocerSaveRecord">
    <vt:lpwstr>eyJoZGlkIjoiNGUwMWI0ZDFkYjdkZDUyZWY4ZjdmZGMxZGJmOTRhOTMiLCJ1c2VySWQiOiIyMzAzNzQ3NjMifQ==</vt:lpwstr>
  </property>
</Properties>
</file>