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9B2FD">
      <w:pPr>
        <w:jc w:val="center"/>
        <w:rPr>
          <w:rFonts w:ascii="宋体" w:hAnsi="宋体" w:eastAsia="宋体" w:cs="宋体"/>
          <w:bCs/>
          <w:sz w:val="52"/>
          <w:szCs w:val="52"/>
        </w:rPr>
      </w:pPr>
      <w:bookmarkStart w:id="0" w:name="_GoBack"/>
      <w:bookmarkEnd w:id="0"/>
      <w:r>
        <w:rPr>
          <w:rFonts w:hint="eastAsia" w:ascii="宋体" w:hAnsi="宋体" w:eastAsia="宋体" w:cs="宋体"/>
          <w:bCs/>
          <w:sz w:val="52"/>
          <w:szCs w:val="52"/>
        </w:rPr>
        <w:t>XXX服务采购合同</w:t>
      </w:r>
    </w:p>
    <w:p w14:paraId="1277428B">
      <w:pPr>
        <w:spacing w:line="440" w:lineRule="exact"/>
        <w:jc w:val="center"/>
        <w:rPr>
          <w:rFonts w:ascii="宋体" w:hAnsi="宋体" w:eastAsia="宋体" w:cs="宋体"/>
          <w:bCs/>
          <w:sz w:val="52"/>
          <w:szCs w:val="52"/>
        </w:rPr>
      </w:pPr>
      <w:r>
        <w:rPr>
          <w:rFonts w:hint="eastAsia" w:ascii="宋体" w:hAnsi="宋体" w:eastAsia="宋体" w:cs="宋体"/>
          <w:sz w:val="24"/>
        </w:rPr>
        <w:t>（诉讼/仲裁）</w:t>
      </w:r>
    </w:p>
    <w:p w14:paraId="25A578AC">
      <w:pPr>
        <w:spacing w:line="600" w:lineRule="exact"/>
        <w:jc w:val="right"/>
        <w:rPr>
          <w:rFonts w:asciiTheme="minorEastAsia" w:hAnsiTheme="minorEastAsia" w:cstheme="minorEastAsia"/>
          <w:sz w:val="24"/>
        </w:rPr>
      </w:pPr>
      <w:r>
        <w:rPr>
          <w:rFonts w:hint="eastAsia" w:ascii="宋体" w:hAnsi="宋体" w:eastAsia="宋体" w:cs="宋体"/>
          <w:sz w:val="28"/>
          <w:szCs w:val="28"/>
        </w:rPr>
        <w:t>合同签订地：深圳市</w:t>
      </w:r>
    </w:p>
    <w:tbl>
      <w:tblPr>
        <w:tblStyle w:val="8"/>
        <w:tblpPr w:leftFromText="180" w:rightFromText="180" w:vertAnchor="text" w:horzAnchor="page" w:tblpX="1832" w:tblpY="252"/>
        <w:tblW w:w="0" w:type="auto"/>
        <w:tblInd w:w="0" w:type="dxa"/>
        <w:tblLayout w:type="fixed"/>
        <w:tblCellMar>
          <w:top w:w="0" w:type="dxa"/>
          <w:left w:w="108" w:type="dxa"/>
          <w:bottom w:w="0" w:type="dxa"/>
          <w:right w:w="108" w:type="dxa"/>
        </w:tblCellMar>
      </w:tblPr>
      <w:tblGrid>
        <w:gridCol w:w="8472"/>
      </w:tblGrid>
      <w:tr w14:paraId="6B023604">
        <w:tblPrEx>
          <w:tblCellMar>
            <w:top w:w="0" w:type="dxa"/>
            <w:left w:w="108" w:type="dxa"/>
            <w:bottom w:w="0" w:type="dxa"/>
            <w:right w:w="108" w:type="dxa"/>
          </w:tblCellMar>
        </w:tblPrEx>
        <w:trPr>
          <w:trHeight w:val="567" w:hRule="atLeast"/>
        </w:trPr>
        <w:tc>
          <w:tcPr>
            <w:tcW w:w="8472" w:type="dxa"/>
          </w:tcPr>
          <w:p w14:paraId="04714CBC">
            <w:pPr>
              <w:pStyle w:val="6"/>
              <w:shd w:val="clear" w:color="auto" w:fill="FFFFFF"/>
              <w:spacing w:line="440" w:lineRule="exact"/>
              <w:ind w:right="250"/>
              <w:rPr>
                <w:rFonts w:ascii="宋体" w:hAnsi="宋体" w:eastAsia="宋体" w:cs="宋体"/>
                <w:sz w:val="28"/>
                <w:szCs w:val="28"/>
              </w:rPr>
            </w:pPr>
            <w:r>
              <w:rPr>
                <w:rFonts w:hint="eastAsia" w:ascii="宋体" w:hAnsi="宋体" w:eastAsia="宋体" w:cs="宋体"/>
                <w:b/>
                <w:bCs/>
                <w:sz w:val="28"/>
                <w:szCs w:val="28"/>
              </w:rPr>
              <w:t>甲方</w:t>
            </w:r>
            <w:r>
              <w:rPr>
                <w:rFonts w:hint="eastAsia" w:ascii="宋体" w:hAnsi="宋体" w:eastAsia="宋体" w:cs="宋体"/>
                <w:sz w:val="28"/>
                <w:szCs w:val="28"/>
              </w:rPr>
              <w:t>：清华大学深圳国际研究生院</w:t>
            </w:r>
          </w:p>
          <w:p w14:paraId="57299449">
            <w:pPr>
              <w:pStyle w:val="12"/>
              <w:spacing w:line="312" w:lineRule="auto"/>
              <w:ind w:firstLine="840" w:firstLineChars="300"/>
              <w:rPr>
                <w:rFonts w:ascii="宋体" w:hAnsi="宋体" w:eastAsia="宋体" w:cs="宋体"/>
                <w:sz w:val="28"/>
                <w:szCs w:val="28"/>
              </w:rPr>
            </w:pPr>
            <w:r>
              <w:rPr>
                <w:rFonts w:hint="eastAsia" w:ascii="宋体" w:hAnsi="宋体" w:eastAsia="宋体" w:cs="宋体"/>
                <w:b w:val="0"/>
                <w:bCs/>
                <w:color w:val="000000"/>
                <w:sz w:val="28"/>
                <w:szCs w:val="28"/>
              </w:rPr>
              <w:t>（具体承办单位：</w:t>
            </w:r>
            <w:r>
              <w:rPr>
                <w:rFonts w:hint="eastAsia" w:ascii="宋体" w:hAnsi="宋体" w:eastAsia="宋体" w:cs="宋体"/>
                <w:b w:val="0"/>
                <w:bCs/>
                <w:color w:val="000000"/>
                <w:sz w:val="28"/>
                <w:szCs w:val="28"/>
                <w:u w:val="single"/>
              </w:rPr>
              <w:t xml:space="preserve">       </w:t>
            </w:r>
            <w:r>
              <w:rPr>
                <w:rFonts w:hint="eastAsia" w:ascii="宋体" w:hAnsi="宋体" w:eastAsia="宋体" w:cs="宋体"/>
                <w:b w:val="0"/>
                <w:bCs/>
                <w:color w:val="000000"/>
                <w:sz w:val="28"/>
                <w:szCs w:val="28"/>
              </w:rPr>
              <w:t>）</w:t>
            </w:r>
          </w:p>
        </w:tc>
      </w:tr>
      <w:tr w14:paraId="55C83A02">
        <w:tblPrEx>
          <w:tblCellMar>
            <w:top w:w="0" w:type="dxa"/>
            <w:left w:w="108" w:type="dxa"/>
            <w:bottom w:w="0" w:type="dxa"/>
            <w:right w:w="108" w:type="dxa"/>
          </w:tblCellMar>
        </w:tblPrEx>
        <w:trPr>
          <w:trHeight w:val="567" w:hRule="atLeast"/>
        </w:trPr>
        <w:tc>
          <w:tcPr>
            <w:tcW w:w="8472" w:type="dxa"/>
          </w:tcPr>
          <w:p w14:paraId="0CB82655">
            <w:pPr>
              <w:spacing w:line="440" w:lineRule="exact"/>
              <w:rPr>
                <w:rFonts w:ascii="宋体" w:hAnsi="宋体" w:eastAsia="宋体" w:cs="宋体"/>
                <w:sz w:val="28"/>
                <w:szCs w:val="28"/>
              </w:rPr>
            </w:pPr>
            <w:r>
              <w:rPr>
                <w:rFonts w:hint="eastAsia" w:ascii="宋体" w:hAnsi="宋体" w:eastAsia="宋体" w:cs="宋体"/>
                <w:sz w:val="28"/>
                <w:szCs w:val="28"/>
              </w:rPr>
              <w:t>联系人：</w:t>
            </w:r>
          </w:p>
        </w:tc>
      </w:tr>
      <w:tr w14:paraId="61CCEE8B">
        <w:tblPrEx>
          <w:tblCellMar>
            <w:top w:w="0" w:type="dxa"/>
            <w:left w:w="108" w:type="dxa"/>
            <w:bottom w:w="0" w:type="dxa"/>
            <w:right w:w="108" w:type="dxa"/>
          </w:tblCellMar>
        </w:tblPrEx>
        <w:trPr>
          <w:trHeight w:val="567" w:hRule="atLeast"/>
        </w:trPr>
        <w:tc>
          <w:tcPr>
            <w:tcW w:w="8472" w:type="dxa"/>
          </w:tcPr>
          <w:p w14:paraId="78CB3115">
            <w:pPr>
              <w:spacing w:line="440" w:lineRule="exact"/>
              <w:rPr>
                <w:rFonts w:ascii="宋体" w:hAnsi="宋体" w:eastAsia="宋体" w:cs="宋体"/>
                <w:sz w:val="28"/>
                <w:szCs w:val="28"/>
              </w:rPr>
            </w:pPr>
            <w:r>
              <w:rPr>
                <w:rFonts w:hint="eastAsia" w:ascii="宋体" w:hAnsi="宋体" w:eastAsia="宋体" w:cs="宋体"/>
                <w:sz w:val="28"/>
                <w:szCs w:val="28"/>
              </w:rPr>
              <w:t>联系电话：</w:t>
            </w:r>
          </w:p>
        </w:tc>
      </w:tr>
      <w:tr w14:paraId="115E2985">
        <w:tblPrEx>
          <w:tblCellMar>
            <w:top w:w="0" w:type="dxa"/>
            <w:left w:w="108" w:type="dxa"/>
            <w:bottom w:w="0" w:type="dxa"/>
            <w:right w:w="108" w:type="dxa"/>
          </w:tblCellMar>
        </w:tblPrEx>
        <w:trPr>
          <w:trHeight w:val="567" w:hRule="atLeast"/>
        </w:trPr>
        <w:tc>
          <w:tcPr>
            <w:tcW w:w="8472" w:type="dxa"/>
          </w:tcPr>
          <w:p w14:paraId="7D8A0644">
            <w:pPr>
              <w:spacing w:line="440" w:lineRule="exact"/>
              <w:rPr>
                <w:rFonts w:ascii="宋体" w:hAnsi="宋体" w:eastAsia="宋体" w:cs="宋体"/>
                <w:sz w:val="28"/>
                <w:szCs w:val="28"/>
              </w:rPr>
            </w:pPr>
            <w:r>
              <w:rPr>
                <w:rFonts w:hint="eastAsia" w:ascii="宋体" w:hAnsi="宋体" w:eastAsia="宋体" w:cs="宋体"/>
                <w:sz w:val="28"/>
                <w:szCs w:val="28"/>
              </w:rPr>
              <w:t>地址：</w:t>
            </w:r>
          </w:p>
        </w:tc>
      </w:tr>
      <w:tr w14:paraId="3A2E2478">
        <w:tblPrEx>
          <w:tblCellMar>
            <w:top w:w="0" w:type="dxa"/>
            <w:left w:w="108" w:type="dxa"/>
            <w:bottom w:w="0" w:type="dxa"/>
            <w:right w:w="108" w:type="dxa"/>
          </w:tblCellMar>
        </w:tblPrEx>
        <w:trPr>
          <w:trHeight w:val="567" w:hRule="atLeast"/>
        </w:trPr>
        <w:tc>
          <w:tcPr>
            <w:tcW w:w="8472" w:type="dxa"/>
          </w:tcPr>
          <w:p w14:paraId="44822BF3">
            <w:pPr>
              <w:spacing w:line="440" w:lineRule="exact"/>
              <w:rPr>
                <w:rFonts w:ascii="宋体" w:hAnsi="宋体" w:eastAsia="宋体" w:cs="宋体"/>
                <w:sz w:val="28"/>
                <w:szCs w:val="28"/>
              </w:rPr>
            </w:pPr>
            <w:r>
              <w:rPr>
                <w:rFonts w:hint="eastAsia" w:ascii="宋体" w:hAnsi="宋体" w:eastAsia="宋体" w:cs="宋体"/>
                <w:b/>
                <w:bCs/>
                <w:sz w:val="28"/>
                <w:szCs w:val="28"/>
              </w:rPr>
              <w:t>乙方：</w:t>
            </w:r>
          </w:p>
        </w:tc>
      </w:tr>
      <w:tr w14:paraId="3DE70073">
        <w:tblPrEx>
          <w:tblCellMar>
            <w:top w:w="0" w:type="dxa"/>
            <w:left w:w="108" w:type="dxa"/>
            <w:bottom w:w="0" w:type="dxa"/>
            <w:right w:w="108" w:type="dxa"/>
          </w:tblCellMar>
        </w:tblPrEx>
        <w:trPr>
          <w:trHeight w:val="567" w:hRule="atLeast"/>
        </w:trPr>
        <w:tc>
          <w:tcPr>
            <w:tcW w:w="8472" w:type="dxa"/>
          </w:tcPr>
          <w:p w14:paraId="5AFEFF0E">
            <w:pPr>
              <w:spacing w:line="440" w:lineRule="exact"/>
              <w:rPr>
                <w:rFonts w:ascii="宋体" w:hAnsi="宋体" w:eastAsia="宋体" w:cs="宋体"/>
                <w:sz w:val="28"/>
                <w:szCs w:val="28"/>
              </w:rPr>
            </w:pPr>
            <w:r>
              <w:rPr>
                <w:rFonts w:hint="eastAsia" w:ascii="宋体" w:hAnsi="宋体" w:eastAsia="宋体" w:cs="宋体"/>
                <w:sz w:val="28"/>
                <w:szCs w:val="28"/>
              </w:rPr>
              <w:t>联系人：</w:t>
            </w:r>
          </w:p>
        </w:tc>
      </w:tr>
      <w:tr w14:paraId="5E1A8B1E">
        <w:tblPrEx>
          <w:tblCellMar>
            <w:top w:w="0" w:type="dxa"/>
            <w:left w:w="108" w:type="dxa"/>
            <w:bottom w:w="0" w:type="dxa"/>
            <w:right w:w="108" w:type="dxa"/>
          </w:tblCellMar>
        </w:tblPrEx>
        <w:trPr>
          <w:trHeight w:val="567" w:hRule="atLeast"/>
        </w:trPr>
        <w:tc>
          <w:tcPr>
            <w:tcW w:w="8472" w:type="dxa"/>
          </w:tcPr>
          <w:p w14:paraId="11CE69E2">
            <w:pPr>
              <w:spacing w:line="440" w:lineRule="exact"/>
              <w:rPr>
                <w:rFonts w:ascii="宋体" w:hAnsi="宋体" w:eastAsia="宋体" w:cs="宋体"/>
                <w:sz w:val="28"/>
                <w:szCs w:val="28"/>
              </w:rPr>
            </w:pPr>
            <w:r>
              <w:rPr>
                <w:rFonts w:hint="eastAsia" w:ascii="宋体" w:hAnsi="宋体" w:eastAsia="宋体" w:cs="宋体"/>
                <w:sz w:val="28"/>
                <w:szCs w:val="28"/>
              </w:rPr>
              <w:t>联系电话：</w:t>
            </w:r>
          </w:p>
        </w:tc>
      </w:tr>
      <w:tr w14:paraId="7D7541FD">
        <w:tblPrEx>
          <w:tblCellMar>
            <w:top w:w="0" w:type="dxa"/>
            <w:left w:w="108" w:type="dxa"/>
            <w:bottom w:w="0" w:type="dxa"/>
            <w:right w:w="108" w:type="dxa"/>
          </w:tblCellMar>
        </w:tblPrEx>
        <w:trPr>
          <w:trHeight w:val="567" w:hRule="atLeast"/>
        </w:trPr>
        <w:tc>
          <w:tcPr>
            <w:tcW w:w="8472" w:type="dxa"/>
          </w:tcPr>
          <w:p w14:paraId="45EDD1EE">
            <w:pPr>
              <w:rPr>
                <w:rFonts w:ascii="宋体" w:hAnsi="宋体" w:eastAsia="宋体" w:cs="宋体"/>
                <w:sz w:val="28"/>
                <w:szCs w:val="28"/>
              </w:rPr>
            </w:pPr>
            <w:r>
              <w:rPr>
                <w:rFonts w:hint="eastAsia" w:ascii="宋体" w:hAnsi="宋体" w:eastAsia="宋体" w:cs="宋体"/>
                <w:sz w:val="28"/>
                <w:szCs w:val="28"/>
              </w:rPr>
              <w:t>地址：</w:t>
            </w:r>
          </w:p>
        </w:tc>
      </w:tr>
    </w:tbl>
    <w:p w14:paraId="7A522890">
      <w:pPr>
        <w:spacing w:line="440" w:lineRule="exact"/>
        <w:rPr>
          <w:rFonts w:asciiTheme="minorEastAsia" w:hAnsiTheme="minorEastAsia" w:cstheme="minorEastAsia"/>
          <w:sz w:val="24"/>
        </w:rPr>
      </w:pPr>
    </w:p>
    <w:p w14:paraId="406B7DC2">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甲方因</w:t>
      </w:r>
      <w:r>
        <w:rPr>
          <w:rFonts w:hint="eastAsia" w:ascii="宋体" w:hAnsi="宋体" w:eastAsia="宋体" w:cs="宋体"/>
          <w:sz w:val="28"/>
          <w:szCs w:val="28"/>
          <w:u w:val="single"/>
        </w:rPr>
        <w:t xml:space="preserve">                           </w:t>
      </w:r>
      <w:r>
        <w:rPr>
          <w:rFonts w:hint="eastAsia" w:ascii="宋体" w:hAnsi="宋体" w:eastAsia="宋体" w:cs="宋体"/>
          <w:sz w:val="28"/>
          <w:szCs w:val="28"/>
        </w:rPr>
        <w:t>事宜，委托乙方代理，甲乙双方按照诚实信用原则，经友好协商一致，订立此合同，双方共同遵守。</w:t>
      </w:r>
    </w:p>
    <w:p w14:paraId="6963D75C">
      <w:pPr>
        <w:spacing w:line="440" w:lineRule="exact"/>
        <w:rPr>
          <w:rFonts w:ascii="宋体" w:hAnsi="宋体" w:eastAsia="宋体" w:cs="宋体"/>
          <w:b/>
          <w:bCs/>
          <w:sz w:val="28"/>
          <w:szCs w:val="28"/>
        </w:rPr>
      </w:pPr>
      <w:r>
        <w:rPr>
          <w:rFonts w:hint="eastAsia" w:ascii="宋体" w:hAnsi="宋体" w:eastAsia="宋体" w:cs="宋体"/>
          <w:b/>
          <w:bCs/>
          <w:sz w:val="28"/>
          <w:szCs w:val="28"/>
        </w:rPr>
        <w:t>一、委托事项</w:t>
      </w:r>
    </w:p>
    <w:p w14:paraId="1AF5ACD8">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 xml:space="preserve">乙方接受甲方的委托，指派 </w:t>
      </w:r>
      <w:r>
        <w:rPr>
          <w:rFonts w:hint="eastAsia" w:ascii="宋体" w:hAnsi="宋体" w:eastAsia="宋体" w:cs="宋体"/>
          <w:sz w:val="28"/>
          <w:szCs w:val="28"/>
          <w:u w:val="single"/>
        </w:rPr>
        <w:t xml:space="preserve">           </w:t>
      </w:r>
      <w:r>
        <w:rPr>
          <w:rFonts w:hint="eastAsia" w:ascii="宋体" w:hAnsi="宋体" w:eastAsia="宋体" w:cs="宋体"/>
          <w:sz w:val="28"/>
          <w:szCs w:val="28"/>
        </w:rPr>
        <w:t>律师为甲方下列案件的委托代理人：</w:t>
      </w:r>
    </w:p>
    <w:p w14:paraId="4A8DA11D">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1.对方当事人名称或者姓名：＿＿</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5C78477F">
      <w:pPr>
        <w:spacing w:line="440" w:lineRule="exact"/>
        <w:ind w:firstLine="560" w:firstLineChars="200"/>
        <w:rPr>
          <w:rFonts w:ascii="宋体" w:hAnsi="宋体" w:eastAsia="宋体" w:cs="宋体"/>
          <w:sz w:val="28"/>
          <w:szCs w:val="28"/>
          <w:u w:val="single"/>
        </w:rPr>
      </w:pPr>
      <w:r>
        <w:rPr>
          <w:rFonts w:hint="eastAsia" w:ascii="宋体" w:hAnsi="宋体" w:eastAsia="宋体" w:cs="宋体"/>
          <w:sz w:val="28"/>
          <w:szCs w:val="28"/>
        </w:rPr>
        <w:t>2.案由：</w:t>
      </w:r>
      <w:r>
        <w:rPr>
          <w:rFonts w:hint="eastAsia" w:ascii="宋体" w:hAnsi="宋体" w:eastAsia="宋体" w:cs="宋体"/>
          <w:sz w:val="28"/>
          <w:szCs w:val="28"/>
          <w:u w:val="single"/>
        </w:rPr>
        <w:t xml:space="preserve">                          </w:t>
      </w:r>
    </w:p>
    <w:p w14:paraId="7BB0474F">
      <w:pPr>
        <w:spacing w:line="440" w:lineRule="exact"/>
        <w:ind w:firstLine="560" w:firstLineChars="200"/>
        <w:rPr>
          <w:rFonts w:ascii="宋体" w:hAnsi="宋体" w:eastAsia="宋体" w:cs="宋体"/>
          <w:sz w:val="28"/>
          <w:szCs w:val="28"/>
          <w:u w:val="single"/>
        </w:rPr>
      </w:pPr>
      <w:r>
        <w:rPr>
          <w:rFonts w:hint="eastAsia" w:ascii="宋体" w:hAnsi="宋体" w:eastAsia="宋体" w:cs="宋体"/>
          <w:sz w:val="28"/>
          <w:szCs w:val="28"/>
        </w:rPr>
        <w:t>3.立案时间：</w:t>
      </w:r>
      <w:r>
        <w:rPr>
          <w:rFonts w:hint="eastAsia" w:ascii="宋体" w:hAnsi="宋体" w:eastAsia="宋体" w:cs="宋体"/>
          <w:sz w:val="28"/>
          <w:szCs w:val="28"/>
          <w:u w:val="single"/>
        </w:rPr>
        <w:t xml:space="preserve">                       </w:t>
      </w:r>
    </w:p>
    <w:p w14:paraId="522A47F4">
      <w:pPr>
        <w:spacing w:line="440" w:lineRule="exact"/>
        <w:ind w:firstLine="560" w:firstLineChars="200"/>
        <w:rPr>
          <w:rFonts w:ascii="宋体" w:hAnsi="宋体" w:eastAsia="宋体" w:cs="宋体"/>
          <w:sz w:val="28"/>
          <w:szCs w:val="28"/>
          <w:u w:val="single"/>
        </w:rPr>
      </w:pPr>
      <w:r>
        <w:rPr>
          <w:rFonts w:hint="eastAsia" w:ascii="宋体" w:hAnsi="宋体" w:eastAsia="宋体" w:cs="宋体"/>
          <w:sz w:val="28"/>
          <w:szCs w:val="28"/>
        </w:rPr>
        <w:t>4.审判机关：</w:t>
      </w:r>
      <w:r>
        <w:rPr>
          <w:rFonts w:hint="eastAsia" w:ascii="宋体" w:hAnsi="宋体" w:eastAsia="宋体" w:cs="宋体"/>
          <w:sz w:val="28"/>
          <w:szCs w:val="28"/>
          <w:u w:val="single"/>
        </w:rPr>
        <w:t xml:space="preserve">                       </w:t>
      </w:r>
    </w:p>
    <w:p w14:paraId="1BDD2594">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5.委托事项：包括一审、可能的二审、再审。</w:t>
      </w:r>
    </w:p>
    <w:p w14:paraId="2395ED7C">
      <w:pPr>
        <w:spacing w:line="440" w:lineRule="exact"/>
        <w:rPr>
          <w:rFonts w:ascii="宋体" w:hAnsi="宋体" w:eastAsia="宋体" w:cs="宋体"/>
          <w:b/>
          <w:color w:val="000000"/>
          <w:sz w:val="28"/>
          <w:szCs w:val="28"/>
        </w:rPr>
      </w:pPr>
      <w:r>
        <w:rPr>
          <w:rFonts w:hint="eastAsia" w:ascii="宋体" w:hAnsi="宋体" w:eastAsia="宋体" w:cs="宋体"/>
          <w:sz w:val="28"/>
          <w:szCs w:val="28"/>
        </w:rPr>
        <w:t>二、</w:t>
      </w:r>
      <w:r>
        <w:rPr>
          <w:rFonts w:hint="eastAsia" w:ascii="宋体" w:hAnsi="宋体" w:eastAsia="宋体" w:cs="宋体"/>
          <w:b/>
          <w:bCs/>
          <w:color w:val="000000"/>
          <w:sz w:val="28"/>
          <w:szCs w:val="28"/>
        </w:rPr>
        <w:t>委托代理权限</w:t>
      </w:r>
    </w:p>
    <w:p w14:paraId="6CFD332E">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甲方授权乙方代理权限为一般授权，具体以甲方出具的授权委托书为准。</w:t>
      </w:r>
    </w:p>
    <w:p w14:paraId="71A3E1FA">
      <w:pPr>
        <w:spacing w:line="440" w:lineRule="exact"/>
        <w:rPr>
          <w:rFonts w:ascii="宋体" w:hAnsi="宋体" w:eastAsia="宋体" w:cs="宋体"/>
          <w:b/>
          <w:bCs/>
          <w:sz w:val="28"/>
          <w:szCs w:val="28"/>
        </w:rPr>
      </w:pPr>
      <w:r>
        <w:rPr>
          <w:rFonts w:hint="eastAsia" w:ascii="宋体" w:hAnsi="宋体" w:eastAsia="宋体" w:cs="宋体"/>
          <w:b/>
          <w:bCs/>
          <w:sz w:val="28"/>
          <w:szCs w:val="28"/>
        </w:rPr>
        <w:t>三、甲方权利义务</w:t>
      </w:r>
    </w:p>
    <w:p w14:paraId="121A5C8E">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1.甲方应当真实、详尽、及时地向乙方律师叙述案情，提供与委托代理事务有关的全部证据材料、文件及其它事实情节，并对证据材料的真实性、合法性负责。</w:t>
      </w:r>
    </w:p>
    <w:p w14:paraId="6F20940C">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2.甲方应当积极、主动地配合乙方律师的工作。甲方对乙方律师提出的要求应当明确、合理、合法。</w:t>
      </w:r>
    </w:p>
    <w:p w14:paraId="043A957C">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3.按双方的约定按时、足额向乙方支付律师服务费和各项工作费用。</w:t>
      </w:r>
    </w:p>
    <w:p w14:paraId="7B9CDBA8">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4.甲方保证，在与乙方签订委托合同时，提供的邮寄地址，传真，电话等联系方式均真实，准确，乙方可以通过以上联系方式取得有效的联系和传达，如果变更，甲方应在变更之日起三日内告知乙方律师。</w:t>
      </w:r>
    </w:p>
    <w:p w14:paraId="7627BD6E">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5.甲方有责任对委托代理事务做出独立地判断和决策，乙方尊重甲方对委托代理事务做出的独立地判断和决策。甲方非根据乙方律师提供的法律意见、建议、方案所做出的决定而造成的损失，应由甲方承担。</w:t>
      </w:r>
    </w:p>
    <w:p w14:paraId="3EB8F812">
      <w:pPr>
        <w:spacing w:line="440" w:lineRule="exact"/>
        <w:rPr>
          <w:rFonts w:ascii="宋体" w:hAnsi="宋体" w:eastAsia="宋体" w:cs="宋体"/>
          <w:b/>
          <w:bCs/>
          <w:sz w:val="28"/>
          <w:szCs w:val="28"/>
        </w:rPr>
      </w:pPr>
      <w:r>
        <w:rPr>
          <w:rFonts w:hint="eastAsia" w:ascii="宋体" w:hAnsi="宋体" w:eastAsia="宋体" w:cs="宋体"/>
          <w:b/>
          <w:bCs/>
          <w:sz w:val="28"/>
          <w:szCs w:val="28"/>
        </w:rPr>
        <w:t>四、乙方的权利义务</w:t>
      </w:r>
    </w:p>
    <w:p w14:paraId="25DEBF9B">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1.乙方委派＿＿＿＿＿律师作为上述案件中甲方的委托代理人，甲方同意上述律师指派其他业务助理配合完成辅助工作，但乙方更换代理律师应事先取得甲方认可。</w:t>
      </w:r>
    </w:p>
    <w:p w14:paraId="6AEBF5D4">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2.乙方律师应当勤勉、尽责地完成第一条所列委托代理事项，以应有的专业技能和职业判断，依法切实维护甲方的利益。</w:t>
      </w:r>
    </w:p>
    <w:p w14:paraId="7B4D055D">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3. 乙方应当遵循诚实守信的原则，依法告知甲方所委托事项可能出现的法律风险。</w:t>
      </w:r>
    </w:p>
    <w:p w14:paraId="654BB2D5">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4.乙方应当根据法律规定的时限、时效及时提交证据，按时出庭，及时办理受委托事务。</w:t>
      </w:r>
    </w:p>
    <w:p w14:paraId="062FE867">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5.乙方应当及时告知甲方有关代理事项的工作情况，对甲方了解委托事务情况的正当要求，应当尽快给予答复。</w:t>
      </w:r>
    </w:p>
    <w:p w14:paraId="235DB808">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6.在涉及甲方的对抗性案件中，未经甲方同意，乙方律师不得同时担任与甲方具有法律上利益冲突的另一方的委托代理人。</w:t>
      </w:r>
    </w:p>
    <w:p w14:paraId="19E37CCC">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7.乙方在开展委托代理工作过程中所获悉的尚未为公众知晓的甲方的包括但不仅限于国家秘密、商业秘密以及甲方不愿意让外界知晓的全部信息及文件资料，乙方及乙方相关工作人员须保守秘密，不得向任何第三方披露，更不得利用上述保密信息从事任何有损甲方权益的活动。</w:t>
      </w:r>
    </w:p>
    <w:p w14:paraId="34654566">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8.乙方对委托事项应当单独建档，应为甲方保存完整的工作记录，妥善保管涉及甲方的原始资料、实物、证据、法律文件及相关材料，应甲方要求应及时交还甲方，并做好交接记录。</w:t>
      </w:r>
    </w:p>
    <w:p w14:paraId="161098BA">
      <w:pPr>
        <w:spacing w:line="440" w:lineRule="exact"/>
        <w:rPr>
          <w:rFonts w:ascii="宋体" w:hAnsi="宋体" w:eastAsia="宋体" w:cs="宋体"/>
          <w:b/>
          <w:bCs/>
          <w:sz w:val="28"/>
          <w:szCs w:val="28"/>
        </w:rPr>
      </w:pPr>
      <w:r>
        <w:rPr>
          <w:rFonts w:hint="eastAsia" w:ascii="宋体" w:hAnsi="宋体" w:eastAsia="宋体" w:cs="宋体"/>
          <w:b/>
          <w:bCs/>
          <w:sz w:val="28"/>
          <w:szCs w:val="28"/>
        </w:rPr>
        <w:t>五、费用及支付方式</w:t>
      </w:r>
    </w:p>
    <w:p w14:paraId="1339758C">
      <w:pPr>
        <w:spacing w:line="440" w:lineRule="exact"/>
        <w:ind w:firstLine="480"/>
        <w:rPr>
          <w:rFonts w:ascii="宋体" w:hAnsi="宋体" w:eastAsia="宋体" w:cs="宋体"/>
          <w:sz w:val="28"/>
          <w:szCs w:val="28"/>
        </w:rPr>
      </w:pPr>
      <w:r>
        <w:rPr>
          <w:rFonts w:hint="eastAsia" w:ascii="宋体" w:hAnsi="宋体" w:eastAsia="宋体" w:cs="宋体"/>
          <w:sz w:val="28"/>
          <w:szCs w:val="28"/>
        </w:rPr>
        <w:t>1.甲、乙双方协商确定法律服务费的金额及支付方式，乙方收取代理费，已充分考虑了以下因素：(1)耗费的工作时间；(2)法律事务的难易程度；(3)委托人的承受能力；(4)律师可能承担的风险和责任；(5)律师的社会信誉和工作水平。</w:t>
      </w:r>
    </w:p>
    <w:p w14:paraId="3FCF09F1">
      <w:pPr>
        <w:spacing w:line="440" w:lineRule="exact"/>
        <w:ind w:firstLine="480"/>
        <w:rPr>
          <w:rFonts w:ascii="宋体" w:hAnsi="宋体" w:eastAsia="宋体" w:cs="宋体"/>
          <w:sz w:val="28"/>
          <w:szCs w:val="28"/>
        </w:rPr>
      </w:pPr>
      <w:r>
        <w:rPr>
          <w:rFonts w:hint="eastAsia" w:ascii="宋体" w:hAnsi="宋体" w:eastAsia="宋体" w:cs="宋体"/>
          <w:sz w:val="28"/>
          <w:szCs w:val="28"/>
        </w:rPr>
        <w:t>2. 甲乙双方经友好协商一致，按以下</w:t>
      </w:r>
      <w:r>
        <w:rPr>
          <w:rFonts w:hint="eastAsia" w:ascii="宋体" w:hAnsi="宋体" w:eastAsia="宋体" w:cs="宋体"/>
          <w:sz w:val="28"/>
          <w:szCs w:val="28"/>
          <w:u w:val="single"/>
        </w:rPr>
        <w:t xml:space="preserve">     </w:t>
      </w:r>
      <w:r>
        <w:rPr>
          <w:rFonts w:hint="eastAsia" w:ascii="宋体" w:hAnsi="宋体" w:eastAsia="宋体" w:cs="宋体"/>
          <w:sz w:val="28"/>
          <w:szCs w:val="28"/>
        </w:rPr>
        <w:t>种方式支付服务费用：</w:t>
      </w:r>
    </w:p>
    <w:p w14:paraId="54FC72FF">
      <w:pPr>
        <w:spacing w:line="440" w:lineRule="exact"/>
        <w:ind w:firstLine="480"/>
        <w:rPr>
          <w:rFonts w:ascii="宋体" w:hAnsi="宋体" w:eastAsia="宋体" w:cs="宋体"/>
          <w:sz w:val="28"/>
          <w:szCs w:val="28"/>
        </w:rPr>
      </w:pPr>
      <w:r>
        <w:rPr>
          <w:rFonts w:hint="eastAsia" w:ascii="宋体" w:hAnsi="宋体" w:eastAsia="宋体" w:cs="宋体"/>
          <w:sz w:val="28"/>
          <w:szCs w:val="28"/>
        </w:rPr>
        <w:t>（1）风险代理方式收费</w:t>
      </w:r>
      <w:r>
        <w:rPr>
          <w:rFonts w:hint="eastAsia" w:ascii="宋体" w:hAnsi="宋体" w:eastAsia="宋体" w:cs="宋体"/>
          <w:sz w:val="28"/>
          <w:szCs w:val="28"/>
          <w:u w:val="single"/>
        </w:rPr>
        <w:t xml:space="preserve">：   （双方协商一致约定具体标准）          </w:t>
      </w:r>
      <w:r>
        <w:rPr>
          <w:rFonts w:hint="eastAsia" w:ascii="宋体" w:hAnsi="宋体" w:eastAsia="宋体" w:cs="宋体"/>
          <w:sz w:val="28"/>
          <w:szCs w:val="28"/>
        </w:rPr>
        <w:t>；</w:t>
      </w:r>
    </w:p>
    <w:p w14:paraId="34679CD1">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（2）计件收费：本合同案件服务费为</w:t>
      </w:r>
      <w:r>
        <w:rPr>
          <w:rFonts w:hint="eastAsia" w:ascii="宋体" w:hAnsi="宋体" w:eastAsia="宋体" w:cs="宋体"/>
          <w:sz w:val="28"/>
          <w:szCs w:val="28"/>
          <w:u w:val="single"/>
        </w:rPr>
        <w:t xml:space="preserve">      </w:t>
      </w:r>
      <w:r>
        <w:rPr>
          <w:rFonts w:hint="eastAsia" w:ascii="宋体" w:hAnsi="宋体" w:eastAsia="宋体" w:cs="宋体"/>
          <w:sz w:val="28"/>
          <w:szCs w:val="28"/>
        </w:rPr>
        <w:t>元（大写：</w:t>
      </w:r>
      <w:r>
        <w:rPr>
          <w:rFonts w:hint="eastAsia" w:ascii="宋体" w:hAnsi="宋体" w:eastAsia="宋体" w:cs="宋体"/>
          <w:sz w:val="28"/>
          <w:szCs w:val="28"/>
          <w:u w:val="single"/>
        </w:rPr>
        <w:t xml:space="preserve">          </w:t>
      </w:r>
      <w:r>
        <w:rPr>
          <w:rFonts w:hint="eastAsia" w:ascii="宋体" w:hAnsi="宋体" w:eastAsia="宋体" w:cs="宋体"/>
          <w:sz w:val="28"/>
          <w:szCs w:val="28"/>
        </w:rPr>
        <w:t>）（含税）；</w:t>
      </w:r>
    </w:p>
    <w:p w14:paraId="1A23D0BD">
      <w:pPr>
        <w:spacing w:line="440" w:lineRule="exact"/>
        <w:ind w:firstLine="480"/>
        <w:rPr>
          <w:rFonts w:ascii="宋体" w:hAnsi="宋体" w:eastAsia="宋体" w:cs="宋体"/>
          <w:sz w:val="28"/>
          <w:szCs w:val="28"/>
        </w:rPr>
      </w:pPr>
      <w:r>
        <w:rPr>
          <w:rFonts w:hint="eastAsia" w:ascii="宋体" w:hAnsi="宋体" w:eastAsia="宋体" w:cs="宋体"/>
          <w:sz w:val="28"/>
          <w:szCs w:val="28"/>
        </w:rPr>
        <w:t>（3）按标的额比例收费：10万元以下（含10万元），</w:t>
      </w:r>
      <w:r>
        <w:rPr>
          <w:rFonts w:hint="eastAsia" w:ascii="宋体" w:hAnsi="宋体" w:eastAsia="宋体" w:cs="宋体"/>
          <w:sz w:val="28"/>
          <w:szCs w:val="28"/>
          <w:u w:val="single"/>
        </w:rPr>
        <w:t xml:space="preserve">    </w:t>
      </w:r>
      <w:r>
        <w:rPr>
          <w:rFonts w:hint="eastAsia" w:ascii="宋体" w:hAnsi="宋体" w:eastAsia="宋体" w:cs="宋体"/>
          <w:sz w:val="28"/>
          <w:szCs w:val="28"/>
        </w:rPr>
        <w:t>%；10万元至100万元（含100万元），</w:t>
      </w:r>
      <w:r>
        <w:rPr>
          <w:rFonts w:hint="eastAsia" w:ascii="宋体" w:hAnsi="宋体" w:eastAsia="宋体" w:cs="宋体"/>
          <w:sz w:val="28"/>
          <w:szCs w:val="28"/>
          <w:u w:val="single"/>
        </w:rPr>
        <w:t xml:space="preserve">   </w:t>
      </w:r>
      <w:r>
        <w:rPr>
          <w:rFonts w:hint="eastAsia" w:ascii="宋体" w:hAnsi="宋体" w:eastAsia="宋体" w:cs="宋体"/>
          <w:sz w:val="28"/>
          <w:szCs w:val="28"/>
        </w:rPr>
        <w:t>%；100万元至1000万元（含1000万元），</w:t>
      </w:r>
      <w:r>
        <w:rPr>
          <w:rFonts w:hint="eastAsia" w:ascii="宋体" w:hAnsi="宋体" w:eastAsia="宋体" w:cs="宋体"/>
          <w:sz w:val="28"/>
          <w:szCs w:val="28"/>
          <w:u w:val="single"/>
        </w:rPr>
        <w:t xml:space="preserve">   </w:t>
      </w:r>
      <w:r>
        <w:rPr>
          <w:rFonts w:hint="eastAsia" w:ascii="宋体" w:hAnsi="宋体" w:eastAsia="宋体" w:cs="宋体"/>
          <w:sz w:val="28"/>
          <w:szCs w:val="28"/>
        </w:rPr>
        <w:t>%；1000万元以上，</w:t>
      </w:r>
      <w:r>
        <w:rPr>
          <w:rFonts w:hint="eastAsia" w:ascii="宋体" w:hAnsi="宋体" w:eastAsia="宋体" w:cs="宋体"/>
          <w:sz w:val="28"/>
          <w:szCs w:val="28"/>
          <w:u w:val="single"/>
        </w:rPr>
        <w:t xml:space="preserve">   </w:t>
      </w:r>
      <w:r>
        <w:rPr>
          <w:rFonts w:hint="eastAsia" w:ascii="宋体" w:hAnsi="宋体" w:eastAsia="宋体" w:cs="宋体"/>
          <w:sz w:val="28"/>
          <w:szCs w:val="28"/>
        </w:rPr>
        <w:t>%。按争议标的额差额累进计费。</w:t>
      </w:r>
    </w:p>
    <w:p w14:paraId="07EA9A06">
      <w:pPr>
        <w:spacing w:line="440" w:lineRule="exact"/>
        <w:ind w:firstLine="480"/>
        <w:rPr>
          <w:rFonts w:ascii="宋体" w:hAnsi="宋体" w:eastAsia="宋体" w:cs="宋体"/>
          <w:sz w:val="28"/>
          <w:szCs w:val="28"/>
        </w:rPr>
      </w:pPr>
      <w:r>
        <w:rPr>
          <w:rFonts w:hint="eastAsia" w:ascii="宋体" w:hAnsi="宋体" w:eastAsia="宋体" w:cs="宋体"/>
          <w:sz w:val="28"/>
          <w:szCs w:val="28"/>
        </w:rPr>
        <w:t>3.支付方式：本合同签署生效且收到乙方提供的合规发票后</w:t>
      </w:r>
      <w:r>
        <w:rPr>
          <w:rFonts w:hint="eastAsia" w:ascii="宋体" w:hAnsi="宋体" w:eastAsia="宋体" w:cs="宋体"/>
          <w:sz w:val="28"/>
          <w:szCs w:val="28"/>
          <w:u w:val="single"/>
        </w:rPr>
        <w:t xml:space="preserve">   </w:t>
      </w:r>
      <w:r>
        <w:rPr>
          <w:rFonts w:hint="eastAsia" w:ascii="宋体" w:hAnsi="宋体" w:eastAsia="宋体" w:cs="宋体"/>
          <w:sz w:val="28"/>
          <w:szCs w:val="28"/>
        </w:rPr>
        <w:t>个工作日内一次性付清。</w:t>
      </w:r>
    </w:p>
    <w:p w14:paraId="7C5C01C7">
      <w:pPr>
        <w:spacing w:line="440" w:lineRule="exact"/>
        <w:ind w:firstLine="480"/>
        <w:rPr>
          <w:rFonts w:ascii="宋体" w:hAnsi="宋体" w:eastAsia="宋体" w:cs="宋体"/>
          <w:sz w:val="28"/>
          <w:szCs w:val="28"/>
        </w:rPr>
      </w:pPr>
      <w:r>
        <w:rPr>
          <w:rFonts w:hint="eastAsia" w:ascii="宋体" w:hAnsi="宋体" w:eastAsia="宋体" w:cs="宋体"/>
          <w:sz w:val="28"/>
          <w:szCs w:val="28"/>
        </w:rPr>
        <w:t>4.乙方同意，二审、再审在一审阶段服务费用基础上减半收费。</w:t>
      </w:r>
    </w:p>
    <w:p w14:paraId="17F3375C">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5.乙方指定收款账户信息如下：</w:t>
      </w:r>
    </w:p>
    <w:p w14:paraId="18D7315C">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账户名称:</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2D0A7B3E">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账    号：</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17CF3B9C">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开户银行：</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11C6353E">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6.工作费用</w:t>
      </w:r>
    </w:p>
    <w:p w14:paraId="543923E1">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1）乙方律师从事与完成甲方委托事项有关的活动而发生的必要及合理的、由第三方服务机构收取的费用，由甲方自行支付，包括但不限于翻译费、公证费、评估费、查档费等，但该费用支出应由甲方事先确认同意。乙方代甲方支付上述费用的，应当凭有效票证与甲方结算。</w:t>
      </w:r>
    </w:p>
    <w:p w14:paraId="276C0472">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 xml:space="preserve">（2）乙方为甲方办理委托事项，所需要的差旅费用凭乙方律师提供的有效票据据实报销。若乙方预收差旅费，乙方应事先与甲方书面协商费用概算，乙方办理法律事务完毕后，应及时凭有效票据与甲方结算办案差旅费，多退少补。 </w:t>
      </w:r>
    </w:p>
    <w:p w14:paraId="4997F3C1">
      <w:pPr>
        <w:spacing w:line="440" w:lineRule="exact"/>
        <w:rPr>
          <w:rFonts w:ascii="宋体" w:hAnsi="宋体" w:eastAsia="宋体" w:cs="宋体"/>
          <w:b/>
          <w:bCs/>
          <w:sz w:val="28"/>
          <w:szCs w:val="28"/>
        </w:rPr>
      </w:pPr>
      <w:r>
        <w:rPr>
          <w:rFonts w:hint="eastAsia" w:ascii="宋体" w:hAnsi="宋体" w:eastAsia="宋体" w:cs="宋体"/>
          <w:b/>
          <w:bCs/>
          <w:sz w:val="28"/>
          <w:szCs w:val="28"/>
        </w:rPr>
        <w:t>六、合同的变更和解除</w:t>
      </w:r>
    </w:p>
    <w:p w14:paraId="6AE94D32">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 xml:space="preserve"> 1．乙方有下列情形之一的，甲方有权解除合同，乙方应退还甲方已支付的全部费用，且应赔偿甲方因此遭受的损失：</w:t>
      </w:r>
    </w:p>
    <w:p w14:paraId="695F3796">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（1）未经甲方同意，擅自更换代理律师的；</w:t>
      </w:r>
    </w:p>
    <w:p w14:paraId="63F26779">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（2）乙方律师履行本合同义务存在违法执业、工作延误、失职、故意或重大过失给甲方造成损失的；</w:t>
      </w:r>
    </w:p>
    <w:p w14:paraId="007925EE">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（3）乙方违反本合同约定义务，经甲方提出异议15日后仍未更正或采取补救措施的；</w:t>
      </w:r>
    </w:p>
    <w:p w14:paraId="57227051">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（4）无正当理由，未按审判机关通知参加庭审的；</w:t>
      </w:r>
    </w:p>
    <w:p w14:paraId="78C939F8">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（5）违反本合同第四条约定义务的。</w:t>
      </w:r>
    </w:p>
    <w:p w14:paraId="59E6EC52">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2．甲方有下列情形之一的，乙方有权解除合同：</w:t>
      </w:r>
    </w:p>
    <w:p w14:paraId="5A24637E">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（1）甲方的委托事项违反法律或者违反律师执业规范的；</w:t>
      </w:r>
    </w:p>
    <w:p w14:paraId="2C75715B">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（2）甲方有捏造事实、伪造证据或者隐瞒重要情节等情形，致使乙方律师不能提供有效的法律服务的；</w:t>
      </w:r>
    </w:p>
    <w:p w14:paraId="749826C6">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（3）甲方逾期十五个工作日仍不向乙方支付法律服务费或者工作费用的。</w:t>
      </w:r>
    </w:p>
    <w:p w14:paraId="54140D3F">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3.甲方明确放弃委托事务或经甲乙双方协商一致，可以变更本合同，变更合同后的服务费用由甲、乙双方另行协商确定。</w:t>
      </w:r>
    </w:p>
    <w:p w14:paraId="4DC5EF08">
      <w:pPr>
        <w:spacing w:line="440" w:lineRule="exact"/>
        <w:rPr>
          <w:rFonts w:ascii="宋体" w:hAnsi="宋体" w:eastAsia="宋体" w:cs="宋体"/>
          <w:b/>
          <w:bCs/>
          <w:sz w:val="28"/>
          <w:szCs w:val="28"/>
        </w:rPr>
      </w:pPr>
      <w:r>
        <w:rPr>
          <w:rFonts w:hint="eastAsia" w:ascii="宋体" w:hAnsi="宋体" w:eastAsia="宋体" w:cs="宋体"/>
          <w:b/>
          <w:bCs/>
          <w:sz w:val="28"/>
          <w:szCs w:val="28"/>
        </w:rPr>
        <w:t xml:space="preserve">七、违约责任 </w:t>
      </w:r>
    </w:p>
    <w:p w14:paraId="13950DD4">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1. 乙方无正当理由不提供本合同约定的义务，甲方有权要求乙方退还部分或者全部已付的律师服务费。</w:t>
      </w:r>
    </w:p>
    <w:p w14:paraId="40029063">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2.在本合同履行期间，因乙方工作延误、失职、失误导致甲方遭受损失或者违反本合同约定之乙方义务并给甲方造成损失的，乙方应当通过其所投保的执业保险向甲方承担赔偿责任。</w:t>
      </w:r>
    </w:p>
    <w:p w14:paraId="2A621BE9">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3.被乙方指派的律师因故不能履行义务时，经甲方事先同意可由具有同等资历的乙方其他执业律师代为履行相关法律服务，乙方指派的其他律师不能履行本合同约定的法律服务事项的，甲方有权要求更换律师或解除合同，乙方应退还甲方已支付的全部或部分费用。</w:t>
      </w:r>
    </w:p>
    <w:p w14:paraId="08F3722D">
      <w:pPr>
        <w:spacing w:line="440" w:lineRule="exact"/>
        <w:ind w:firstLine="560" w:firstLineChars="200"/>
        <w:rPr>
          <w:rFonts w:ascii="宋体" w:hAnsi="宋体" w:eastAsia="宋体" w:cs="宋体"/>
          <w:sz w:val="28"/>
          <w:szCs w:val="28"/>
        </w:rPr>
      </w:pPr>
      <w:r>
        <w:rPr>
          <w:rFonts w:hint="eastAsia" w:ascii="宋体" w:hAnsi="宋体" w:eastAsia="宋体" w:cs="宋体"/>
          <w:sz w:val="28"/>
          <w:szCs w:val="28"/>
        </w:rPr>
        <w:t>4.甲方无正当理由不支付法律顾问费或者工作费用，或者无故终止合同，乙方有权要求甲方支付未付的法律顾问费和未报销的工作费用。</w:t>
      </w:r>
    </w:p>
    <w:p w14:paraId="268A331B">
      <w:pPr>
        <w:spacing w:line="440" w:lineRule="exact"/>
        <w:rPr>
          <w:rFonts w:ascii="宋体" w:hAnsi="宋体" w:eastAsia="宋体" w:cs="宋体"/>
          <w:b/>
          <w:bCs/>
          <w:sz w:val="28"/>
          <w:szCs w:val="28"/>
        </w:rPr>
      </w:pPr>
      <w:r>
        <w:rPr>
          <w:rFonts w:hint="eastAsia" w:ascii="宋体" w:hAnsi="宋体" w:eastAsia="宋体" w:cs="宋体"/>
          <w:b/>
          <w:bCs/>
          <w:sz w:val="28"/>
          <w:szCs w:val="28"/>
        </w:rPr>
        <w:t>八、争议的解决</w:t>
      </w:r>
    </w:p>
    <w:p w14:paraId="032B56CA">
      <w:pPr>
        <w:ind w:firstLine="560" w:firstLineChars="200"/>
        <w:jc w:val="left"/>
        <w:rPr>
          <w:rFonts w:ascii="宋体" w:hAnsi="宋体" w:eastAsia="宋体" w:cs="宋体"/>
          <w:sz w:val="28"/>
          <w:szCs w:val="28"/>
        </w:rPr>
      </w:pPr>
      <w:r>
        <w:rPr>
          <w:rFonts w:hint="eastAsia" w:ascii="宋体" w:hAnsi="宋体" w:eastAsia="宋体" w:cs="宋体"/>
          <w:sz w:val="28"/>
          <w:szCs w:val="28"/>
        </w:rPr>
        <w:t>本合同适用中华人民共和国法律。由本合同产生或与本合同有关的任何纠纷，将由双方友好协商解决。协商不成的，任何一方有权</w:t>
      </w:r>
      <w:r>
        <w:rPr>
          <w:rFonts w:ascii="宋体" w:hAnsi="宋体" w:eastAsia="宋体" w:cs="宋体"/>
          <w:sz w:val="28"/>
          <w:szCs w:val="28"/>
        </w:rPr>
        <w:t>向深圳国际仲裁院申请仲裁，仲裁是终局的，对双方均具有法律约束力。</w:t>
      </w:r>
    </w:p>
    <w:p w14:paraId="6FBDC251">
      <w:pPr>
        <w:ind w:firstLine="560" w:firstLineChars="200"/>
        <w:jc w:val="left"/>
        <w:rPr>
          <w:rFonts w:ascii="宋体" w:hAnsi="宋体" w:eastAsia="宋体" w:cs="宋体"/>
          <w:sz w:val="28"/>
          <w:szCs w:val="28"/>
        </w:rPr>
      </w:pPr>
      <w:r>
        <w:rPr>
          <w:rFonts w:hint="eastAsia" w:ascii="宋体" w:hAnsi="宋体" w:eastAsia="宋体" w:cs="宋体"/>
          <w:sz w:val="28"/>
          <w:szCs w:val="28"/>
        </w:rPr>
        <w:t>在仲裁期间，除正在进行仲裁部分外，合同其他部分继续执行。</w:t>
      </w:r>
    </w:p>
    <w:p w14:paraId="5BF5F9CD">
      <w:pPr>
        <w:spacing w:line="440" w:lineRule="exact"/>
        <w:rPr>
          <w:rFonts w:ascii="宋体" w:hAnsi="宋体" w:eastAsia="宋体" w:cs="宋体"/>
          <w:b/>
          <w:bCs/>
          <w:sz w:val="28"/>
          <w:szCs w:val="28"/>
        </w:rPr>
      </w:pPr>
      <w:r>
        <w:rPr>
          <w:rFonts w:hint="eastAsia" w:ascii="宋体" w:hAnsi="宋体" w:eastAsia="宋体" w:cs="宋体"/>
          <w:b/>
          <w:bCs/>
          <w:sz w:val="28"/>
          <w:szCs w:val="28"/>
        </w:rPr>
        <w:t>九、合同的生效</w:t>
      </w:r>
    </w:p>
    <w:p w14:paraId="11D1F77B">
      <w:pPr>
        <w:pStyle w:val="11"/>
        <w:adjustRightInd w:val="0"/>
        <w:snapToGrid w:val="0"/>
        <w:spacing w:line="440" w:lineRule="exact"/>
        <w:ind w:firstLine="560"/>
        <w:rPr>
          <w:rFonts w:ascii="宋体" w:hAnsi="宋体" w:eastAsia="宋体" w:cs="宋体"/>
          <w:sz w:val="28"/>
          <w:szCs w:val="28"/>
        </w:rPr>
      </w:pPr>
      <w:r>
        <w:rPr>
          <w:rFonts w:hint="eastAsia" w:ascii="宋体" w:hAnsi="宋体" w:eastAsia="宋体" w:cs="宋体"/>
          <w:sz w:val="28"/>
          <w:szCs w:val="28"/>
        </w:rPr>
        <w:t>1. 本合同壹式</w:t>
      </w:r>
      <w:r>
        <w:rPr>
          <w:rFonts w:hint="eastAsia" w:ascii="宋体" w:hAnsi="宋体" w:eastAsia="宋体" w:cs="宋体"/>
          <w:sz w:val="28"/>
          <w:szCs w:val="28"/>
          <w:u w:val="single"/>
        </w:rPr>
        <w:t xml:space="preserve">    </w:t>
      </w:r>
      <w:r>
        <w:rPr>
          <w:rFonts w:hint="eastAsia" w:ascii="宋体" w:hAnsi="宋体" w:eastAsia="宋体" w:cs="宋体"/>
          <w:sz w:val="28"/>
          <w:szCs w:val="28"/>
        </w:rPr>
        <w:t>份，甲乙双方各执</w:t>
      </w:r>
      <w:r>
        <w:rPr>
          <w:rFonts w:hint="eastAsia" w:ascii="宋体" w:hAnsi="宋体" w:eastAsia="宋体" w:cs="宋体"/>
          <w:sz w:val="28"/>
          <w:szCs w:val="28"/>
          <w:u w:val="single"/>
        </w:rPr>
        <w:t xml:space="preserve">    </w:t>
      </w:r>
      <w:r>
        <w:rPr>
          <w:rFonts w:hint="eastAsia" w:ascii="宋体" w:hAnsi="宋体" w:eastAsia="宋体" w:cs="宋体"/>
          <w:sz w:val="28"/>
          <w:szCs w:val="28"/>
        </w:rPr>
        <w:t>份，每份具有同等法律效力。</w:t>
      </w:r>
    </w:p>
    <w:p w14:paraId="6C602A90">
      <w:pPr>
        <w:pStyle w:val="11"/>
        <w:adjustRightInd w:val="0"/>
        <w:snapToGrid w:val="0"/>
        <w:spacing w:line="440" w:lineRule="exact"/>
        <w:ind w:firstLine="560"/>
        <w:rPr>
          <w:rFonts w:ascii="宋体" w:hAnsi="宋体" w:eastAsia="宋体" w:cs="宋体"/>
          <w:sz w:val="28"/>
          <w:szCs w:val="28"/>
        </w:rPr>
      </w:pPr>
      <w:r>
        <w:rPr>
          <w:rFonts w:hint="eastAsia" w:ascii="宋体" w:hAnsi="宋体" w:eastAsia="宋体" w:cs="宋体"/>
          <w:sz w:val="28"/>
          <w:szCs w:val="28"/>
        </w:rPr>
        <w:t>2. 本合同自甲乙双方签字盖章之日起生效，至乙方律师完成本合同第一条约定的委托事项（即收到法院判决书、调解书、裁定书或当事人和解书等有效法律文书）或解除本合同时终止。</w:t>
      </w:r>
    </w:p>
    <w:p w14:paraId="35E99341">
      <w:pPr>
        <w:pStyle w:val="11"/>
        <w:adjustRightInd w:val="0"/>
        <w:snapToGrid w:val="0"/>
        <w:spacing w:line="440" w:lineRule="exact"/>
        <w:ind w:firstLine="0" w:firstLineChars="0"/>
        <w:rPr>
          <w:rFonts w:ascii="宋体" w:hAnsi="宋体" w:eastAsia="宋体" w:cs="宋体"/>
          <w:b/>
          <w:bCs/>
          <w:sz w:val="28"/>
          <w:szCs w:val="28"/>
        </w:rPr>
      </w:pPr>
      <w:r>
        <w:rPr>
          <w:rFonts w:hint="eastAsia" w:ascii="宋体" w:hAnsi="宋体" w:eastAsia="宋体" w:cs="宋体"/>
          <w:b/>
          <w:bCs/>
          <w:sz w:val="28"/>
          <w:szCs w:val="28"/>
        </w:rPr>
        <w:t>十、通知和送达</w:t>
      </w:r>
    </w:p>
    <w:p w14:paraId="2FDEE86D">
      <w:pPr>
        <w:pStyle w:val="11"/>
        <w:adjustRightInd w:val="0"/>
        <w:snapToGrid w:val="0"/>
        <w:spacing w:line="440" w:lineRule="exact"/>
        <w:ind w:firstLine="560"/>
        <w:rPr>
          <w:rFonts w:ascii="宋体" w:hAnsi="宋体" w:eastAsia="宋体" w:cs="宋体"/>
          <w:sz w:val="28"/>
          <w:szCs w:val="28"/>
        </w:rPr>
      </w:pPr>
      <w:r>
        <w:rPr>
          <w:rFonts w:hint="eastAsia" w:ascii="宋体" w:hAnsi="宋体" w:eastAsia="宋体" w:cs="宋体"/>
          <w:sz w:val="28"/>
          <w:szCs w:val="28"/>
        </w:rPr>
        <w:t>1. 甲乙双方因履行本合同而相互发出或提供的所有通知、文件、资料，均以本合同首页所列明的地址、电子邮件方式送达，一方如果变更联系地址或联络方式，应当自变更之日起三日内书面通知对方。</w:t>
      </w:r>
    </w:p>
    <w:p w14:paraId="67818D2A">
      <w:pPr>
        <w:pStyle w:val="11"/>
        <w:adjustRightInd w:val="0"/>
        <w:snapToGrid w:val="0"/>
        <w:spacing w:line="440" w:lineRule="exact"/>
        <w:ind w:firstLine="560"/>
        <w:rPr>
          <w:rFonts w:ascii="宋体" w:hAnsi="宋体" w:eastAsia="宋体" w:cs="宋体"/>
          <w:sz w:val="28"/>
          <w:szCs w:val="28"/>
        </w:rPr>
      </w:pPr>
      <w:r>
        <w:rPr>
          <w:rFonts w:hint="eastAsia" w:ascii="宋体" w:hAnsi="宋体" w:eastAsia="宋体" w:cs="宋体"/>
          <w:sz w:val="28"/>
          <w:szCs w:val="28"/>
        </w:rPr>
        <w:t>2. 通过电子邮件方式送达的，在发出邮件发送成功时视为送达；以邮寄挂号信或快递方式送达的，挂号信或快递寄出满三日视为送达。</w:t>
      </w:r>
    </w:p>
    <w:p w14:paraId="6725F8FF">
      <w:pPr>
        <w:pStyle w:val="11"/>
        <w:adjustRightInd w:val="0"/>
        <w:snapToGrid w:val="0"/>
        <w:spacing w:line="440" w:lineRule="exact"/>
        <w:ind w:firstLine="0" w:firstLineChars="0"/>
        <w:rPr>
          <w:rFonts w:ascii="宋体" w:hAnsi="宋体" w:eastAsia="宋体" w:cs="宋体"/>
          <w:sz w:val="28"/>
          <w:szCs w:val="28"/>
        </w:rPr>
      </w:pPr>
    </w:p>
    <w:p w14:paraId="44212FDC">
      <w:pPr>
        <w:pStyle w:val="11"/>
        <w:adjustRightInd w:val="0"/>
        <w:snapToGrid w:val="0"/>
        <w:spacing w:line="440" w:lineRule="exact"/>
        <w:ind w:firstLine="562"/>
        <w:rPr>
          <w:rFonts w:ascii="宋体" w:hAnsi="宋体" w:eastAsia="宋体" w:cs="宋体"/>
          <w:b/>
          <w:bCs/>
          <w:sz w:val="28"/>
          <w:szCs w:val="28"/>
        </w:rPr>
      </w:pPr>
      <w:r>
        <w:rPr>
          <w:rFonts w:hint="eastAsia" w:ascii="宋体" w:hAnsi="宋体" w:eastAsia="宋体" w:cs="宋体"/>
          <w:b/>
          <w:bCs/>
          <w:sz w:val="28"/>
          <w:szCs w:val="28"/>
        </w:rPr>
        <w:t>（以下无正文，为本合同之签署项）</w:t>
      </w:r>
    </w:p>
    <w:p w14:paraId="087E6998">
      <w:pPr>
        <w:pStyle w:val="11"/>
        <w:adjustRightInd w:val="0"/>
        <w:snapToGrid w:val="0"/>
        <w:spacing w:line="440" w:lineRule="exact"/>
        <w:ind w:firstLine="482"/>
        <w:rPr>
          <w:rFonts w:asciiTheme="minorEastAsia" w:hAnsiTheme="minorEastAsia" w:cstheme="minorEastAsia"/>
          <w:b/>
          <w:bCs/>
          <w:sz w:val="24"/>
          <w:szCs w:val="24"/>
        </w:rPr>
      </w:pPr>
    </w:p>
    <w:p w14:paraId="41A87E84">
      <w:pPr>
        <w:pStyle w:val="11"/>
        <w:adjustRightInd w:val="0"/>
        <w:snapToGrid w:val="0"/>
        <w:spacing w:line="440" w:lineRule="exact"/>
        <w:ind w:firstLine="482"/>
        <w:rPr>
          <w:rFonts w:asciiTheme="minorEastAsia" w:hAnsiTheme="minorEastAsia" w:cstheme="minorEastAsia"/>
          <w:b/>
          <w:bCs/>
          <w:sz w:val="24"/>
          <w:szCs w:val="24"/>
        </w:rPr>
      </w:pPr>
    </w:p>
    <w:p w14:paraId="79480650">
      <w:pPr>
        <w:pStyle w:val="11"/>
        <w:adjustRightInd w:val="0"/>
        <w:snapToGrid w:val="0"/>
        <w:spacing w:line="440" w:lineRule="exact"/>
        <w:ind w:firstLine="0" w:firstLineChars="0"/>
        <w:rPr>
          <w:rFonts w:asciiTheme="minorEastAsia" w:hAnsiTheme="minorEastAsia" w:cstheme="minorEastAsia"/>
          <w:sz w:val="24"/>
          <w:szCs w:val="24"/>
        </w:rPr>
      </w:pPr>
    </w:p>
    <w:p w14:paraId="7CDDA95F">
      <w:pPr>
        <w:pStyle w:val="11"/>
        <w:adjustRightInd w:val="0"/>
        <w:snapToGrid w:val="0"/>
        <w:spacing w:line="440" w:lineRule="exact"/>
        <w:ind w:firstLine="0" w:firstLineChars="0"/>
        <w:rPr>
          <w:rFonts w:asciiTheme="minorEastAsia" w:hAnsiTheme="minorEastAsia" w:cstheme="minorEastAsia"/>
          <w:sz w:val="24"/>
          <w:szCs w:val="24"/>
        </w:rPr>
      </w:pPr>
    </w:p>
    <w:tbl>
      <w:tblPr>
        <w:tblStyle w:val="8"/>
        <w:tblW w:w="0" w:type="auto"/>
        <w:tblInd w:w="0" w:type="dxa"/>
        <w:tblLayout w:type="autofit"/>
        <w:tblCellMar>
          <w:top w:w="0" w:type="dxa"/>
          <w:left w:w="108" w:type="dxa"/>
          <w:bottom w:w="0" w:type="dxa"/>
          <w:right w:w="108" w:type="dxa"/>
        </w:tblCellMar>
      </w:tblPr>
      <w:tblGrid>
        <w:gridCol w:w="4261"/>
        <w:gridCol w:w="4261"/>
      </w:tblGrid>
      <w:tr w14:paraId="38857FA6">
        <w:tblPrEx>
          <w:tblCellMar>
            <w:top w:w="0" w:type="dxa"/>
            <w:left w:w="108" w:type="dxa"/>
            <w:bottom w:w="0" w:type="dxa"/>
            <w:right w:w="108" w:type="dxa"/>
          </w:tblCellMar>
        </w:tblPrEx>
        <w:tc>
          <w:tcPr>
            <w:tcW w:w="4261" w:type="dxa"/>
          </w:tcPr>
          <w:p w14:paraId="2A7D0892">
            <w:pPr>
              <w:spacing w:line="360" w:lineRule="auto"/>
              <w:rPr>
                <w:rFonts w:ascii="宋体" w:hAnsi="宋体" w:cs="宋体"/>
                <w:kern w:val="1"/>
                <w:sz w:val="28"/>
                <w:szCs w:val="28"/>
              </w:rPr>
            </w:pPr>
            <w:r>
              <w:rPr>
                <w:rFonts w:hint="eastAsia" w:ascii="宋体" w:hAnsi="宋体" w:cs="宋体"/>
                <w:kern w:val="1"/>
                <w:sz w:val="28"/>
                <w:szCs w:val="28"/>
              </w:rPr>
              <w:t>甲方：</w:t>
            </w:r>
          </w:p>
        </w:tc>
        <w:tc>
          <w:tcPr>
            <w:tcW w:w="4261" w:type="dxa"/>
          </w:tcPr>
          <w:p w14:paraId="58C525BE">
            <w:pPr>
              <w:spacing w:line="360" w:lineRule="auto"/>
              <w:rPr>
                <w:rFonts w:ascii="宋体" w:hAnsi="宋体" w:cs="宋体"/>
                <w:kern w:val="1"/>
                <w:sz w:val="28"/>
                <w:szCs w:val="28"/>
              </w:rPr>
            </w:pPr>
            <w:r>
              <w:rPr>
                <w:rFonts w:hint="eastAsia" w:ascii="宋体" w:hAnsi="宋体" w:cs="宋体"/>
                <w:kern w:val="1"/>
                <w:sz w:val="28"/>
                <w:szCs w:val="28"/>
              </w:rPr>
              <w:t>乙方：</w:t>
            </w:r>
          </w:p>
        </w:tc>
      </w:tr>
      <w:tr w14:paraId="50FACBA7">
        <w:tblPrEx>
          <w:tblCellMar>
            <w:top w:w="0" w:type="dxa"/>
            <w:left w:w="108" w:type="dxa"/>
            <w:bottom w:w="0" w:type="dxa"/>
            <w:right w:w="108" w:type="dxa"/>
          </w:tblCellMar>
        </w:tblPrEx>
        <w:tc>
          <w:tcPr>
            <w:tcW w:w="4261" w:type="dxa"/>
          </w:tcPr>
          <w:p w14:paraId="6237E181">
            <w:pPr>
              <w:spacing w:line="360" w:lineRule="auto"/>
              <w:rPr>
                <w:rFonts w:ascii="宋体" w:hAnsi="宋体" w:cs="宋体"/>
                <w:kern w:val="1"/>
                <w:sz w:val="28"/>
                <w:szCs w:val="28"/>
              </w:rPr>
            </w:pPr>
            <w:r>
              <w:rPr>
                <w:rFonts w:hint="eastAsia" w:ascii="宋体" w:hAnsi="宋体" w:cs="宋体"/>
                <w:kern w:val="1"/>
                <w:sz w:val="28"/>
                <w:szCs w:val="28"/>
              </w:rPr>
              <w:t>法定代表人</w:t>
            </w:r>
            <w:r>
              <w:rPr>
                <w:rFonts w:ascii="宋体" w:hAnsi="宋体" w:cs="宋体"/>
                <w:kern w:val="1"/>
                <w:sz w:val="28"/>
                <w:szCs w:val="28"/>
              </w:rPr>
              <w:t>/</w:t>
            </w:r>
            <w:r>
              <w:rPr>
                <w:rFonts w:hint="eastAsia" w:ascii="宋体" w:hAnsi="宋体" w:cs="宋体"/>
                <w:kern w:val="1"/>
                <w:sz w:val="28"/>
                <w:szCs w:val="28"/>
              </w:rPr>
              <w:t>授权代表人：</w:t>
            </w:r>
          </w:p>
        </w:tc>
        <w:tc>
          <w:tcPr>
            <w:tcW w:w="4261" w:type="dxa"/>
          </w:tcPr>
          <w:p w14:paraId="1892B418">
            <w:pPr>
              <w:spacing w:line="360" w:lineRule="auto"/>
              <w:rPr>
                <w:rFonts w:ascii="宋体" w:hAnsi="宋体" w:cs="宋体"/>
                <w:kern w:val="1"/>
                <w:sz w:val="28"/>
                <w:szCs w:val="28"/>
              </w:rPr>
            </w:pPr>
            <w:r>
              <w:rPr>
                <w:rFonts w:hint="eastAsia" w:ascii="宋体" w:hAnsi="宋体" w:cs="宋体"/>
                <w:kern w:val="1"/>
                <w:sz w:val="28"/>
                <w:szCs w:val="28"/>
              </w:rPr>
              <w:t>法定代表人</w:t>
            </w:r>
            <w:r>
              <w:rPr>
                <w:rFonts w:ascii="宋体" w:hAnsi="宋体" w:cs="宋体"/>
                <w:kern w:val="1"/>
                <w:sz w:val="28"/>
                <w:szCs w:val="28"/>
              </w:rPr>
              <w:t>/</w:t>
            </w:r>
            <w:r>
              <w:rPr>
                <w:rFonts w:hint="eastAsia" w:ascii="宋体" w:hAnsi="宋体" w:cs="宋体"/>
                <w:kern w:val="1"/>
                <w:sz w:val="28"/>
                <w:szCs w:val="28"/>
              </w:rPr>
              <w:t>授权代表人：</w:t>
            </w:r>
          </w:p>
        </w:tc>
      </w:tr>
      <w:tr w14:paraId="2B887674">
        <w:tblPrEx>
          <w:tblCellMar>
            <w:top w:w="0" w:type="dxa"/>
            <w:left w:w="108" w:type="dxa"/>
            <w:bottom w:w="0" w:type="dxa"/>
            <w:right w:w="108" w:type="dxa"/>
          </w:tblCellMar>
        </w:tblPrEx>
        <w:tc>
          <w:tcPr>
            <w:tcW w:w="4261" w:type="dxa"/>
          </w:tcPr>
          <w:p w14:paraId="06E8EE6F">
            <w:pPr>
              <w:spacing w:line="360" w:lineRule="auto"/>
              <w:rPr>
                <w:rFonts w:ascii="宋体" w:hAnsi="宋体" w:cs="宋体"/>
                <w:kern w:val="1"/>
                <w:sz w:val="28"/>
                <w:szCs w:val="28"/>
              </w:rPr>
            </w:pPr>
            <w:r>
              <w:rPr>
                <w:rFonts w:hint="eastAsia" w:ascii="宋体" w:hAnsi="宋体" w:cs="宋体"/>
                <w:kern w:val="1"/>
                <w:sz w:val="28"/>
                <w:szCs w:val="28"/>
              </w:rPr>
              <w:t>开户银行：</w:t>
            </w:r>
          </w:p>
        </w:tc>
        <w:tc>
          <w:tcPr>
            <w:tcW w:w="4261" w:type="dxa"/>
          </w:tcPr>
          <w:p w14:paraId="26A65DE9">
            <w:pPr>
              <w:spacing w:line="360" w:lineRule="auto"/>
              <w:rPr>
                <w:rFonts w:ascii="宋体" w:hAnsi="宋体" w:cs="宋体"/>
                <w:kern w:val="1"/>
                <w:sz w:val="28"/>
                <w:szCs w:val="28"/>
              </w:rPr>
            </w:pPr>
            <w:r>
              <w:rPr>
                <w:rFonts w:hint="eastAsia" w:ascii="宋体" w:hAnsi="宋体" w:cs="宋体"/>
                <w:kern w:val="1"/>
                <w:sz w:val="28"/>
                <w:szCs w:val="28"/>
              </w:rPr>
              <w:t>开户银行：</w:t>
            </w:r>
          </w:p>
        </w:tc>
      </w:tr>
      <w:tr w14:paraId="0C643304">
        <w:tblPrEx>
          <w:tblCellMar>
            <w:top w:w="0" w:type="dxa"/>
            <w:left w:w="108" w:type="dxa"/>
            <w:bottom w:w="0" w:type="dxa"/>
            <w:right w:w="108" w:type="dxa"/>
          </w:tblCellMar>
        </w:tblPrEx>
        <w:tc>
          <w:tcPr>
            <w:tcW w:w="4261" w:type="dxa"/>
          </w:tcPr>
          <w:p w14:paraId="4A1F3BD7">
            <w:pPr>
              <w:spacing w:line="360" w:lineRule="auto"/>
              <w:rPr>
                <w:rFonts w:ascii="宋体" w:hAnsi="宋体" w:cs="宋体"/>
                <w:kern w:val="1"/>
                <w:sz w:val="28"/>
                <w:szCs w:val="28"/>
              </w:rPr>
            </w:pPr>
            <w:r>
              <w:rPr>
                <w:rFonts w:hint="eastAsia" w:ascii="宋体" w:hAnsi="宋体" w:cs="宋体"/>
                <w:kern w:val="1"/>
                <w:sz w:val="28"/>
                <w:szCs w:val="28"/>
              </w:rPr>
              <w:t>账号：</w:t>
            </w:r>
          </w:p>
        </w:tc>
        <w:tc>
          <w:tcPr>
            <w:tcW w:w="4261" w:type="dxa"/>
          </w:tcPr>
          <w:p w14:paraId="2B98D786">
            <w:pPr>
              <w:spacing w:line="360" w:lineRule="auto"/>
              <w:rPr>
                <w:rFonts w:ascii="宋体" w:hAnsi="宋体" w:cs="宋体"/>
                <w:kern w:val="1"/>
                <w:sz w:val="28"/>
                <w:szCs w:val="28"/>
              </w:rPr>
            </w:pPr>
            <w:r>
              <w:rPr>
                <w:rFonts w:hint="eastAsia" w:ascii="宋体" w:hAnsi="宋体" w:cs="宋体"/>
                <w:kern w:val="1"/>
                <w:sz w:val="28"/>
                <w:szCs w:val="28"/>
              </w:rPr>
              <w:t>账号：</w:t>
            </w:r>
          </w:p>
        </w:tc>
      </w:tr>
      <w:tr w14:paraId="0C37EEC3">
        <w:tblPrEx>
          <w:tblCellMar>
            <w:top w:w="0" w:type="dxa"/>
            <w:left w:w="108" w:type="dxa"/>
            <w:bottom w:w="0" w:type="dxa"/>
            <w:right w:w="108" w:type="dxa"/>
          </w:tblCellMar>
        </w:tblPrEx>
        <w:tc>
          <w:tcPr>
            <w:tcW w:w="4261" w:type="dxa"/>
          </w:tcPr>
          <w:p w14:paraId="79B788D1">
            <w:pPr>
              <w:spacing w:line="360" w:lineRule="auto"/>
              <w:rPr>
                <w:rFonts w:ascii="宋体" w:hAnsi="宋体" w:eastAsia="宋体" w:cs="宋体"/>
                <w:kern w:val="1"/>
                <w:sz w:val="28"/>
                <w:szCs w:val="28"/>
              </w:rPr>
            </w:pPr>
            <w:r>
              <w:rPr>
                <w:rFonts w:hint="eastAsia" w:ascii="宋体" w:hAnsi="宋体" w:cs="宋体"/>
                <w:kern w:val="1"/>
                <w:sz w:val="28"/>
                <w:szCs w:val="28"/>
              </w:rPr>
              <w:t>签约日期：</w:t>
            </w:r>
          </w:p>
        </w:tc>
        <w:tc>
          <w:tcPr>
            <w:tcW w:w="4261" w:type="dxa"/>
          </w:tcPr>
          <w:p w14:paraId="027D3373">
            <w:pPr>
              <w:spacing w:line="360" w:lineRule="auto"/>
              <w:rPr>
                <w:rFonts w:ascii="宋体" w:hAnsi="宋体" w:eastAsia="宋体" w:cs="宋体"/>
                <w:kern w:val="1"/>
                <w:sz w:val="28"/>
                <w:szCs w:val="28"/>
              </w:rPr>
            </w:pPr>
            <w:r>
              <w:rPr>
                <w:rFonts w:hint="eastAsia" w:ascii="宋体" w:hAnsi="宋体" w:cs="宋体"/>
                <w:kern w:val="1"/>
                <w:sz w:val="28"/>
                <w:szCs w:val="28"/>
              </w:rPr>
              <w:t>签约日期：</w:t>
            </w:r>
          </w:p>
        </w:tc>
      </w:tr>
    </w:tbl>
    <w:p w14:paraId="7566A874">
      <w:pPr>
        <w:spacing w:line="440" w:lineRule="exact"/>
        <w:ind w:firstLine="480"/>
        <w:rPr>
          <w:rFonts w:asciiTheme="minorEastAsia" w:hAnsiTheme="minorEastAsia" w:cstheme="minorEastAsia"/>
          <w:sz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6E86D">
    <w:pPr>
      <w:pStyle w:val="4"/>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path/>
          <v:fill on="f" focussize="0,0"/>
          <v:stroke on="f" weight="0.5pt" joinstyle="miter"/>
          <v:imagedata o:title=""/>
          <o:lock v:ext="edit"/>
          <v:textbox inset="0mm,0mm,0mm,0mm" style="mso-fit-shape-to-text:t;">
            <w:txbxContent>
              <w:p w14:paraId="67D32C76">
                <w:pPr>
                  <w:pStyle w:val="4"/>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764A238D"/>
    <w:rsid w:val="000414EF"/>
    <w:rsid w:val="00107584"/>
    <w:rsid w:val="00113949"/>
    <w:rsid w:val="001F0585"/>
    <w:rsid w:val="0027121D"/>
    <w:rsid w:val="002A301D"/>
    <w:rsid w:val="002A679F"/>
    <w:rsid w:val="00374069"/>
    <w:rsid w:val="003B793E"/>
    <w:rsid w:val="003F7424"/>
    <w:rsid w:val="00491A06"/>
    <w:rsid w:val="004E4EC5"/>
    <w:rsid w:val="004F659D"/>
    <w:rsid w:val="0061442A"/>
    <w:rsid w:val="00631180"/>
    <w:rsid w:val="0063470F"/>
    <w:rsid w:val="008F032D"/>
    <w:rsid w:val="008F1D9A"/>
    <w:rsid w:val="00922458"/>
    <w:rsid w:val="00B74D5E"/>
    <w:rsid w:val="00C025FB"/>
    <w:rsid w:val="00C752CA"/>
    <w:rsid w:val="00E16B87"/>
    <w:rsid w:val="00E31335"/>
    <w:rsid w:val="00F45CD2"/>
    <w:rsid w:val="00F80210"/>
    <w:rsid w:val="03DE770E"/>
    <w:rsid w:val="100D50B0"/>
    <w:rsid w:val="10CE4D3A"/>
    <w:rsid w:val="19463BF1"/>
    <w:rsid w:val="20347BE6"/>
    <w:rsid w:val="209F2453"/>
    <w:rsid w:val="296119AA"/>
    <w:rsid w:val="35561BB9"/>
    <w:rsid w:val="3B411BAB"/>
    <w:rsid w:val="3DFB4781"/>
    <w:rsid w:val="4671293D"/>
    <w:rsid w:val="47A21127"/>
    <w:rsid w:val="48554DF9"/>
    <w:rsid w:val="4A964EF8"/>
    <w:rsid w:val="4F43529A"/>
    <w:rsid w:val="50AD0C21"/>
    <w:rsid w:val="57B844CC"/>
    <w:rsid w:val="5C993D6A"/>
    <w:rsid w:val="5D48102B"/>
    <w:rsid w:val="5FB903A2"/>
    <w:rsid w:val="626065E8"/>
    <w:rsid w:val="667B0E3C"/>
    <w:rsid w:val="6F75797D"/>
    <w:rsid w:val="764A238D"/>
    <w:rsid w:val="79B64205"/>
    <w:rsid w:val="7D834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uiPriority w:val="0"/>
    <w:pPr>
      <w:jc w:val="left"/>
    </w:pPr>
  </w:style>
  <w:style w:type="paragraph" w:styleId="3">
    <w:name w:val="Balloon Text"/>
    <w:basedOn w:val="1"/>
    <w:link w:val="15"/>
    <w:semiHidden/>
    <w:unhideWhenUsed/>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99"/>
    <w:rPr>
      <w:sz w:val="24"/>
    </w:rPr>
  </w:style>
  <w:style w:type="paragraph" w:styleId="7">
    <w:name w:val="annotation subject"/>
    <w:basedOn w:val="2"/>
    <w:next w:val="2"/>
    <w:link w:val="14"/>
    <w:uiPriority w:val="0"/>
    <w:rPr>
      <w:b/>
      <w:bCs/>
    </w:rPr>
  </w:style>
  <w:style w:type="character" w:styleId="10">
    <w:name w:val="annotation reference"/>
    <w:basedOn w:val="9"/>
    <w:uiPriority w:val="0"/>
    <w:rPr>
      <w:sz w:val="21"/>
      <w:szCs w:val="21"/>
    </w:rPr>
  </w:style>
  <w:style w:type="paragraph" w:customStyle="1" w:styleId="11">
    <w:name w:val="列出段落1"/>
    <w:basedOn w:val="1"/>
    <w:qFormat/>
    <w:uiPriority w:val="34"/>
    <w:pPr>
      <w:ind w:firstLine="420" w:firstLineChars="200"/>
    </w:pPr>
    <w:rPr>
      <w:rFonts w:ascii="Calibri" w:hAnsi="Calibri"/>
      <w:szCs w:val="22"/>
    </w:rPr>
  </w:style>
  <w:style w:type="paragraph" w:customStyle="1" w:styleId="12">
    <w:name w:val="传神二级标题"/>
    <w:basedOn w:val="1"/>
    <w:qFormat/>
    <w:uiPriority w:val="0"/>
    <w:pPr>
      <w:spacing w:line="440" w:lineRule="exact"/>
    </w:pPr>
    <w:rPr>
      <w:rFonts w:ascii="微软雅黑" w:hAnsi="微软雅黑" w:eastAsia="微软雅黑" w:cs="Times New Roman"/>
      <w:b/>
    </w:rPr>
  </w:style>
  <w:style w:type="character" w:customStyle="1" w:styleId="13">
    <w:name w:val="批注文字 Char"/>
    <w:basedOn w:val="9"/>
    <w:link w:val="2"/>
    <w:uiPriority w:val="0"/>
    <w:rPr>
      <w:rFonts w:asciiTheme="minorHAnsi" w:hAnsiTheme="minorHAnsi" w:eastAsiaTheme="minorEastAsia" w:cstheme="minorBidi"/>
      <w:kern w:val="2"/>
      <w:sz w:val="21"/>
      <w:szCs w:val="24"/>
    </w:rPr>
  </w:style>
  <w:style w:type="character" w:customStyle="1" w:styleId="14">
    <w:name w:val="批注主题 Char"/>
    <w:basedOn w:val="13"/>
    <w:link w:val="7"/>
    <w:uiPriority w:val="0"/>
    <w:rPr>
      <w:b/>
      <w:bCs/>
    </w:rPr>
  </w:style>
  <w:style w:type="character" w:customStyle="1" w:styleId="15">
    <w:name w:val="批注框文本 Char"/>
    <w:basedOn w:val="9"/>
    <w:link w:val="3"/>
    <w:semiHidden/>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2876</Words>
  <Characters>2940</Characters>
  <Lines>23</Lines>
  <Paragraphs>6</Paragraphs>
  <TotalTime>3</TotalTime>
  <ScaleCrop>false</ScaleCrop>
  <LinksUpToDate>false</LinksUpToDate>
  <CharactersWithSpaces>3237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2018-05-23T10:13:00Z</dcterms:created>
  <dc:creator>法务办-李楠</dc:creator>
  <cp:lastModifiedBy>原东东</cp:lastModifiedBy>
  <dcterms:modified xsi:type="dcterms:W3CDTF">2025-10-29T12:37:26Z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2F9EA044F44C411E8DE7F238D5ED7632_13</vt:lpwstr>
  </property>
  <property fmtid="{D5CDD505-2E9C-101B-9397-08002B2CF9AE}" pid="4" name="KSOTemplateDocerSaveRecord">
    <vt:lpwstr>eyJoZGlkIjoiNGUwMWI0ZDFkYjdkZDUyZWY4ZjdmZGMxZGJmOTRhOTMiLCJ1c2VySWQiOiIyMzAzNzQ3NjMifQ==</vt:lpwstr>
  </property>
</Properties>
</file>