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406F19">
      <w:pPr>
        <w:jc w:val="center"/>
        <w:rPr>
          <w:rFonts w:ascii="宋体" w:hAnsi="宋体" w:cs="宋体"/>
          <w:bCs/>
          <w:sz w:val="52"/>
          <w:szCs w:val="52"/>
        </w:rPr>
      </w:pPr>
      <w:bookmarkStart w:id="0" w:name="_GoBack"/>
      <w:bookmarkEnd w:id="0"/>
      <w:r>
        <w:rPr>
          <w:rFonts w:hint="eastAsia" w:ascii="宋体" w:hAnsi="宋体" w:cs="宋体"/>
          <w:bCs/>
          <w:sz w:val="52"/>
          <w:szCs w:val="52"/>
        </w:rPr>
        <w:t>XXX计算机时服务合同</w:t>
      </w:r>
    </w:p>
    <w:p w14:paraId="17293215">
      <w:pPr>
        <w:spacing w:line="600" w:lineRule="exact"/>
        <w:jc w:val="right"/>
        <w:rPr>
          <w:rFonts w:ascii="宋体" w:hAnsi="宋体" w:cs="宋体"/>
          <w:bCs/>
          <w:sz w:val="52"/>
          <w:szCs w:val="52"/>
        </w:rPr>
      </w:pPr>
      <w:r>
        <w:rPr>
          <w:rFonts w:hint="eastAsia" w:ascii="宋体" w:hAnsi="宋体" w:cs="宋体"/>
          <w:sz w:val="28"/>
          <w:szCs w:val="28"/>
        </w:rPr>
        <w:t>合同签订地：深圳市</w:t>
      </w:r>
    </w:p>
    <w:p w14:paraId="599B6310">
      <w:pPr>
        <w:rPr>
          <w:rFonts w:ascii="宋体" w:hAnsi="宋体" w:cs="宋体"/>
          <w:b/>
          <w:bCs/>
          <w:szCs w:val="21"/>
        </w:rPr>
      </w:pPr>
      <w:r>
        <w:rPr>
          <w:rFonts w:hint="eastAsia" w:ascii="宋体" w:hAnsi="宋体" w:cs="宋体"/>
          <w:b/>
          <w:bCs/>
          <w:szCs w:val="21"/>
        </w:rPr>
        <w:t xml:space="preserve">                                      </w:t>
      </w:r>
    </w:p>
    <w:tbl>
      <w:tblPr>
        <w:tblStyle w:val="11"/>
        <w:tblpPr w:leftFromText="180" w:rightFromText="180" w:vertAnchor="text" w:horzAnchor="page" w:tblpX="1832" w:tblpY="252"/>
        <w:tblW w:w="0" w:type="auto"/>
        <w:tblInd w:w="0" w:type="dxa"/>
        <w:tblLayout w:type="fixed"/>
        <w:tblCellMar>
          <w:top w:w="0" w:type="dxa"/>
          <w:left w:w="108" w:type="dxa"/>
          <w:bottom w:w="0" w:type="dxa"/>
          <w:right w:w="108" w:type="dxa"/>
        </w:tblCellMar>
      </w:tblPr>
      <w:tblGrid>
        <w:gridCol w:w="8472"/>
      </w:tblGrid>
      <w:tr w14:paraId="7B9BE331">
        <w:trPr>
          <w:trHeight w:val="567" w:hRule="atLeast"/>
        </w:trPr>
        <w:tc>
          <w:tcPr>
            <w:tcW w:w="8472" w:type="dxa"/>
          </w:tcPr>
          <w:p w14:paraId="4497800D">
            <w:pPr>
              <w:pStyle w:val="9"/>
              <w:shd w:val="clear" w:color="auto" w:fill="FFFFFF"/>
              <w:spacing w:line="440" w:lineRule="exact"/>
              <w:ind w:right="250"/>
              <w:rPr>
                <w:rFonts w:ascii="宋体" w:hAnsi="宋体" w:cs="宋体"/>
                <w:sz w:val="28"/>
                <w:szCs w:val="28"/>
              </w:rPr>
            </w:pPr>
            <w:r>
              <w:rPr>
                <w:rFonts w:hint="eastAsia" w:ascii="宋体" w:hAnsi="宋体" w:cs="宋体"/>
                <w:b/>
                <w:bCs/>
                <w:sz w:val="28"/>
                <w:szCs w:val="28"/>
              </w:rPr>
              <w:t>甲方</w:t>
            </w:r>
            <w:r>
              <w:rPr>
                <w:rFonts w:hint="eastAsia" w:ascii="宋体" w:hAnsi="宋体" w:cs="宋体"/>
                <w:sz w:val="28"/>
                <w:szCs w:val="28"/>
              </w:rPr>
              <w:t>：清华大学深圳国际研究生院</w:t>
            </w:r>
          </w:p>
          <w:p w14:paraId="204D9678">
            <w:pPr>
              <w:pStyle w:val="26"/>
              <w:spacing w:line="312" w:lineRule="auto"/>
              <w:ind w:firstLine="840" w:firstLineChars="300"/>
              <w:rPr>
                <w:rFonts w:ascii="宋体" w:hAnsi="宋体" w:eastAsia="宋体" w:cs="宋体"/>
                <w:sz w:val="28"/>
                <w:szCs w:val="28"/>
              </w:rPr>
            </w:pPr>
            <w:r>
              <w:rPr>
                <w:rFonts w:hint="eastAsia" w:ascii="宋体" w:hAnsi="宋体" w:eastAsia="宋体" w:cs="宋体"/>
                <w:b w:val="0"/>
                <w:bCs/>
                <w:color w:val="000000"/>
                <w:sz w:val="28"/>
                <w:szCs w:val="28"/>
              </w:rPr>
              <w:t>（具体承办单位：</w:t>
            </w:r>
            <w:r>
              <w:rPr>
                <w:rFonts w:hint="eastAsia" w:ascii="宋体" w:hAnsi="宋体" w:eastAsia="宋体" w:cs="宋体"/>
                <w:b w:val="0"/>
                <w:bCs/>
                <w:color w:val="000000"/>
                <w:sz w:val="28"/>
                <w:szCs w:val="28"/>
                <w:u w:val="single"/>
              </w:rPr>
              <w:t xml:space="preserve">       </w:t>
            </w:r>
            <w:r>
              <w:rPr>
                <w:rFonts w:hint="eastAsia" w:ascii="宋体" w:hAnsi="宋体" w:eastAsia="宋体" w:cs="宋体"/>
                <w:b w:val="0"/>
                <w:bCs/>
                <w:color w:val="000000"/>
                <w:sz w:val="28"/>
                <w:szCs w:val="28"/>
              </w:rPr>
              <w:t>）</w:t>
            </w:r>
          </w:p>
        </w:tc>
      </w:tr>
      <w:tr w14:paraId="3FA2110F">
        <w:tblPrEx>
          <w:tblCellMar>
            <w:top w:w="0" w:type="dxa"/>
            <w:left w:w="108" w:type="dxa"/>
            <w:bottom w:w="0" w:type="dxa"/>
            <w:right w:w="108" w:type="dxa"/>
          </w:tblCellMar>
        </w:tblPrEx>
        <w:trPr>
          <w:trHeight w:val="567" w:hRule="atLeast"/>
        </w:trPr>
        <w:tc>
          <w:tcPr>
            <w:tcW w:w="8472" w:type="dxa"/>
          </w:tcPr>
          <w:p w14:paraId="51EF368D">
            <w:pPr>
              <w:spacing w:line="440" w:lineRule="exact"/>
              <w:rPr>
                <w:rFonts w:ascii="宋体" w:hAnsi="宋体" w:cs="宋体"/>
                <w:sz w:val="28"/>
                <w:szCs w:val="28"/>
              </w:rPr>
            </w:pPr>
            <w:r>
              <w:rPr>
                <w:rFonts w:hint="eastAsia" w:ascii="宋体" w:hAnsi="宋体" w:cs="宋体"/>
                <w:sz w:val="28"/>
                <w:szCs w:val="28"/>
              </w:rPr>
              <w:t>联系人：</w:t>
            </w:r>
          </w:p>
        </w:tc>
      </w:tr>
      <w:tr w14:paraId="000DB9FD">
        <w:tblPrEx>
          <w:tblCellMar>
            <w:top w:w="0" w:type="dxa"/>
            <w:left w:w="108" w:type="dxa"/>
            <w:bottom w:w="0" w:type="dxa"/>
            <w:right w:w="108" w:type="dxa"/>
          </w:tblCellMar>
        </w:tblPrEx>
        <w:trPr>
          <w:trHeight w:val="567" w:hRule="atLeast"/>
        </w:trPr>
        <w:tc>
          <w:tcPr>
            <w:tcW w:w="8472" w:type="dxa"/>
          </w:tcPr>
          <w:p w14:paraId="513FB32A">
            <w:pPr>
              <w:spacing w:line="440" w:lineRule="exact"/>
              <w:rPr>
                <w:rFonts w:ascii="宋体" w:hAnsi="宋体" w:cs="宋体"/>
                <w:sz w:val="28"/>
                <w:szCs w:val="28"/>
              </w:rPr>
            </w:pPr>
            <w:r>
              <w:rPr>
                <w:rFonts w:hint="eastAsia" w:ascii="宋体" w:hAnsi="宋体" w:cs="宋体"/>
                <w:sz w:val="28"/>
                <w:szCs w:val="28"/>
              </w:rPr>
              <w:t>联系电话：</w:t>
            </w:r>
          </w:p>
        </w:tc>
      </w:tr>
      <w:tr w14:paraId="19E23401">
        <w:tblPrEx>
          <w:tblCellMar>
            <w:top w:w="0" w:type="dxa"/>
            <w:left w:w="108" w:type="dxa"/>
            <w:bottom w:w="0" w:type="dxa"/>
            <w:right w:w="108" w:type="dxa"/>
          </w:tblCellMar>
        </w:tblPrEx>
        <w:trPr>
          <w:trHeight w:val="567" w:hRule="atLeast"/>
        </w:trPr>
        <w:tc>
          <w:tcPr>
            <w:tcW w:w="8472" w:type="dxa"/>
          </w:tcPr>
          <w:p w14:paraId="7BC2BCAC">
            <w:pPr>
              <w:spacing w:line="440" w:lineRule="exact"/>
              <w:rPr>
                <w:rFonts w:ascii="宋体" w:hAnsi="宋体" w:cs="宋体"/>
                <w:sz w:val="28"/>
                <w:szCs w:val="28"/>
              </w:rPr>
            </w:pPr>
            <w:r>
              <w:rPr>
                <w:rFonts w:hint="eastAsia" w:ascii="宋体" w:hAnsi="宋体" w:cs="宋体"/>
                <w:sz w:val="28"/>
                <w:szCs w:val="28"/>
              </w:rPr>
              <w:t>地址：</w:t>
            </w:r>
          </w:p>
        </w:tc>
      </w:tr>
      <w:tr w14:paraId="4DE2789A">
        <w:tblPrEx>
          <w:tblCellMar>
            <w:top w:w="0" w:type="dxa"/>
            <w:left w:w="108" w:type="dxa"/>
            <w:bottom w:w="0" w:type="dxa"/>
            <w:right w:w="108" w:type="dxa"/>
          </w:tblCellMar>
        </w:tblPrEx>
        <w:trPr>
          <w:trHeight w:val="567" w:hRule="atLeast"/>
        </w:trPr>
        <w:tc>
          <w:tcPr>
            <w:tcW w:w="8472" w:type="dxa"/>
          </w:tcPr>
          <w:p w14:paraId="5D60D301">
            <w:pPr>
              <w:spacing w:line="440" w:lineRule="exact"/>
              <w:rPr>
                <w:rFonts w:ascii="宋体" w:hAnsi="宋体" w:cs="宋体"/>
                <w:sz w:val="28"/>
                <w:szCs w:val="28"/>
              </w:rPr>
            </w:pPr>
            <w:r>
              <w:rPr>
                <w:rFonts w:hint="eastAsia" w:ascii="宋体" w:hAnsi="宋体" w:cs="宋体"/>
                <w:b/>
                <w:bCs/>
                <w:sz w:val="28"/>
                <w:szCs w:val="28"/>
              </w:rPr>
              <w:t>乙方：</w:t>
            </w:r>
          </w:p>
        </w:tc>
      </w:tr>
      <w:tr w14:paraId="3A6153D2">
        <w:tblPrEx>
          <w:tblCellMar>
            <w:top w:w="0" w:type="dxa"/>
            <w:left w:w="108" w:type="dxa"/>
            <w:bottom w:w="0" w:type="dxa"/>
            <w:right w:w="108" w:type="dxa"/>
          </w:tblCellMar>
        </w:tblPrEx>
        <w:trPr>
          <w:trHeight w:val="567" w:hRule="atLeast"/>
        </w:trPr>
        <w:tc>
          <w:tcPr>
            <w:tcW w:w="8472" w:type="dxa"/>
          </w:tcPr>
          <w:p w14:paraId="4C47C9E1">
            <w:pPr>
              <w:spacing w:line="440" w:lineRule="exact"/>
              <w:rPr>
                <w:rFonts w:ascii="宋体" w:hAnsi="宋体" w:cs="宋体"/>
                <w:sz w:val="28"/>
                <w:szCs w:val="28"/>
              </w:rPr>
            </w:pPr>
            <w:r>
              <w:rPr>
                <w:rFonts w:hint="eastAsia" w:ascii="宋体" w:hAnsi="宋体" w:cs="宋体"/>
                <w:sz w:val="28"/>
                <w:szCs w:val="28"/>
              </w:rPr>
              <w:t>联系人：</w:t>
            </w:r>
          </w:p>
        </w:tc>
      </w:tr>
      <w:tr w14:paraId="6E281D2D">
        <w:tblPrEx>
          <w:tblCellMar>
            <w:top w:w="0" w:type="dxa"/>
            <w:left w:w="108" w:type="dxa"/>
            <w:bottom w:w="0" w:type="dxa"/>
            <w:right w:w="108" w:type="dxa"/>
          </w:tblCellMar>
        </w:tblPrEx>
        <w:trPr>
          <w:trHeight w:val="567" w:hRule="atLeast"/>
        </w:trPr>
        <w:tc>
          <w:tcPr>
            <w:tcW w:w="8472" w:type="dxa"/>
          </w:tcPr>
          <w:p w14:paraId="279E60F5">
            <w:pPr>
              <w:spacing w:line="440" w:lineRule="exact"/>
              <w:rPr>
                <w:rFonts w:ascii="宋体" w:hAnsi="宋体" w:cs="宋体"/>
                <w:sz w:val="28"/>
                <w:szCs w:val="28"/>
              </w:rPr>
            </w:pPr>
            <w:r>
              <w:rPr>
                <w:rFonts w:hint="eastAsia" w:ascii="宋体" w:hAnsi="宋体" w:cs="宋体"/>
                <w:sz w:val="28"/>
                <w:szCs w:val="28"/>
              </w:rPr>
              <w:t>联系电话：</w:t>
            </w:r>
          </w:p>
        </w:tc>
      </w:tr>
      <w:tr w14:paraId="1B6660C8">
        <w:tblPrEx>
          <w:tblCellMar>
            <w:top w:w="0" w:type="dxa"/>
            <w:left w:w="108" w:type="dxa"/>
            <w:bottom w:w="0" w:type="dxa"/>
            <w:right w:w="108" w:type="dxa"/>
          </w:tblCellMar>
        </w:tblPrEx>
        <w:trPr>
          <w:trHeight w:val="567" w:hRule="atLeast"/>
        </w:trPr>
        <w:tc>
          <w:tcPr>
            <w:tcW w:w="8472" w:type="dxa"/>
          </w:tcPr>
          <w:p w14:paraId="390F8FFD">
            <w:pPr>
              <w:rPr>
                <w:rFonts w:ascii="宋体" w:hAnsi="宋体" w:cs="宋体"/>
                <w:sz w:val="28"/>
                <w:szCs w:val="28"/>
              </w:rPr>
            </w:pPr>
            <w:r>
              <w:rPr>
                <w:rFonts w:hint="eastAsia" w:ascii="宋体" w:hAnsi="宋体" w:cs="宋体"/>
                <w:sz w:val="28"/>
                <w:szCs w:val="28"/>
              </w:rPr>
              <w:t>地址：</w:t>
            </w:r>
          </w:p>
        </w:tc>
      </w:tr>
    </w:tbl>
    <w:p w14:paraId="0AA091A0">
      <w:pPr>
        <w:rPr>
          <w:rFonts w:ascii="宋体" w:hAnsi="宋体" w:cs="宋体"/>
          <w:szCs w:val="21"/>
        </w:rPr>
      </w:pPr>
    </w:p>
    <w:p w14:paraId="066AA044">
      <w:pPr>
        <w:rPr>
          <w:rFonts w:ascii="宋体" w:hAnsi="宋体" w:cs="宋体"/>
          <w:szCs w:val="21"/>
        </w:rPr>
      </w:pPr>
    </w:p>
    <w:p w14:paraId="763D8F11">
      <w:pPr>
        <w:ind w:firstLine="560" w:firstLineChars="200"/>
        <w:jc w:val="left"/>
        <w:rPr>
          <w:rFonts w:ascii="宋体" w:hAnsi="宋体" w:cs="宋体"/>
          <w:color w:val="000000" w:themeColor="text1"/>
          <w:spacing w:val="-2"/>
          <w:sz w:val="28"/>
          <w:szCs w:val="28"/>
          <w:lang w:val="ru-RU"/>
        </w:rPr>
      </w:pPr>
      <w:r>
        <w:rPr>
          <w:rFonts w:hint="eastAsia" w:ascii="宋体" w:hAnsi="宋体" w:cs="宋体"/>
          <w:kern w:val="0"/>
          <w:sz w:val="28"/>
          <w:szCs w:val="28"/>
        </w:rPr>
        <w:t>根据</w:t>
      </w:r>
      <w:r>
        <w:rPr>
          <w:rFonts w:hint="eastAsia" w:ascii="宋体" w:hAnsi="宋体" w:cs="宋体"/>
          <w:kern w:val="0"/>
          <w:sz w:val="28"/>
          <w:szCs w:val="28"/>
          <w:u w:val="single"/>
        </w:rPr>
        <w:t xml:space="preserve">       </w:t>
      </w:r>
      <w:r>
        <w:rPr>
          <w:rFonts w:hint="eastAsia" w:ascii="宋体" w:hAnsi="宋体" w:cs="宋体"/>
          <w:kern w:val="0"/>
          <w:sz w:val="28"/>
          <w:szCs w:val="28"/>
        </w:rPr>
        <w:t>项目（项目编号</w:t>
      </w:r>
      <w:r>
        <w:rPr>
          <w:rFonts w:hint="eastAsia" w:ascii="宋体" w:hAnsi="宋体" w:cs="宋体"/>
          <w:kern w:val="0"/>
          <w:sz w:val="28"/>
          <w:szCs w:val="28"/>
          <w:u w:val="single"/>
        </w:rPr>
        <w:t xml:space="preserve">：   </w:t>
      </w:r>
      <w:r>
        <w:rPr>
          <w:rFonts w:hint="eastAsia" w:ascii="宋体" w:hAnsi="宋体" w:cs="宋体"/>
          <w:kern w:val="0"/>
          <w:sz w:val="28"/>
          <w:szCs w:val="28"/>
        </w:rPr>
        <w:t>）的采购结果，</w:t>
      </w:r>
      <w:r>
        <w:rPr>
          <w:rFonts w:hint="eastAsia" w:ascii="宋体" w:hAnsi="宋体" w:cs="宋体"/>
          <w:kern w:val="0"/>
          <w:sz w:val="28"/>
          <w:szCs w:val="28"/>
          <w:u w:val="single"/>
        </w:rPr>
        <w:t xml:space="preserve">    </w:t>
      </w:r>
      <w:r>
        <w:rPr>
          <w:rFonts w:hint="eastAsia" w:ascii="宋体" w:hAnsi="宋体" w:cs="宋体"/>
          <w:kern w:val="0"/>
          <w:sz w:val="28"/>
          <w:szCs w:val="28"/>
        </w:rPr>
        <w:t>为中标/成交方。按照《中华人民共和国民法典》（第三编合同）和《中华人民共和国政府采购法》、《深圳经济特区政府采购条例》等相关法律法规，</w:t>
      </w:r>
      <w:r>
        <w:rPr>
          <w:rFonts w:hint="eastAsia" w:ascii="宋体" w:hAnsi="宋体" w:cs="宋体"/>
          <w:bCs/>
          <w:sz w:val="28"/>
          <w:szCs w:val="28"/>
        </w:rPr>
        <w:t>就甲方委托乙方提供高性能计算机时服务事宜，</w:t>
      </w:r>
      <w:r>
        <w:rPr>
          <w:rFonts w:hint="eastAsia" w:ascii="宋体" w:hAnsi="宋体" w:cs="宋体"/>
          <w:kern w:val="0"/>
          <w:sz w:val="28"/>
          <w:szCs w:val="28"/>
        </w:rPr>
        <w:t>经双方友好协商协商，达成以下合同条款：</w:t>
      </w:r>
    </w:p>
    <w:p w14:paraId="505BC929">
      <w:p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一、服务内容、形式和要求</w:t>
      </w:r>
    </w:p>
    <w:p w14:paraId="2E190BBC">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甲方从事的科学研究工作需要高性能计算服务，乙方拥有该项技术服务能力并愿意向甲方提供符合本合同约定和甲方要求的相应服务。</w:t>
      </w:r>
    </w:p>
    <w:p w14:paraId="00E01F38">
      <w:pPr>
        <w:numPr>
          <w:ilvl w:val="1"/>
          <w:numId w:val="0"/>
        </w:num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1.服务内容：</w:t>
      </w:r>
    </w:p>
    <w:p w14:paraId="7CF7793E">
      <w:pPr>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u w:val="single"/>
        </w:rPr>
        <w:t>本协议涉及乙方可提供的高性能计算服务包括高性能计算机时服务、存储服务、技术支持及应用软件等。</w:t>
      </w:r>
    </w:p>
    <w:p w14:paraId="0B552E57">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其他：</w:t>
      </w:r>
      <w:r>
        <w:rPr>
          <w:rFonts w:hint="eastAsia" w:ascii="宋体" w:hAnsi="宋体" w:cs="宋体"/>
          <w:color w:val="000000" w:themeColor="text1"/>
          <w:sz w:val="28"/>
          <w:szCs w:val="28"/>
          <w:u w:val="single"/>
        </w:rPr>
        <w:t xml:space="preserve">                               </w:t>
      </w:r>
    </w:p>
    <w:p w14:paraId="57349B78">
      <w:pPr>
        <w:numPr>
          <w:ilvl w:val="1"/>
          <w:numId w:val="0"/>
        </w:num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2.服务形式：</w:t>
      </w:r>
    </w:p>
    <w:p w14:paraId="381598C0">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乙方受甲方委托为其提供如下计算服务：</w:t>
      </w:r>
    </w:p>
    <w:p w14:paraId="01E1BAE6">
      <w:pPr>
        <w:tabs>
          <w:tab w:val="left" w:pos="652"/>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sym w:font="Wingdings 2" w:char="0052"/>
      </w:r>
      <w:r>
        <w:rPr>
          <w:rFonts w:hint="eastAsia" w:ascii="宋体" w:hAnsi="宋体" w:cs="宋体"/>
          <w:color w:val="000000" w:themeColor="text1"/>
          <w:sz w:val="28"/>
          <w:szCs w:val="28"/>
        </w:rPr>
        <w:t>标准服务：</w:t>
      </w:r>
    </w:p>
    <w:p w14:paraId="66672036">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(1)乙方为甲方提供本协议约定的计算资源，并保证计算资源7*24小时稳定运行。</w:t>
      </w:r>
    </w:p>
    <w:p w14:paraId="05A4FA92">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(2)乙方为甲方提供一定的存储空间承载甲方计算任务所必须的数据及运算结果。</w:t>
      </w:r>
    </w:p>
    <w:p w14:paraId="6AB990FD">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(3)乙方通过Internet为甲方提供远程超级计算服务，以及与之相关的必要的使用权限。</w:t>
      </w:r>
    </w:p>
    <w:p w14:paraId="511395C4">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(4)乙方以技术文档、Email、电话方式为甲方提供基本的咨询与技术支持。</w:t>
      </w:r>
    </w:p>
    <w:p w14:paraId="5886BE95">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(5)乙方为甲方提供应用软件的安装与调试（不包括商用软件的采购）。</w:t>
      </w:r>
    </w:p>
    <w:p w14:paraId="3EEDF5F5">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(6)乙方免费为甲方提供资源使用情况查询，对甲方机时费用方面的疑问予以认真核实、详细解答。</w:t>
      </w:r>
    </w:p>
    <w:p w14:paraId="736E57BA">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其他：</w:t>
      </w:r>
      <w:r>
        <w:rPr>
          <w:rFonts w:hint="eastAsia" w:ascii="宋体" w:hAnsi="宋体" w:cs="宋体"/>
          <w:color w:val="000000" w:themeColor="text1"/>
          <w:sz w:val="28"/>
          <w:szCs w:val="28"/>
          <w:u w:val="single"/>
        </w:rPr>
        <w:t xml:space="preserve">                               </w:t>
      </w:r>
    </w:p>
    <w:p w14:paraId="5F3B3FE9">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sym w:font="Wingdings 2" w:char="0052"/>
      </w:r>
      <w:r>
        <w:rPr>
          <w:rFonts w:hint="eastAsia" w:ascii="宋体" w:hAnsi="宋体" w:cs="宋体"/>
          <w:color w:val="000000" w:themeColor="text1"/>
          <w:sz w:val="28"/>
          <w:szCs w:val="28"/>
        </w:rPr>
        <w:t>增值服务：</w:t>
      </w:r>
    </w:p>
    <w:p w14:paraId="07D403D4">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(1)乙方配备技术支持人员，负责日常事务进行沟通及技术支持服务。</w:t>
      </w:r>
    </w:p>
    <w:p w14:paraId="41FDB215">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(2)乙方提供互联网接入环境，为甲方提供高速数据传输服务。</w:t>
      </w:r>
    </w:p>
    <w:p w14:paraId="11E115C3">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(3)乙方可根据甲方要求为其具体合作项目提供必要的培训、技术支持、技术咨询和技术服务。</w:t>
      </w:r>
    </w:p>
    <w:p w14:paraId="5BB7CEF4">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(4)乙方可根据甲方要求为其提供应用软件设计与优化服务，该项服务须经双方协商以附加协议方式。</w:t>
      </w:r>
    </w:p>
    <w:p w14:paraId="7CE93459">
      <w:pPr>
        <w:tabs>
          <w:tab w:val="left" w:pos="628"/>
          <w:tab w:val="left" w:pos="1146"/>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(5)组织相关学术会议、论坛和沙龙活动，参观考察等活动。</w:t>
      </w:r>
    </w:p>
    <w:p w14:paraId="102DDCD9">
      <w:pPr>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rPr>
        <w:t>其他：</w:t>
      </w:r>
      <w:r>
        <w:rPr>
          <w:rFonts w:hint="eastAsia" w:ascii="宋体" w:hAnsi="宋体" w:cs="宋体"/>
          <w:color w:val="000000" w:themeColor="text1"/>
          <w:sz w:val="28"/>
          <w:szCs w:val="28"/>
          <w:u w:val="single"/>
        </w:rPr>
        <w:t xml:space="preserve"> 见附件一                              </w:t>
      </w:r>
    </w:p>
    <w:p w14:paraId="7CC4C617">
      <w:pPr>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u w:val="single"/>
        </w:rPr>
        <w:t>3.服务要求</w:t>
      </w:r>
    </w:p>
    <w:tbl>
      <w:tblPr>
        <w:tblStyle w:val="11"/>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509"/>
        <w:gridCol w:w="7017"/>
      </w:tblGrid>
      <w:tr w14:paraId="308260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885" w:type="pct"/>
            <w:tcBorders>
              <w:top w:val="single" w:color="auto" w:sz="4" w:space="0"/>
              <w:left w:val="single" w:color="auto" w:sz="4" w:space="0"/>
              <w:bottom w:val="single" w:color="auto" w:sz="4" w:space="0"/>
              <w:right w:val="single" w:color="auto" w:sz="4" w:space="0"/>
            </w:tcBorders>
          </w:tcPr>
          <w:p w14:paraId="2BF527F8">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HPC系统</w:t>
            </w:r>
          </w:p>
        </w:tc>
        <w:tc>
          <w:tcPr>
            <w:tcW w:w="4114" w:type="pct"/>
            <w:tcBorders>
              <w:top w:val="single" w:color="auto" w:sz="4" w:space="0"/>
              <w:left w:val="single" w:color="auto" w:sz="4" w:space="0"/>
              <w:bottom w:val="single" w:color="auto" w:sz="4" w:space="0"/>
              <w:right w:val="single" w:color="auto" w:sz="4" w:space="0"/>
            </w:tcBorders>
          </w:tcPr>
          <w:p w14:paraId="33C50AB7">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 xml:space="preserve"> </w:t>
            </w:r>
          </w:p>
        </w:tc>
      </w:tr>
      <w:tr w14:paraId="65723F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885" w:type="pct"/>
            <w:tcBorders>
              <w:top w:val="single" w:color="auto" w:sz="4" w:space="0"/>
              <w:left w:val="single" w:color="auto" w:sz="4" w:space="0"/>
              <w:bottom w:val="single" w:color="auto" w:sz="4" w:space="0"/>
              <w:right w:val="single" w:color="auto" w:sz="4" w:space="0"/>
            </w:tcBorders>
          </w:tcPr>
          <w:p w14:paraId="4764E3FD">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用户账号</w:t>
            </w:r>
          </w:p>
        </w:tc>
        <w:tc>
          <w:tcPr>
            <w:tcW w:w="4114" w:type="pct"/>
            <w:tcBorders>
              <w:top w:val="single" w:color="auto" w:sz="4" w:space="0"/>
              <w:left w:val="single" w:color="auto" w:sz="4" w:space="0"/>
              <w:bottom w:val="single" w:color="auto" w:sz="4" w:space="0"/>
              <w:right w:val="single" w:color="auto" w:sz="4" w:space="0"/>
            </w:tcBorders>
          </w:tcPr>
          <w:p w14:paraId="7A50F524">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 xml:space="preserve"> </w:t>
            </w:r>
          </w:p>
        </w:tc>
      </w:tr>
      <w:tr w14:paraId="58FB3F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7" w:hRule="atLeast"/>
          <w:jc w:val="center"/>
        </w:trPr>
        <w:tc>
          <w:tcPr>
            <w:tcW w:w="885" w:type="pct"/>
            <w:tcBorders>
              <w:top w:val="single" w:color="auto" w:sz="4" w:space="0"/>
              <w:left w:val="single" w:color="auto" w:sz="4" w:space="0"/>
              <w:bottom w:val="single" w:color="auto" w:sz="4" w:space="0"/>
              <w:right w:val="single" w:color="auto" w:sz="4" w:space="0"/>
            </w:tcBorders>
          </w:tcPr>
          <w:p w14:paraId="6A137FE9">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节点类型</w:t>
            </w:r>
          </w:p>
        </w:tc>
        <w:tc>
          <w:tcPr>
            <w:tcW w:w="4114" w:type="pct"/>
            <w:tcBorders>
              <w:top w:val="single" w:color="auto" w:sz="4" w:space="0"/>
              <w:left w:val="single" w:color="auto" w:sz="4" w:space="0"/>
              <w:bottom w:val="single" w:color="auto" w:sz="4" w:space="0"/>
              <w:right w:val="single" w:color="auto" w:sz="4" w:space="0"/>
            </w:tcBorders>
          </w:tcPr>
          <w:p w14:paraId="24BFD293">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 xml:space="preserve">□刀片节点  </w:t>
            </w:r>
            <w:r>
              <w:rPr>
                <w:rFonts w:hint="eastAsia" w:ascii="宋体" w:hAnsi="宋体" w:cs="宋体"/>
                <w:color w:val="000000" w:themeColor="text1"/>
                <w:sz w:val="28"/>
                <w:szCs w:val="28"/>
              </w:rPr>
              <w:sym w:font="Wingdings 2" w:char="00A3"/>
            </w:r>
            <w:r>
              <w:rPr>
                <w:rFonts w:hint="eastAsia" w:ascii="宋体" w:hAnsi="宋体" w:cs="宋体"/>
                <w:color w:val="000000" w:themeColor="text1"/>
                <w:sz w:val="28"/>
                <w:szCs w:val="28"/>
              </w:rPr>
              <w:t>GPU节点  □KNL节点  □大内存节点</w:t>
            </w:r>
          </w:p>
          <w:p w14:paraId="52BF0672">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 xml:space="preserve">□图形节点  □高性能存储  □数据备份  </w:t>
            </w:r>
          </w:p>
        </w:tc>
      </w:tr>
      <w:tr w14:paraId="2EA09C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 w:type="pct"/>
            <w:tcBorders>
              <w:top w:val="single" w:color="auto" w:sz="4" w:space="0"/>
              <w:left w:val="single" w:color="auto" w:sz="4" w:space="0"/>
              <w:bottom w:val="single" w:color="auto" w:sz="4" w:space="0"/>
              <w:right w:val="single" w:color="auto" w:sz="4" w:space="0"/>
            </w:tcBorders>
          </w:tcPr>
          <w:p w14:paraId="4B4AEC22">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节点配置</w:t>
            </w:r>
          </w:p>
          <w:p w14:paraId="7F3F71C1">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及使用方</w:t>
            </w:r>
          </w:p>
          <w:p w14:paraId="37B56BE2">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式说明</w:t>
            </w:r>
          </w:p>
        </w:tc>
        <w:tc>
          <w:tcPr>
            <w:tcW w:w="4114" w:type="pct"/>
            <w:tcBorders>
              <w:top w:val="single" w:color="auto" w:sz="4" w:space="0"/>
              <w:left w:val="single" w:color="auto" w:sz="4" w:space="0"/>
              <w:bottom w:val="single" w:color="auto" w:sz="4" w:space="0"/>
              <w:right w:val="single" w:color="auto" w:sz="4" w:space="0"/>
            </w:tcBorders>
          </w:tcPr>
          <w:p w14:paraId="08E239FC">
            <w:pPr>
              <w:spacing w:beforeLines="50" w:line="480" w:lineRule="exact"/>
              <w:rPr>
                <w:rFonts w:ascii="宋体" w:hAnsi="宋体" w:cs="宋体"/>
                <w:color w:val="000000" w:themeColor="text1"/>
                <w:sz w:val="28"/>
                <w:szCs w:val="28"/>
              </w:rPr>
            </w:pPr>
          </w:p>
        </w:tc>
      </w:tr>
      <w:tr w14:paraId="22456F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 w:type="pct"/>
            <w:tcBorders>
              <w:top w:val="single" w:color="auto" w:sz="4" w:space="0"/>
              <w:left w:val="single" w:color="auto" w:sz="4" w:space="0"/>
              <w:bottom w:val="single" w:color="auto" w:sz="4" w:space="0"/>
              <w:right w:val="single" w:color="auto" w:sz="4" w:space="0"/>
            </w:tcBorders>
          </w:tcPr>
          <w:p w14:paraId="119F9420">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存储系统</w:t>
            </w:r>
          </w:p>
        </w:tc>
        <w:tc>
          <w:tcPr>
            <w:tcW w:w="4114" w:type="pct"/>
            <w:tcBorders>
              <w:top w:val="single" w:color="auto" w:sz="4" w:space="0"/>
              <w:left w:val="single" w:color="auto" w:sz="4" w:space="0"/>
              <w:bottom w:val="single" w:color="auto" w:sz="4" w:space="0"/>
              <w:right w:val="single" w:color="auto" w:sz="4" w:space="0"/>
            </w:tcBorders>
          </w:tcPr>
          <w:p w14:paraId="5A860ACD">
            <w:pPr>
              <w:spacing w:beforeLines="50" w:line="480" w:lineRule="exact"/>
              <w:rPr>
                <w:rFonts w:ascii="宋体" w:hAnsi="宋体" w:cs="宋体"/>
                <w:color w:val="000000" w:themeColor="text1"/>
                <w:sz w:val="28"/>
                <w:szCs w:val="28"/>
              </w:rPr>
            </w:pPr>
          </w:p>
        </w:tc>
      </w:tr>
      <w:tr w14:paraId="774518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 w:type="pct"/>
            <w:tcBorders>
              <w:top w:val="single" w:color="auto" w:sz="4" w:space="0"/>
              <w:left w:val="single" w:color="auto" w:sz="4" w:space="0"/>
              <w:bottom w:val="single" w:color="auto" w:sz="4" w:space="0"/>
              <w:right w:val="single" w:color="auto" w:sz="4" w:space="0"/>
            </w:tcBorders>
          </w:tcPr>
          <w:p w14:paraId="75AF142A">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软件需求</w:t>
            </w:r>
          </w:p>
        </w:tc>
        <w:tc>
          <w:tcPr>
            <w:tcW w:w="4114" w:type="pct"/>
            <w:tcBorders>
              <w:top w:val="single" w:color="auto" w:sz="4" w:space="0"/>
              <w:left w:val="single" w:color="auto" w:sz="4" w:space="0"/>
              <w:bottom w:val="single" w:color="auto" w:sz="4" w:space="0"/>
              <w:right w:val="single" w:color="auto" w:sz="4" w:space="0"/>
            </w:tcBorders>
          </w:tcPr>
          <w:p w14:paraId="50E35C8D">
            <w:pPr>
              <w:spacing w:beforeLines="50" w:line="480" w:lineRule="exact"/>
              <w:rPr>
                <w:rFonts w:ascii="宋体" w:hAnsi="宋体" w:cs="宋体"/>
                <w:color w:val="000000" w:themeColor="text1"/>
                <w:sz w:val="28"/>
                <w:szCs w:val="28"/>
              </w:rPr>
            </w:pPr>
          </w:p>
        </w:tc>
      </w:tr>
      <w:tr w14:paraId="14E72F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85" w:type="pct"/>
            <w:tcBorders>
              <w:top w:val="single" w:color="auto" w:sz="4" w:space="0"/>
              <w:left w:val="single" w:color="auto" w:sz="4" w:space="0"/>
              <w:bottom w:val="single" w:color="auto" w:sz="4" w:space="0"/>
              <w:right w:val="single" w:color="auto" w:sz="4" w:space="0"/>
            </w:tcBorders>
          </w:tcPr>
          <w:p w14:paraId="2CF9D00A">
            <w:pPr>
              <w:spacing w:beforeLines="50" w:line="480" w:lineRule="exact"/>
              <w:rPr>
                <w:rFonts w:ascii="宋体" w:hAnsi="宋体" w:cs="宋体"/>
                <w:color w:val="000000" w:themeColor="text1"/>
                <w:sz w:val="28"/>
                <w:szCs w:val="28"/>
              </w:rPr>
            </w:pPr>
            <w:r>
              <w:rPr>
                <w:rFonts w:hint="eastAsia" w:ascii="宋体" w:hAnsi="宋体" w:cs="宋体"/>
                <w:color w:val="000000" w:themeColor="text1"/>
                <w:sz w:val="28"/>
                <w:szCs w:val="28"/>
              </w:rPr>
              <w:t>其他约定</w:t>
            </w:r>
          </w:p>
        </w:tc>
        <w:tc>
          <w:tcPr>
            <w:tcW w:w="4114" w:type="pct"/>
            <w:tcBorders>
              <w:top w:val="single" w:color="auto" w:sz="4" w:space="0"/>
              <w:left w:val="single" w:color="auto" w:sz="4" w:space="0"/>
              <w:bottom w:val="single" w:color="auto" w:sz="4" w:space="0"/>
              <w:right w:val="single" w:color="auto" w:sz="4" w:space="0"/>
            </w:tcBorders>
          </w:tcPr>
          <w:p w14:paraId="2C0745C4">
            <w:pPr>
              <w:spacing w:beforeLines="50" w:line="480" w:lineRule="exact"/>
              <w:rPr>
                <w:rFonts w:ascii="宋体" w:hAnsi="宋体" w:cs="宋体"/>
                <w:color w:val="000000" w:themeColor="text1"/>
                <w:sz w:val="28"/>
                <w:szCs w:val="28"/>
              </w:rPr>
            </w:pPr>
          </w:p>
        </w:tc>
      </w:tr>
    </w:tbl>
    <w:p w14:paraId="07719176">
      <w:pPr>
        <w:numPr>
          <w:ilvl w:val="1"/>
          <w:numId w:val="0"/>
        </w:num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二、双方权利和义务：</w:t>
      </w:r>
    </w:p>
    <w:p w14:paraId="4C655A56">
      <w:pPr>
        <w:spacing w:line="312" w:lineRule="auto"/>
        <w:ind w:firstLine="562" w:firstLineChars="200"/>
        <w:jc w:val="left"/>
        <w:rPr>
          <w:rFonts w:ascii="宋体" w:hAnsi="宋体" w:cs="宋体"/>
          <w:color w:val="000000" w:themeColor="text1"/>
          <w:sz w:val="28"/>
          <w:szCs w:val="28"/>
        </w:rPr>
      </w:pPr>
      <w:r>
        <w:rPr>
          <w:rFonts w:hint="eastAsia" w:ascii="宋体" w:hAnsi="宋体" w:cs="宋体"/>
          <w:b/>
          <w:bCs/>
          <w:color w:val="000000" w:themeColor="text1"/>
          <w:sz w:val="28"/>
          <w:szCs w:val="28"/>
          <w:u w:val="single"/>
        </w:rPr>
        <w:t>（一）: 甲方权利和义务</w:t>
      </w:r>
      <w:r>
        <w:rPr>
          <w:rFonts w:hint="eastAsia" w:ascii="宋体" w:hAnsi="宋体" w:cs="宋体"/>
          <w:color w:val="000000" w:themeColor="text1"/>
          <w:sz w:val="28"/>
          <w:szCs w:val="28"/>
        </w:rPr>
        <w:t xml:space="preserve">  </w:t>
      </w:r>
    </w:p>
    <w:p w14:paraId="7B2A239F">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甲方不得利用乙方提供的高性能计算资源从事与其申请计算内容无关的计算活动，不得从事危害国家安全和其它违反中华人民共和国有关法律法规的活动，不得恶意耗费乙方计算资源与网络流量。</w:t>
      </w:r>
    </w:p>
    <w:p w14:paraId="17A80DED">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(1)甲方不得盗用高性能计算系统超级用户、其他用户帐号、资料，否则应承担由此造成的一切经济损失及法律责任。</w:t>
      </w:r>
    </w:p>
    <w:p w14:paraId="07B159EE">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(2)甲方保证不进行影响主机正常运行的操作，如果发生上述操作，乙方有权终止甲方操作。</w:t>
      </w:r>
    </w:p>
    <w:p w14:paraId="6E0BD113">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(3)甲方应按时交纳相关费用，如果甲方未按时交纳费用，乙方有义务提示甲方按时交纳费用。如甲方在收到乙方提示后五个工作日内仍未交纳相关费用，乙方有权在本协议约定资源范围内停止甲方的使用权限。</w:t>
      </w:r>
    </w:p>
    <w:p w14:paraId="2AB08F62">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(4)协议期间，甲方有权申请中断或变更计算资源的使用方式，届时机时费用按照乙方相应资源单价进行扣费。</w:t>
      </w:r>
    </w:p>
    <w:p w14:paraId="4B8C4E75">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(5)甲方使用乙方高性能计算平台计算获得的研究成果、学术论文等，其知识产权属于甲方单独所有，乙方不主张任何相关权利。甲方可根据实际情况自行决定在项目成果上明确标注为使用乙方高性能计算系统。</w:t>
      </w:r>
    </w:p>
    <w:p w14:paraId="17F8B6F6">
      <w:pPr>
        <w:tabs>
          <w:tab w:val="left" w:pos="981"/>
        </w:tabs>
        <w:spacing w:line="312" w:lineRule="auto"/>
        <w:ind w:firstLine="562" w:firstLineChars="200"/>
        <w:jc w:val="left"/>
        <w:rPr>
          <w:rFonts w:ascii="宋体" w:hAnsi="宋体" w:cs="宋体"/>
          <w:b/>
          <w:bCs/>
          <w:color w:val="000000" w:themeColor="text1"/>
          <w:sz w:val="28"/>
          <w:szCs w:val="28"/>
          <w:u w:val="single"/>
        </w:rPr>
      </w:pPr>
      <w:r>
        <w:rPr>
          <w:rFonts w:hint="eastAsia" w:ascii="宋体" w:hAnsi="宋体" w:cs="宋体"/>
          <w:b/>
          <w:bCs/>
          <w:color w:val="000000" w:themeColor="text1"/>
          <w:sz w:val="28"/>
          <w:szCs w:val="28"/>
          <w:u w:val="single"/>
        </w:rPr>
        <w:t>（二）：乙方权利和义务</w:t>
      </w:r>
    </w:p>
    <w:p w14:paraId="581DEED5">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 xml:space="preserve">(1)在服务有效期内，乙方保证向甲方提供本协议所规定的各项服务。同时乙方保证向甲方提供的产品、软件和服务未侵犯任何第三方权利。 </w:t>
      </w:r>
    </w:p>
    <w:p w14:paraId="0F320630">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(2)乙方对甲方的程序和数据、计算活动及相关客户资料均具有保密义务。乙方承诺不恶意使用甲方的程序和数据、计算活动及相关客户资料。</w:t>
      </w:r>
    </w:p>
    <w:p w14:paraId="40CE47A4">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(3)因检修线路、设备搬迁、系统的任何维护、升级，运维需要等可预知的原因影响或可能影响甲方使用服务的，乙方应提前5个工作日告知甲方，便于甲方采取相应措施。</w:t>
      </w:r>
    </w:p>
    <w:p w14:paraId="129B198C">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(4)乙方有责任保证甲方数据信息的安全，不得擅自泄露；乙方承认甲方存放在服务器上的任何资料、软件、数据等的知识产权均与乙方无关，乙方无权复制、传播、转让、许可或提供他人使用这些资源，否则应承担相应的责任，本保密义务在本合同终止后仍然持续有效。</w:t>
      </w:r>
    </w:p>
    <w:p w14:paraId="5920F243">
      <w:p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三、履行期限、地点</w:t>
      </w:r>
    </w:p>
    <w:p w14:paraId="7C4B5163">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1.本合同涉及机时计算服务期限为：自</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年</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月</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日起至</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年</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月</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日终止。如服务期内计算资源未使用完毕，可以免费在原合同期基础之上顺延，直至全部计算资源使用完毕为止。本项目属于长期服务项目，合同期满服务评价为优的，可以续签，但合同履行总期限最长不得超过三十六个月。如甲方对履约情况不满意，甲方不再续约。</w:t>
      </w:r>
    </w:p>
    <w:p w14:paraId="6685D7F3">
      <w:pPr>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rPr>
        <w:t>2.履行地点：</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 xml:space="preserve">  </w:t>
      </w:r>
    </w:p>
    <w:p w14:paraId="7013FC2C">
      <w:pPr>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rPr>
        <w:t>3.除另有约定外，发生下列情形时，服务期限按以下条款执行：</w:t>
      </w:r>
    </w:p>
    <w:p w14:paraId="54E9FDAE">
      <w:pPr>
        <w:numPr>
          <w:ilvl w:val="0"/>
          <w:numId w:val="1"/>
        </w:numPr>
        <w:tabs>
          <w:tab w:val="left" w:pos="1140"/>
        </w:tabs>
        <w:spacing w:line="312" w:lineRule="auto"/>
        <w:ind w:left="0"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双方协议一致变更的，按双方协商的结果执行。</w:t>
      </w:r>
    </w:p>
    <w:p w14:paraId="03EA99B6">
      <w:pPr>
        <w:numPr>
          <w:ilvl w:val="0"/>
          <w:numId w:val="1"/>
        </w:numPr>
        <w:tabs>
          <w:tab w:val="left" w:pos="1140"/>
        </w:tabs>
        <w:spacing w:line="312" w:lineRule="auto"/>
        <w:ind w:left="0"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一方严重违反本协议的有关条款时，另一方有权提前终止服务。</w:t>
      </w:r>
    </w:p>
    <w:p w14:paraId="1864B3DF">
      <w:pPr>
        <w:numPr>
          <w:ilvl w:val="0"/>
          <w:numId w:val="1"/>
        </w:numPr>
        <w:tabs>
          <w:tab w:val="left" w:pos="1140"/>
        </w:tabs>
        <w:spacing w:line="312" w:lineRule="auto"/>
        <w:ind w:left="0"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合同到期后，如双方不予续签合同，则本合同到期自然终止。如甲方所购买计算资源在合同有效期内提前使用完毕，本合同可提前终止。</w:t>
      </w:r>
    </w:p>
    <w:p w14:paraId="6C3EFC71">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四、用户收费标准及协议金额</w:t>
      </w:r>
    </w:p>
    <w:p w14:paraId="54619058">
      <w:pPr>
        <w:widowControl/>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rPr>
        <w:t>1.甲方购买服务收费标准：</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1875"/>
        <w:gridCol w:w="1395"/>
        <w:gridCol w:w="1215"/>
        <w:gridCol w:w="1170"/>
        <w:gridCol w:w="1230"/>
        <w:gridCol w:w="938"/>
      </w:tblGrid>
      <w:tr w14:paraId="680C5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6E2081BD">
            <w:pPr>
              <w:jc w:val="center"/>
              <w:rPr>
                <w:rFonts w:ascii="宋体" w:hAnsi="宋体"/>
                <w:szCs w:val="21"/>
              </w:rPr>
            </w:pPr>
            <w:r>
              <w:rPr>
                <w:rFonts w:hint="eastAsia" w:ascii="宋体" w:hAnsi="宋体"/>
                <w:szCs w:val="21"/>
              </w:rPr>
              <w:t>序号</w:t>
            </w:r>
          </w:p>
        </w:tc>
        <w:tc>
          <w:tcPr>
            <w:tcW w:w="1875" w:type="dxa"/>
            <w:vAlign w:val="center"/>
          </w:tcPr>
          <w:p w14:paraId="2024BCEF">
            <w:pPr>
              <w:jc w:val="center"/>
              <w:rPr>
                <w:rFonts w:ascii="宋体" w:hAnsi="宋体"/>
                <w:szCs w:val="21"/>
              </w:rPr>
            </w:pPr>
            <w:r>
              <w:rPr>
                <w:rFonts w:hint="eastAsia" w:ascii="宋体" w:hAnsi="宋体"/>
                <w:szCs w:val="21"/>
              </w:rPr>
              <w:t>项目名称</w:t>
            </w:r>
          </w:p>
        </w:tc>
        <w:tc>
          <w:tcPr>
            <w:tcW w:w="1395" w:type="dxa"/>
            <w:vAlign w:val="center"/>
          </w:tcPr>
          <w:p w14:paraId="21A1E4DC">
            <w:pPr>
              <w:jc w:val="center"/>
              <w:rPr>
                <w:rFonts w:ascii="宋体" w:hAnsi="宋体"/>
                <w:szCs w:val="21"/>
              </w:rPr>
            </w:pPr>
            <w:r>
              <w:rPr>
                <w:rFonts w:hint="eastAsia" w:ascii="宋体" w:hAnsi="宋体"/>
                <w:szCs w:val="21"/>
              </w:rPr>
              <w:t>规格</w:t>
            </w:r>
          </w:p>
        </w:tc>
        <w:tc>
          <w:tcPr>
            <w:tcW w:w="1215" w:type="dxa"/>
            <w:vAlign w:val="center"/>
          </w:tcPr>
          <w:p w14:paraId="61006A6D">
            <w:pPr>
              <w:jc w:val="center"/>
              <w:rPr>
                <w:rFonts w:ascii="宋体" w:hAnsi="宋体"/>
                <w:szCs w:val="21"/>
              </w:rPr>
            </w:pPr>
            <w:r>
              <w:rPr>
                <w:rFonts w:hint="eastAsia" w:ascii="宋体" w:hAnsi="宋体"/>
                <w:szCs w:val="21"/>
              </w:rPr>
              <w:t>数量</w:t>
            </w:r>
          </w:p>
        </w:tc>
        <w:tc>
          <w:tcPr>
            <w:tcW w:w="1170" w:type="dxa"/>
            <w:vAlign w:val="center"/>
          </w:tcPr>
          <w:p w14:paraId="2AF079D0">
            <w:pPr>
              <w:jc w:val="center"/>
              <w:rPr>
                <w:rFonts w:ascii="宋体" w:hAnsi="宋体"/>
                <w:szCs w:val="21"/>
              </w:rPr>
            </w:pPr>
            <w:r>
              <w:rPr>
                <w:rFonts w:hint="eastAsia" w:ascii="宋体" w:hAnsi="宋体"/>
                <w:szCs w:val="21"/>
              </w:rPr>
              <w:t>单价/元</w:t>
            </w:r>
          </w:p>
        </w:tc>
        <w:tc>
          <w:tcPr>
            <w:tcW w:w="1230" w:type="dxa"/>
            <w:vAlign w:val="center"/>
          </w:tcPr>
          <w:p w14:paraId="5CE3029A">
            <w:pPr>
              <w:jc w:val="center"/>
              <w:rPr>
                <w:rFonts w:ascii="宋体" w:hAnsi="宋体"/>
                <w:szCs w:val="21"/>
              </w:rPr>
            </w:pPr>
            <w:r>
              <w:rPr>
                <w:rFonts w:hint="eastAsia" w:ascii="宋体" w:hAnsi="宋体"/>
                <w:szCs w:val="21"/>
              </w:rPr>
              <w:t>总价/元</w:t>
            </w:r>
          </w:p>
        </w:tc>
        <w:tc>
          <w:tcPr>
            <w:tcW w:w="938" w:type="dxa"/>
            <w:vAlign w:val="center"/>
          </w:tcPr>
          <w:p w14:paraId="0E63E1F6">
            <w:pPr>
              <w:jc w:val="center"/>
              <w:rPr>
                <w:rFonts w:ascii="宋体" w:hAnsi="宋体"/>
                <w:szCs w:val="21"/>
              </w:rPr>
            </w:pPr>
            <w:r>
              <w:rPr>
                <w:rFonts w:hint="eastAsia" w:ascii="宋体" w:hAnsi="宋体"/>
                <w:szCs w:val="21"/>
              </w:rPr>
              <w:t>备注</w:t>
            </w:r>
          </w:p>
        </w:tc>
      </w:tr>
      <w:tr w14:paraId="7EAB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5A593702">
            <w:pPr>
              <w:jc w:val="center"/>
              <w:rPr>
                <w:rFonts w:ascii="宋体" w:hAnsi="宋体"/>
                <w:szCs w:val="21"/>
              </w:rPr>
            </w:pPr>
          </w:p>
        </w:tc>
        <w:tc>
          <w:tcPr>
            <w:tcW w:w="1875" w:type="dxa"/>
            <w:vAlign w:val="center"/>
          </w:tcPr>
          <w:p w14:paraId="43ABD1A7">
            <w:pPr>
              <w:jc w:val="center"/>
              <w:rPr>
                <w:rFonts w:ascii="宋体" w:hAnsi="宋体"/>
                <w:szCs w:val="21"/>
              </w:rPr>
            </w:pPr>
          </w:p>
        </w:tc>
        <w:tc>
          <w:tcPr>
            <w:tcW w:w="1395" w:type="dxa"/>
            <w:vAlign w:val="center"/>
          </w:tcPr>
          <w:p w14:paraId="72CADA36">
            <w:pPr>
              <w:jc w:val="center"/>
              <w:rPr>
                <w:rFonts w:ascii="宋体" w:hAnsi="宋体"/>
                <w:szCs w:val="21"/>
              </w:rPr>
            </w:pPr>
          </w:p>
        </w:tc>
        <w:tc>
          <w:tcPr>
            <w:tcW w:w="1215" w:type="dxa"/>
            <w:vAlign w:val="center"/>
          </w:tcPr>
          <w:p w14:paraId="08A3AED5">
            <w:pPr>
              <w:jc w:val="center"/>
              <w:rPr>
                <w:rFonts w:ascii="宋体" w:hAnsi="宋体"/>
                <w:szCs w:val="21"/>
              </w:rPr>
            </w:pPr>
          </w:p>
        </w:tc>
        <w:tc>
          <w:tcPr>
            <w:tcW w:w="1170" w:type="dxa"/>
            <w:vAlign w:val="center"/>
          </w:tcPr>
          <w:p w14:paraId="1F9FED1B">
            <w:pPr>
              <w:jc w:val="center"/>
              <w:rPr>
                <w:rFonts w:ascii="宋体" w:hAnsi="宋体"/>
                <w:szCs w:val="21"/>
              </w:rPr>
            </w:pPr>
          </w:p>
        </w:tc>
        <w:tc>
          <w:tcPr>
            <w:tcW w:w="1230" w:type="dxa"/>
            <w:vAlign w:val="center"/>
          </w:tcPr>
          <w:p w14:paraId="57EC1E08">
            <w:pPr>
              <w:jc w:val="center"/>
              <w:rPr>
                <w:rFonts w:ascii="宋体" w:hAnsi="宋体"/>
                <w:szCs w:val="21"/>
              </w:rPr>
            </w:pPr>
          </w:p>
        </w:tc>
        <w:tc>
          <w:tcPr>
            <w:tcW w:w="938" w:type="dxa"/>
            <w:vAlign w:val="center"/>
          </w:tcPr>
          <w:p w14:paraId="6C8EE6CF">
            <w:pPr>
              <w:jc w:val="center"/>
              <w:rPr>
                <w:rFonts w:ascii="宋体" w:hAnsi="宋体"/>
                <w:szCs w:val="21"/>
              </w:rPr>
            </w:pPr>
          </w:p>
        </w:tc>
      </w:tr>
      <w:tr w14:paraId="4C90F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6115B0CD">
            <w:pPr>
              <w:jc w:val="center"/>
              <w:rPr>
                <w:rFonts w:ascii="宋体" w:hAnsi="宋体"/>
                <w:szCs w:val="21"/>
              </w:rPr>
            </w:pPr>
          </w:p>
        </w:tc>
        <w:tc>
          <w:tcPr>
            <w:tcW w:w="1875" w:type="dxa"/>
            <w:vAlign w:val="center"/>
          </w:tcPr>
          <w:p w14:paraId="71D2D823">
            <w:pPr>
              <w:jc w:val="center"/>
              <w:rPr>
                <w:rFonts w:ascii="宋体" w:hAnsi="宋体"/>
                <w:szCs w:val="21"/>
              </w:rPr>
            </w:pPr>
          </w:p>
        </w:tc>
        <w:tc>
          <w:tcPr>
            <w:tcW w:w="1395" w:type="dxa"/>
            <w:vAlign w:val="center"/>
          </w:tcPr>
          <w:p w14:paraId="016640CE">
            <w:pPr>
              <w:jc w:val="center"/>
              <w:rPr>
                <w:rFonts w:ascii="宋体" w:hAnsi="宋体"/>
                <w:szCs w:val="21"/>
              </w:rPr>
            </w:pPr>
          </w:p>
        </w:tc>
        <w:tc>
          <w:tcPr>
            <w:tcW w:w="1215" w:type="dxa"/>
            <w:vAlign w:val="center"/>
          </w:tcPr>
          <w:p w14:paraId="2B8CE6D7">
            <w:pPr>
              <w:jc w:val="center"/>
              <w:rPr>
                <w:rFonts w:ascii="宋体" w:hAnsi="宋体"/>
                <w:szCs w:val="21"/>
              </w:rPr>
            </w:pPr>
          </w:p>
        </w:tc>
        <w:tc>
          <w:tcPr>
            <w:tcW w:w="1170" w:type="dxa"/>
            <w:vAlign w:val="center"/>
          </w:tcPr>
          <w:p w14:paraId="61F9E38F">
            <w:pPr>
              <w:jc w:val="center"/>
              <w:rPr>
                <w:rFonts w:ascii="宋体" w:hAnsi="宋体"/>
                <w:szCs w:val="21"/>
              </w:rPr>
            </w:pPr>
          </w:p>
        </w:tc>
        <w:tc>
          <w:tcPr>
            <w:tcW w:w="1230" w:type="dxa"/>
            <w:vAlign w:val="center"/>
          </w:tcPr>
          <w:p w14:paraId="4A17A450">
            <w:pPr>
              <w:jc w:val="center"/>
              <w:rPr>
                <w:rFonts w:ascii="宋体" w:hAnsi="宋体"/>
                <w:szCs w:val="21"/>
              </w:rPr>
            </w:pPr>
          </w:p>
        </w:tc>
        <w:tc>
          <w:tcPr>
            <w:tcW w:w="938" w:type="dxa"/>
            <w:vAlign w:val="center"/>
          </w:tcPr>
          <w:p w14:paraId="2344E659">
            <w:pPr>
              <w:jc w:val="center"/>
              <w:rPr>
                <w:rFonts w:ascii="宋体" w:hAnsi="宋体"/>
                <w:szCs w:val="21"/>
              </w:rPr>
            </w:pPr>
          </w:p>
        </w:tc>
      </w:tr>
      <w:tr w14:paraId="45F0E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7F621F7E">
            <w:pPr>
              <w:jc w:val="center"/>
              <w:rPr>
                <w:rFonts w:ascii="宋体" w:hAnsi="宋体"/>
                <w:szCs w:val="21"/>
              </w:rPr>
            </w:pPr>
          </w:p>
        </w:tc>
        <w:tc>
          <w:tcPr>
            <w:tcW w:w="1875" w:type="dxa"/>
            <w:vAlign w:val="center"/>
          </w:tcPr>
          <w:p w14:paraId="23D8790F">
            <w:pPr>
              <w:jc w:val="center"/>
              <w:rPr>
                <w:rFonts w:ascii="宋体" w:hAnsi="宋体"/>
                <w:szCs w:val="21"/>
              </w:rPr>
            </w:pPr>
          </w:p>
        </w:tc>
        <w:tc>
          <w:tcPr>
            <w:tcW w:w="1395" w:type="dxa"/>
            <w:vAlign w:val="center"/>
          </w:tcPr>
          <w:p w14:paraId="289EDD23">
            <w:pPr>
              <w:jc w:val="center"/>
              <w:rPr>
                <w:rFonts w:ascii="宋体" w:hAnsi="宋体"/>
                <w:szCs w:val="21"/>
              </w:rPr>
            </w:pPr>
          </w:p>
        </w:tc>
        <w:tc>
          <w:tcPr>
            <w:tcW w:w="1215" w:type="dxa"/>
            <w:vAlign w:val="center"/>
          </w:tcPr>
          <w:p w14:paraId="7AFCFE83">
            <w:pPr>
              <w:jc w:val="center"/>
              <w:rPr>
                <w:rFonts w:ascii="宋体" w:hAnsi="宋体"/>
                <w:szCs w:val="21"/>
              </w:rPr>
            </w:pPr>
          </w:p>
        </w:tc>
        <w:tc>
          <w:tcPr>
            <w:tcW w:w="1170" w:type="dxa"/>
            <w:vAlign w:val="center"/>
          </w:tcPr>
          <w:p w14:paraId="40165B11">
            <w:pPr>
              <w:jc w:val="center"/>
              <w:rPr>
                <w:rFonts w:ascii="宋体" w:hAnsi="宋体"/>
                <w:szCs w:val="21"/>
              </w:rPr>
            </w:pPr>
          </w:p>
        </w:tc>
        <w:tc>
          <w:tcPr>
            <w:tcW w:w="1230" w:type="dxa"/>
            <w:vAlign w:val="center"/>
          </w:tcPr>
          <w:p w14:paraId="1F29C0CC">
            <w:pPr>
              <w:jc w:val="center"/>
              <w:rPr>
                <w:rFonts w:ascii="宋体" w:hAnsi="宋体"/>
                <w:szCs w:val="21"/>
              </w:rPr>
            </w:pPr>
          </w:p>
        </w:tc>
        <w:tc>
          <w:tcPr>
            <w:tcW w:w="938" w:type="dxa"/>
            <w:vAlign w:val="center"/>
          </w:tcPr>
          <w:p w14:paraId="2BC48D04">
            <w:pPr>
              <w:jc w:val="center"/>
              <w:rPr>
                <w:rFonts w:ascii="宋体" w:hAnsi="宋体"/>
                <w:szCs w:val="21"/>
              </w:rPr>
            </w:pPr>
          </w:p>
        </w:tc>
      </w:tr>
      <w:tr w14:paraId="2211A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7723CE49">
            <w:pPr>
              <w:jc w:val="center"/>
              <w:rPr>
                <w:rFonts w:ascii="宋体" w:hAnsi="宋体"/>
                <w:szCs w:val="21"/>
              </w:rPr>
            </w:pPr>
          </w:p>
        </w:tc>
        <w:tc>
          <w:tcPr>
            <w:tcW w:w="1875" w:type="dxa"/>
            <w:vAlign w:val="center"/>
          </w:tcPr>
          <w:p w14:paraId="6A549B93">
            <w:pPr>
              <w:jc w:val="center"/>
              <w:rPr>
                <w:rFonts w:ascii="宋体" w:hAnsi="宋体"/>
                <w:szCs w:val="21"/>
              </w:rPr>
            </w:pPr>
          </w:p>
        </w:tc>
        <w:tc>
          <w:tcPr>
            <w:tcW w:w="1395" w:type="dxa"/>
            <w:vAlign w:val="center"/>
          </w:tcPr>
          <w:p w14:paraId="790DE47C">
            <w:pPr>
              <w:jc w:val="center"/>
              <w:rPr>
                <w:rFonts w:ascii="宋体" w:hAnsi="宋体"/>
                <w:szCs w:val="21"/>
              </w:rPr>
            </w:pPr>
          </w:p>
        </w:tc>
        <w:tc>
          <w:tcPr>
            <w:tcW w:w="1215" w:type="dxa"/>
            <w:vAlign w:val="center"/>
          </w:tcPr>
          <w:p w14:paraId="582111B5">
            <w:pPr>
              <w:jc w:val="center"/>
              <w:rPr>
                <w:rFonts w:ascii="宋体" w:hAnsi="宋体"/>
                <w:szCs w:val="21"/>
              </w:rPr>
            </w:pPr>
          </w:p>
        </w:tc>
        <w:tc>
          <w:tcPr>
            <w:tcW w:w="1170" w:type="dxa"/>
            <w:vAlign w:val="center"/>
          </w:tcPr>
          <w:p w14:paraId="60A59AD2">
            <w:pPr>
              <w:jc w:val="center"/>
              <w:rPr>
                <w:rFonts w:ascii="宋体" w:hAnsi="宋体"/>
                <w:szCs w:val="21"/>
              </w:rPr>
            </w:pPr>
          </w:p>
        </w:tc>
        <w:tc>
          <w:tcPr>
            <w:tcW w:w="1230" w:type="dxa"/>
            <w:vAlign w:val="center"/>
          </w:tcPr>
          <w:p w14:paraId="20776F38">
            <w:pPr>
              <w:jc w:val="center"/>
              <w:rPr>
                <w:rFonts w:ascii="宋体" w:hAnsi="宋体"/>
                <w:szCs w:val="21"/>
              </w:rPr>
            </w:pPr>
          </w:p>
        </w:tc>
        <w:tc>
          <w:tcPr>
            <w:tcW w:w="938" w:type="dxa"/>
            <w:vAlign w:val="center"/>
          </w:tcPr>
          <w:p w14:paraId="19DE04BF">
            <w:pPr>
              <w:jc w:val="center"/>
              <w:rPr>
                <w:rFonts w:ascii="宋体" w:hAnsi="宋体"/>
                <w:szCs w:val="21"/>
              </w:rPr>
            </w:pPr>
          </w:p>
        </w:tc>
      </w:tr>
      <w:tr w14:paraId="19C9C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4AB634C1">
            <w:pPr>
              <w:jc w:val="center"/>
              <w:rPr>
                <w:rFonts w:ascii="宋体" w:hAnsi="宋体"/>
                <w:szCs w:val="21"/>
              </w:rPr>
            </w:pPr>
          </w:p>
        </w:tc>
        <w:tc>
          <w:tcPr>
            <w:tcW w:w="1875" w:type="dxa"/>
            <w:vAlign w:val="center"/>
          </w:tcPr>
          <w:p w14:paraId="44E9168B">
            <w:pPr>
              <w:jc w:val="center"/>
              <w:rPr>
                <w:rFonts w:ascii="宋体" w:hAnsi="宋体"/>
                <w:szCs w:val="21"/>
              </w:rPr>
            </w:pPr>
          </w:p>
        </w:tc>
        <w:tc>
          <w:tcPr>
            <w:tcW w:w="1395" w:type="dxa"/>
            <w:vAlign w:val="center"/>
          </w:tcPr>
          <w:p w14:paraId="652875C8">
            <w:pPr>
              <w:jc w:val="center"/>
              <w:rPr>
                <w:rFonts w:ascii="宋体" w:hAnsi="宋体"/>
                <w:szCs w:val="21"/>
              </w:rPr>
            </w:pPr>
          </w:p>
        </w:tc>
        <w:tc>
          <w:tcPr>
            <w:tcW w:w="1215" w:type="dxa"/>
            <w:vAlign w:val="center"/>
          </w:tcPr>
          <w:p w14:paraId="11B4FE1C">
            <w:pPr>
              <w:jc w:val="center"/>
              <w:rPr>
                <w:rFonts w:ascii="宋体" w:hAnsi="宋体"/>
                <w:szCs w:val="21"/>
              </w:rPr>
            </w:pPr>
          </w:p>
        </w:tc>
        <w:tc>
          <w:tcPr>
            <w:tcW w:w="1170" w:type="dxa"/>
            <w:vAlign w:val="center"/>
          </w:tcPr>
          <w:p w14:paraId="0D8EC305">
            <w:pPr>
              <w:jc w:val="center"/>
              <w:rPr>
                <w:rFonts w:ascii="宋体" w:hAnsi="宋体"/>
                <w:szCs w:val="21"/>
              </w:rPr>
            </w:pPr>
          </w:p>
        </w:tc>
        <w:tc>
          <w:tcPr>
            <w:tcW w:w="1230" w:type="dxa"/>
            <w:vAlign w:val="center"/>
          </w:tcPr>
          <w:p w14:paraId="6490E12B">
            <w:pPr>
              <w:jc w:val="center"/>
              <w:rPr>
                <w:rFonts w:ascii="宋体" w:hAnsi="宋体"/>
                <w:szCs w:val="21"/>
              </w:rPr>
            </w:pPr>
          </w:p>
        </w:tc>
        <w:tc>
          <w:tcPr>
            <w:tcW w:w="938" w:type="dxa"/>
            <w:vAlign w:val="center"/>
          </w:tcPr>
          <w:p w14:paraId="7CE98431">
            <w:pPr>
              <w:jc w:val="center"/>
              <w:rPr>
                <w:rFonts w:ascii="宋体" w:hAnsi="宋体"/>
                <w:szCs w:val="21"/>
              </w:rPr>
            </w:pPr>
          </w:p>
        </w:tc>
      </w:tr>
      <w:tr w14:paraId="1C09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9" w:type="dxa"/>
            <w:vAlign w:val="center"/>
          </w:tcPr>
          <w:p w14:paraId="59EE6D0C">
            <w:pPr>
              <w:jc w:val="center"/>
              <w:rPr>
                <w:rFonts w:ascii="宋体" w:hAnsi="宋体"/>
                <w:szCs w:val="21"/>
              </w:rPr>
            </w:pPr>
            <w:r>
              <w:rPr>
                <w:rFonts w:hint="eastAsia" w:ascii="宋体" w:hAnsi="宋体"/>
                <w:szCs w:val="21"/>
              </w:rPr>
              <w:t>合计</w:t>
            </w:r>
          </w:p>
        </w:tc>
        <w:tc>
          <w:tcPr>
            <w:tcW w:w="7823" w:type="dxa"/>
            <w:gridSpan w:val="6"/>
            <w:vAlign w:val="center"/>
          </w:tcPr>
          <w:p w14:paraId="2A8AF018">
            <w:pPr>
              <w:jc w:val="left"/>
              <w:rPr>
                <w:rFonts w:ascii="宋体" w:hAnsi="宋体"/>
                <w:szCs w:val="21"/>
              </w:rPr>
            </w:pPr>
            <w:r>
              <w:rPr>
                <w:rFonts w:hint="eastAsia" w:ascii="宋体" w:hAnsi="宋体"/>
                <w:szCs w:val="21"/>
              </w:rPr>
              <w:t>¥</w:t>
            </w:r>
            <w:r>
              <w:rPr>
                <w:rFonts w:hint="eastAsia" w:ascii="宋体" w:hAnsi="宋体"/>
                <w:szCs w:val="21"/>
                <w:u w:val="single"/>
              </w:rPr>
              <w:t xml:space="preserve">         </w:t>
            </w:r>
            <w:r>
              <w:rPr>
                <w:rFonts w:hint="eastAsia" w:ascii="宋体" w:hAnsi="宋体"/>
                <w:szCs w:val="21"/>
              </w:rPr>
              <w:t>（大写人民币X</w:t>
            </w:r>
            <w:r>
              <w:rPr>
                <w:rFonts w:ascii="宋体" w:hAnsi="宋体"/>
                <w:szCs w:val="21"/>
              </w:rPr>
              <w:t>XX</w:t>
            </w:r>
            <w:r>
              <w:rPr>
                <w:rFonts w:hint="eastAsia" w:ascii="宋体" w:hAnsi="宋体"/>
                <w:szCs w:val="21"/>
              </w:rPr>
              <w:t>元），含一切税、费。</w:t>
            </w:r>
            <w:r>
              <w:t>合同总价包括</w:t>
            </w:r>
            <w:r>
              <w:rPr>
                <w:rFonts w:hint="eastAsia" w:ascii="宋体" w:hAnsi="宋体"/>
                <w:szCs w:val="21"/>
              </w:rPr>
              <w:t>本合同总价包括乙方为履行本合同义务所发生的一切费用和支出，包括:设备仪器费、车辆租赁费、服务和技术费用、邮寄费、人工费等，本合同单价为固定不变价格，不随通货膨胀的影响而波动。</w:t>
            </w:r>
          </w:p>
        </w:tc>
      </w:tr>
    </w:tbl>
    <w:p w14:paraId="00A0F7DD">
      <w:pPr>
        <w:widowControl/>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w:t>
      </w:r>
      <w:r>
        <w:rPr>
          <w:rFonts w:hint="eastAsia" w:ascii="宋体" w:hAnsi="宋体" w:cs="宋体"/>
          <w:color w:val="000000" w:themeColor="text1"/>
          <w:sz w:val="28"/>
          <w:szCs w:val="28"/>
          <w:u w:val="single"/>
        </w:rPr>
        <w:t>甲方按实际产生的费用结算，以合同金额为支付上限，实际产生费用依据本合同的产品或服务的单价以及实际使用量（例如容量、使用时长或者使用次数等）进行计算。</w:t>
      </w:r>
      <w:r>
        <w:rPr>
          <w:rFonts w:hint="eastAsia" w:ascii="宋体" w:hAnsi="宋体" w:cs="宋体"/>
          <w:color w:val="000000" w:themeColor="text1"/>
          <w:sz w:val="28"/>
          <w:szCs w:val="28"/>
        </w:rPr>
        <w:t>当甲方实际使用机时超过购买机时的80%，乙方需通知甲方，甲方需在收到通知10个工作日内给乙方答复是否续签合同，如未续签则本合同履行完毕后即行终止，乙方出具结算单。合同期限届满后一个月内，乙方应协助甲方备份并处理存储空间的重要数据。</w:t>
      </w:r>
    </w:p>
    <w:p w14:paraId="61A26CE8">
      <w:p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五、合同款项及其支付方式</w:t>
      </w:r>
    </w:p>
    <w:p w14:paraId="077FC910">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1.双方同意并确认，本协议所涉及金额按照如下第</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种方式进行支付：</w:t>
      </w:r>
    </w:p>
    <w:p w14:paraId="1400E2B0">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(1)一次总付：即由甲方于本协议签署并收到等额合格发票后</w:t>
      </w:r>
      <w:r>
        <w:rPr>
          <w:rFonts w:hint="eastAsia" w:ascii="宋体" w:hAnsi="宋体" w:cs="宋体"/>
          <w:color w:val="000000" w:themeColor="text1"/>
          <w:sz w:val="28"/>
          <w:szCs w:val="28"/>
          <w:u w:val="single"/>
        </w:rPr>
        <w:t xml:space="preserve">      工作日</w:t>
      </w:r>
      <w:r>
        <w:rPr>
          <w:rFonts w:hint="eastAsia" w:ascii="宋体" w:hAnsi="宋体" w:cs="宋体"/>
          <w:color w:val="000000" w:themeColor="text1"/>
          <w:sz w:val="28"/>
          <w:szCs w:val="28"/>
        </w:rPr>
        <w:t>内向乙方以转账方式全额支付。</w:t>
      </w:r>
    </w:p>
    <w:p w14:paraId="3CBCC680">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(2)分期支付：</w:t>
      </w:r>
    </w:p>
    <w:p w14:paraId="0E7DB20E">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合同签订且收到相应金额发票后 10 个工作日内，甲方支付合同总额 30 %作为预付款；</w:t>
      </w:r>
    </w:p>
    <w:p w14:paraId="0209EAE2">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u w:val="single"/>
        </w:rPr>
        <w:t>后续款项按季度支付，每一季度支付一次，首月5日结算。乙方应在每季度首月 5 日前（法定节假日顺延）向甲方提交上一季度费用结算依据（乙方盖章）结算依据样表见附件二，由甲方审查核定费用结算内容（书面确认）。在甲方确认费用核算金额后，乙方在甲方确认后的 5 个工作日内提供完税发票，甲方应在收到上述发票后的 10 个工作日完成向乙方的款项支付。</w:t>
      </w:r>
    </w:p>
    <w:p w14:paraId="6D819190">
      <w:pPr>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u w:val="single"/>
        </w:rPr>
        <w:t>在进行季度结算付款时，优先从甲方已支付的预付款中进行抵扣，预付款不足以抵扣上一季度账单的，甲方按差额支付。</w:t>
      </w:r>
    </w:p>
    <w:p w14:paraId="3ED0ED96">
      <w:pPr>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color w:val="000000" w:themeColor="text1"/>
          <w:sz w:val="28"/>
          <w:szCs w:val="28"/>
        </w:rPr>
        <w:t>(3)其它方式：</w:t>
      </w:r>
      <w:r>
        <w:rPr>
          <w:rFonts w:hint="eastAsia" w:ascii="宋体" w:hAnsi="宋体" w:cs="宋体"/>
          <w:color w:val="000000" w:themeColor="text1"/>
          <w:sz w:val="28"/>
          <w:szCs w:val="28"/>
          <w:u w:val="single"/>
        </w:rPr>
        <w:t xml:space="preserve">                           </w:t>
      </w:r>
    </w:p>
    <w:p w14:paraId="5A32F4BB">
      <w:pPr>
        <w:spacing w:line="312" w:lineRule="auto"/>
        <w:ind w:firstLine="560" w:firstLineChars="200"/>
        <w:jc w:val="left"/>
        <w:rPr>
          <w:rFonts w:ascii="宋体" w:hAnsi="宋体" w:cs="宋体"/>
          <w:color w:val="000000" w:themeColor="text1"/>
          <w:sz w:val="28"/>
          <w:szCs w:val="28"/>
          <w:u w:val="single"/>
        </w:rPr>
      </w:pPr>
      <w:r>
        <w:rPr>
          <w:rFonts w:hint="eastAsia" w:ascii="宋体" w:hAnsi="宋体" w:cs="宋体"/>
          <w:sz w:val="28"/>
          <w:szCs w:val="28"/>
        </w:rPr>
        <w:t>如遇特殊情况，经双方协商一致，可以变更支付日期、支付比例及支付方式。</w:t>
      </w:r>
    </w:p>
    <w:p w14:paraId="36A7FF39">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 本协议签订后，乙方每次应于甲方付款前向甲方开具合法有效的发票，并送达甲方。否则由此引起的逾期付款，甲方不承担任何违约责任。</w:t>
      </w:r>
    </w:p>
    <w:p w14:paraId="1CE6FD89">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 乙方的指定账户收款信息：</w:t>
      </w:r>
    </w:p>
    <w:p w14:paraId="50680F72">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开户名：</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 xml:space="preserve">               </w:t>
      </w:r>
    </w:p>
    <w:p w14:paraId="1781E766">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帐  号：</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 xml:space="preserve">    </w:t>
      </w:r>
    </w:p>
    <w:p w14:paraId="025AE457">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开户行：</w:t>
      </w:r>
      <w:r>
        <w:rPr>
          <w:rFonts w:hint="eastAsia" w:ascii="宋体" w:hAnsi="宋体" w:cs="宋体"/>
          <w:color w:val="000000" w:themeColor="text1"/>
          <w:sz w:val="28"/>
          <w:szCs w:val="28"/>
          <w:u w:val="single"/>
        </w:rPr>
        <w:t xml:space="preserve">                        </w:t>
      </w:r>
    </w:p>
    <w:p w14:paraId="5AF51298">
      <w:p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六、项目验收</w:t>
      </w:r>
    </w:p>
    <w:p w14:paraId="2982B5CD">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1.乙方应派有经验的技术人员进行设备开通、调试、检测，保证产品服务到位，直到正常交付使用。</w:t>
      </w:r>
    </w:p>
    <w:p w14:paraId="1CC31D2A">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2.乙方交付产品经过双方检验认可后，签署交付完成单，租赁期自交付完成之日起算，租赁期1年。</w:t>
      </w:r>
    </w:p>
    <w:p w14:paraId="7E2091A8">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3.当满足以下条件时，甲方才向乙方签发项目完成单：</w:t>
      </w:r>
    </w:p>
    <w:p w14:paraId="3DA48116">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（1）乙方已按照合同规定提供全部产品服务及完整的技术资料；</w:t>
      </w:r>
    </w:p>
    <w:p w14:paraId="6B43A9F4">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（2）所提供服务符合合同及招标文件技术规格的要求，性能满足要求；</w:t>
      </w:r>
    </w:p>
    <w:p w14:paraId="38962645">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（3）乙方提供的各种文件载明的内容必须真实，其技术数据甲方有权要求乙方无偿提供甲方认可的第三方按照双方同意的试验方法进行检测。检测结果必须证明乙方提供的技术数据是真实的，否则视为不合格；</w:t>
      </w:r>
    </w:p>
    <w:p w14:paraId="05E9303E">
      <w:pPr>
        <w:numPr>
          <w:ilvl w:val="255"/>
          <w:numId w:val="0"/>
        </w:num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（4）在租赁期结束后，所有服务指标达到合同及招标文件要求，经验收合格后，双方共同签署项目完成单。</w:t>
      </w:r>
    </w:p>
    <w:p w14:paraId="7404288D">
      <w:p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七、知识产权</w:t>
      </w:r>
    </w:p>
    <w:p w14:paraId="27D50789">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本项目所采用的由乙方授权甲方使用的应用系统软件产品的知识产权，归乙方或者是其他软件著作权单位所有。未经乙方或者是其他软件著作权单位书面许可，甲方（包括采购单位参与项目开发的人员）不得将该产品以任何方式提供给任何第三方或扩大使用版权的范围。</w:t>
      </w:r>
    </w:p>
    <w:p w14:paraId="435B9669">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2.乙方根据甲方的需求订制开发的软件及其知识产权归甲方所有，未经甲方许可，乙方不得随意使用。</w:t>
      </w:r>
    </w:p>
    <w:p w14:paraId="2408DA01">
      <w:pPr>
        <w:tabs>
          <w:tab w:val="left" w:pos="1140"/>
        </w:tabs>
        <w:spacing w:line="312" w:lineRule="auto"/>
        <w:ind w:firstLine="560" w:firstLineChars="200"/>
        <w:jc w:val="left"/>
        <w:rPr>
          <w:rFonts w:ascii="宋体" w:hAnsi="宋体" w:cs="宋体"/>
          <w:b/>
          <w:bCs/>
          <w:color w:val="000000" w:themeColor="text1"/>
          <w:sz w:val="28"/>
          <w:szCs w:val="28"/>
        </w:rPr>
      </w:pPr>
      <w:r>
        <w:rPr>
          <w:rFonts w:hint="eastAsia" w:ascii="宋体" w:hAnsi="宋体" w:cs="宋体"/>
          <w:color w:val="000000" w:themeColor="text1"/>
          <w:sz w:val="28"/>
          <w:szCs w:val="28"/>
        </w:rPr>
        <w:t>3.乙方所提供服务及其任何部分不受到任何第三方关于侵犯知识产权的指控。任何第三方如果提出侵权指控，乙方须承担由此而引起的一切法律责任和费用，并赔偿甲方由此造成的一切损失。</w:t>
      </w:r>
    </w:p>
    <w:p w14:paraId="2EAD6B4B">
      <w:p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八、违约责任</w:t>
      </w:r>
    </w:p>
    <w:p w14:paraId="413C4593">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违反本合同约定，违约方应当按照《中华人民共和国民法典》有关条款的规定以及本合同的相关规定承担违约责任。</w:t>
      </w:r>
    </w:p>
    <w:p w14:paraId="250EE116">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1.在服务有效期内，任何一方违约，另一方可以追究其相应的责任。</w:t>
      </w:r>
    </w:p>
    <w:p w14:paraId="6E85FD16">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2.由于乙方原因给甲方造成计算机时的损失，乙方应提供相应计算机时的补偿。</w:t>
      </w:r>
    </w:p>
    <w:p w14:paraId="16586B27">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为了保障系统正常运行，乙方需例行对系统进行维护或对故障设备进行修复。因政府需要占用计算机资源或由于外部不可抗力原因造成使用中断的，属正常情况，无需追究责任，但是乙方应给予相应占用或中断期间的延时补偿。</w:t>
      </w:r>
    </w:p>
    <w:p w14:paraId="11B4BF33">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4.任何一方由于不可抗力原因（战争、地震、火灾等）不能按约履行协议，应在不可抗力事件结束5个工作日内向对方有效通报，以减轻可能给对方造成的损失，并免于承担违约及赔偿责任。</w:t>
      </w:r>
    </w:p>
    <w:p w14:paraId="6DD7CE6F">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5.因乙方原因给甲方造成计算机时损失且乙方拒不采取补偿措施或怠于履行义务的，甲方有权解除本合同，并要求乙方退还相应机时的费用，乙方应向甲方本合同服务费用10%的违约责任。甲方数据发生被他人拷贝、篡改、删除，或者由于硬件故障等原因导致丢失时，乙方负有赔偿责任，且应配合甲方进行查证，恢复工作。</w:t>
      </w:r>
    </w:p>
    <w:p w14:paraId="105650A0">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6.乙方承诺，除为实现本合同目的之需要，不得以任何方式使用甲方的名称、商标、标识（包括但不限于商标、校名、校徽、学校代表性建筑物、景观标识等内容）等，不得对本合同内容进行商业宣传（包括进行混淆、虚假或者引人误解的商业宣传），不得编造、传播虚假信息或者误导性信息，损害甲方声誉。否则，乙方应赔偿甲方因此导致的全部直接和间接损失。</w:t>
      </w:r>
    </w:p>
    <w:p w14:paraId="3A18AC6C">
      <w:pPr>
        <w:tabs>
          <w:tab w:val="left" w:pos="1140"/>
        </w:tabs>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其他：</w:t>
      </w:r>
      <w:r>
        <w:rPr>
          <w:rFonts w:hint="eastAsia" w:ascii="宋体" w:hAnsi="宋体" w:cs="宋体"/>
          <w:color w:val="000000" w:themeColor="text1"/>
          <w:sz w:val="28"/>
          <w:szCs w:val="28"/>
          <w:u w:val="single"/>
        </w:rPr>
        <w:t xml:space="preserve">                               </w:t>
      </w:r>
    </w:p>
    <w:p w14:paraId="71CD5D15">
      <w:p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九、争议解决</w:t>
      </w:r>
    </w:p>
    <w:p w14:paraId="35CD5085">
      <w:pPr>
        <w:ind w:firstLine="560" w:firstLineChars="200"/>
        <w:jc w:val="left"/>
        <w:rPr>
          <w:rFonts w:ascii="宋体" w:hAnsi="宋体" w:cs="宋体"/>
          <w:sz w:val="28"/>
          <w:szCs w:val="28"/>
        </w:rPr>
      </w:pPr>
      <w:r>
        <w:rPr>
          <w:rFonts w:hint="eastAsia" w:ascii="宋体" w:hAnsi="宋体" w:cs="宋体"/>
          <w:color w:val="000000" w:themeColor="text1"/>
          <w:sz w:val="28"/>
          <w:szCs w:val="28"/>
        </w:rPr>
        <w:t>本合同适用中华人民共和国法律。由本合同产生或与本合同有关的任何纠纷，将由双方友好协商解决。协商不成的，任何一方有权</w:t>
      </w:r>
      <w:r>
        <w:rPr>
          <w:rFonts w:hint="eastAsia" w:ascii="宋体" w:hAnsi="宋体" w:cs="宋体"/>
          <w:sz w:val="28"/>
          <w:szCs w:val="28"/>
        </w:rPr>
        <w:t>向深圳国际仲裁院申请仲裁，仲裁是终局的，对双方均具有法律约束力。</w:t>
      </w:r>
    </w:p>
    <w:p w14:paraId="71F5427B">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 xml:space="preserve"> 除正在仲裁或诉讼的争议事项外，双方应继续行使其本合同项下的其余权利，并履行其本合同项下的其他义务。</w:t>
      </w:r>
    </w:p>
    <w:p w14:paraId="403C089A">
      <w:pPr>
        <w:spacing w:line="312" w:lineRule="auto"/>
        <w:jc w:val="left"/>
        <w:rPr>
          <w:rFonts w:ascii="宋体" w:hAnsi="宋体" w:cs="宋体"/>
          <w:b/>
          <w:bCs/>
          <w:color w:val="000000" w:themeColor="text1"/>
          <w:sz w:val="28"/>
          <w:szCs w:val="28"/>
        </w:rPr>
      </w:pPr>
      <w:r>
        <w:rPr>
          <w:rFonts w:hint="eastAsia" w:ascii="宋体" w:hAnsi="宋体" w:cs="宋体"/>
          <w:b/>
          <w:bCs/>
          <w:color w:val="000000" w:themeColor="text1"/>
          <w:sz w:val="28"/>
          <w:szCs w:val="28"/>
        </w:rPr>
        <w:t>十、其它条款</w:t>
      </w:r>
    </w:p>
    <w:p w14:paraId="54EF6C29">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1.协议终止后或有其他约定，可添加协议附件或以附加协议方式另行说明，本合同补充协议、合同附件与合同正文具有同等法律效力。</w:t>
      </w:r>
    </w:p>
    <w:p w14:paraId="63AE41C0">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2.本协议一式</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份，双方各执</w:t>
      </w:r>
      <w:r>
        <w:rPr>
          <w:rFonts w:hint="eastAsia" w:ascii="宋体" w:hAnsi="宋体" w:cs="宋体"/>
          <w:color w:val="000000" w:themeColor="text1"/>
          <w:sz w:val="28"/>
          <w:szCs w:val="28"/>
          <w:u w:val="single"/>
        </w:rPr>
        <w:t xml:space="preserve">    </w:t>
      </w:r>
      <w:r>
        <w:rPr>
          <w:rFonts w:hint="eastAsia" w:ascii="宋体" w:hAnsi="宋体" w:cs="宋体"/>
          <w:color w:val="000000" w:themeColor="text1"/>
          <w:sz w:val="28"/>
          <w:szCs w:val="28"/>
        </w:rPr>
        <w:t>份，自甲乙双方法定代表人或授权代表签字并盖章之日起开始生效，具有同等法律效力。</w:t>
      </w:r>
    </w:p>
    <w:p w14:paraId="0FDD7F53">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3.本合同的签署和执行均不构成或不应被视作构成任何有关双方的商标、名称等标识标注或其他任何种类的知识产权的授权或转让。双方可能提交或交换的任何资料都不应当构成一方对另一方关于商标、专利、版权或任何隐私的授权及对其它第三方权利侵权的声明、担保、保证或诱导。未经对方事先书面同意，任何一方不得以任何方式使用对方的名称、商标、标识等。</w:t>
      </w:r>
    </w:p>
    <w:p w14:paraId="51E0A612">
      <w:pPr>
        <w:spacing w:line="312" w:lineRule="auto"/>
        <w:ind w:firstLine="560" w:firstLineChars="200"/>
        <w:jc w:val="left"/>
        <w:rPr>
          <w:rFonts w:ascii="宋体" w:hAnsi="宋体" w:cs="宋体"/>
          <w:color w:val="000000" w:themeColor="text1"/>
          <w:sz w:val="28"/>
          <w:szCs w:val="28"/>
        </w:rPr>
      </w:pPr>
      <w:r>
        <w:rPr>
          <w:rFonts w:hint="eastAsia" w:ascii="宋体" w:hAnsi="宋体" w:cs="宋体"/>
          <w:color w:val="000000" w:themeColor="text1"/>
          <w:sz w:val="28"/>
          <w:szCs w:val="28"/>
        </w:rPr>
        <w:t>4.双方应均对对方提供的技术情报、数据、资料、文件等相关内容承担保密义务，不论本合同是否变更、解除、终止，本条款长期有效。在本合同终止时，或提供方提出书面要求时，接收方应当停止使用并且返还或者销毁全部由其所有或控制的对方专有资料。</w:t>
      </w:r>
    </w:p>
    <w:p w14:paraId="114C6B2F">
      <w:pPr>
        <w:spacing w:beforeLines="50" w:line="480" w:lineRule="exact"/>
        <w:ind w:left="420"/>
        <w:rPr>
          <w:rFonts w:asciiTheme="minorEastAsia" w:hAnsiTheme="minorEastAsia" w:eastAsiaTheme="minorEastAsia" w:cstheme="minorEastAsia"/>
          <w:color w:val="000000" w:themeColor="text1"/>
          <w:sz w:val="24"/>
        </w:rPr>
      </w:pPr>
    </w:p>
    <w:p w14:paraId="1F921D04">
      <w:pPr>
        <w:spacing w:beforeLines="50" w:line="480" w:lineRule="exact"/>
        <w:ind w:left="420"/>
        <w:jc w:val="center"/>
        <w:rPr>
          <w:rFonts w:asciiTheme="minorEastAsia" w:hAnsiTheme="minorEastAsia" w:eastAsiaTheme="minorEastAsia" w:cstheme="minorEastAsia"/>
          <w:color w:val="000000" w:themeColor="text1"/>
          <w:sz w:val="24"/>
        </w:rPr>
      </w:pPr>
      <w:r>
        <w:rPr>
          <w:rFonts w:hint="eastAsia" w:asciiTheme="minorEastAsia" w:hAnsiTheme="minorEastAsia" w:eastAsiaTheme="minorEastAsia" w:cstheme="minorEastAsia"/>
          <w:color w:val="000000" w:themeColor="text1"/>
          <w:sz w:val="24"/>
        </w:rPr>
        <w:t>（以下无正文）</w:t>
      </w:r>
    </w:p>
    <w:tbl>
      <w:tblPr>
        <w:tblStyle w:val="11"/>
        <w:tblW w:w="0" w:type="auto"/>
        <w:tblInd w:w="0" w:type="dxa"/>
        <w:tblLayout w:type="autofit"/>
        <w:tblCellMar>
          <w:top w:w="0" w:type="dxa"/>
          <w:left w:w="108" w:type="dxa"/>
          <w:bottom w:w="0" w:type="dxa"/>
          <w:right w:w="108" w:type="dxa"/>
        </w:tblCellMar>
      </w:tblPr>
      <w:tblGrid>
        <w:gridCol w:w="4261"/>
        <w:gridCol w:w="4261"/>
      </w:tblGrid>
      <w:tr w14:paraId="4463DA1C">
        <w:tblPrEx>
          <w:tblCellMar>
            <w:top w:w="0" w:type="dxa"/>
            <w:left w:w="108" w:type="dxa"/>
            <w:bottom w:w="0" w:type="dxa"/>
            <w:right w:w="108" w:type="dxa"/>
          </w:tblCellMar>
        </w:tblPrEx>
        <w:tc>
          <w:tcPr>
            <w:tcW w:w="4261" w:type="dxa"/>
          </w:tcPr>
          <w:p w14:paraId="7D79C95F">
            <w:pPr>
              <w:spacing w:line="360" w:lineRule="auto"/>
              <w:rPr>
                <w:rFonts w:ascii="宋体" w:hAnsi="宋体" w:cs="宋体"/>
                <w:kern w:val="1"/>
                <w:sz w:val="28"/>
                <w:szCs w:val="28"/>
              </w:rPr>
            </w:pPr>
            <w:r>
              <w:rPr>
                <w:rFonts w:hint="eastAsia" w:ascii="宋体" w:hAnsi="宋体" w:cs="宋体"/>
                <w:kern w:val="1"/>
                <w:sz w:val="28"/>
                <w:szCs w:val="28"/>
              </w:rPr>
              <w:t>甲方：清华大学深圳国际研究生院</w:t>
            </w:r>
          </w:p>
        </w:tc>
        <w:tc>
          <w:tcPr>
            <w:tcW w:w="4261" w:type="dxa"/>
          </w:tcPr>
          <w:p w14:paraId="3F565172">
            <w:pPr>
              <w:spacing w:line="360" w:lineRule="auto"/>
              <w:rPr>
                <w:rFonts w:ascii="宋体" w:hAnsi="宋体" w:cs="宋体"/>
                <w:kern w:val="1"/>
                <w:sz w:val="28"/>
                <w:szCs w:val="28"/>
              </w:rPr>
            </w:pPr>
            <w:r>
              <w:rPr>
                <w:rFonts w:hint="eastAsia" w:ascii="宋体" w:hAnsi="宋体" w:cs="宋体"/>
                <w:kern w:val="1"/>
                <w:sz w:val="28"/>
                <w:szCs w:val="28"/>
              </w:rPr>
              <w:t>乙方：</w:t>
            </w:r>
          </w:p>
        </w:tc>
      </w:tr>
      <w:tr w14:paraId="0FDB916E">
        <w:tblPrEx>
          <w:tblCellMar>
            <w:top w:w="0" w:type="dxa"/>
            <w:left w:w="108" w:type="dxa"/>
            <w:bottom w:w="0" w:type="dxa"/>
            <w:right w:w="108" w:type="dxa"/>
          </w:tblCellMar>
        </w:tblPrEx>
        <w:tc>
          <w:tcPr>
            <w:tcW w:w="4261" w:type="dxa"/>
          </w:tcPr>
          <w:p w14:paraId="7F611247">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c>
          <w:tcPr>
            <w:tcW w:w="4261" w:type="dxa"/>
          </w:tcPr>
          <w:p w14:paraId="4300B141">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r>
      <w:tr w14:paraId="5F71D8D5">
        <w:tblPrEx>
          <w:tblCellMar>
            <w:top w:w="0" w:type="dxa"/>
            <w:left w:w="108" w:type="dxa"/>
            <w:bottom w:w="0" w:type="dxa"/>
            <w:right w:w="108" w:type="dxa"/>
          </w:tblCellMar>
        </w:tblPrEx>
        <w:tc>
          <w:tcPr>
            <w:tcW w:w="4261" w:type="dxa"/>
          </w:tcPr>
          <w:p w14:paraId="0F8ABFE0">
            <w:pPr>
              <w:spacing w:line="360" w:lineRule="auto"/>
              <w:rPr>
                <w:rFonts w:ascii="宋体" w:hAnsi="宋体" w:cs="宋体"/>
                <w:kern w:val="1"/>
                <w:sz w:val="28"/>
                <w:szCs w:val="28"/>
              </w:rPr>
            </w:pPr>
            <w:r>
              <w:rPr>
                <w:rFonts w:hint="eastAsia" w:ascii="宋体" w:hAnsi="宋体" w:cs="宋体"/>
                <w:kern w:val="1"/>
                <w:sz w:val="28"/>
                <w:szCs w:val="28"/>
              </w:rPr>
              <w:t>开户银行：</w:t>
            </w:r>
          </w:p>
        </w:tc>
        <w:tc>
          <w:tcPr>
            <w:tcW w:w="4261" w:type="dxa"/>
          </w:tcPr>
          <w:p w14:paraId="39089D63">
            <w:pPr>
              <w:spacing w:line="360" w:lineRule="auto"/>
              <w:rPr>
                <w:rFonts w:ascii="宋体" w:hAnsi="宋体" w:cs="宋体"/>
                <w:kern w:val="1"/>
                <w:sz w:val="28"/>
                <w:szCs w:val="28"/>
              </w:rPr>
            </w:pPr>
            <w:r>
              <w:rPr>
                <w:rFonts w:hint="eastAsia" w:ascii="宋体" w:hAnsi="宋体" w:cs="宋体"/>
                <w:kern w:val="1"/>
                <w:sz w:val="28"/>
                <w:szCs w:val="28"/>
              </w:rPr>
              <w:t>开户银行：</w:t>
            </w:r>
          </w:p>
        </w:tc>
      </w:tr>
      <w:tr w14:paraId="231725A2">
        <w:tblPrEx>
          <w:tblCellMar>
            <w:top w:w="0" w:type="dxa"/>
            <w:left w:w="108" w:type="dxa"/>
            <w:bottom w:w="0" w:type="dxa"/>
            <w:right w:w="108" w:type="dxa"/>
          </w:tblCellMar>
        </w:tblPrEx>
        <w:tc>
          <w:tcPr>
            <w:tcW w:w="4261" w:type="dxa"/>
          </w:tcPr>
          <w:p w14:paraId="7DF309CD">
            <w:pPr>
              <w:spacing w:line="360" w:lineRule="auto"/>
              <w:rPr>
                <w:rFonts w:ascii="宋体" w:hAnsi="宋体" w:cs="宋体"/>
                <w:kern w:val="1"/>
                <w:sz w:val="28"/>
                <w:szCs w:val="28"/>
              </w:rPr>
            </w:pPr>
            <w:r>
              <w:rPr>
                <w:rFonts w:hint="eastAsia" w:ascii="宋体" w:hAnsi="宋体" w:cs="宋体"/>
                <w:kern w:val="1"/>
                <w:sz w:val="28"/>
                <w:szCs w:val="28"/>
              </w:rPr>
              <w:t>账号：</w:t>
            </w:r>
          </w:p>
        </w:tc>
        <w:tc>
          <w:tcPr>
            <w:tcW w:w="4261" w:type="dxa"/>
          </w:tcPr>
          <w:p w14:paraId="0F635701">
            <w:pPr>
              <w:spacing w:line="360" w:lineRule="auto"/>
              <w:rPr>
                <w:rFonts w:ascii="宋体" w:hAnsi="宋体" w:cs="宋体"/>
                <w:kern w:val="1"/>
                <w:sz w:val="28"/>
                <w:szCs w:val="28"/>
              </w:rPr>
            </w:pPr>
            <w:r>
              <w:rPr>
                <w:rFonts w:hint="eastAsia" w:ascii="宋体" w:hAnsi="宋体" w:cs="宋体"/>
                <w:kern w:val="1"/>
                <w:sz w:val="28"/>
                <w:szCs w:val="28"/>
              </w:rPr>
              <w:t>账号：</w:t>
            </w:r>
          </w:p>
        </w:tc>
      </w:tr>
      <w:tr w14:paraId="31E8F348">
        <w:tblPrEx>
          <w:tblCellMar>
            <w:top w:w="0" w:type="dxa"/>
            <w:left w:w="108" w:type="dxa"/>
            <w:bottom w:w="0" w:type="dxa"/>
            <w:right w:w="108" w:type="dxa"/>
          </w:tblCellMar>
        </w:tblPrEx>
        <w:tc>
          <w:tcPr>
            <w:tcW w:w="4261" w:type="dxa"/>
          </w:tcPr>
          <w:p w14:paraId="45D0B6C4">
            <w:pPr>
              <w:spacing w:line="360" w:lineRule="auto"/>
              <w:rPr>
                <w:rFonts w:ascii="宋体" w:hAnsi="宋体" w:cs="宋体"/>
                <w:kern w:val="1"/>
                <w:sz w:val="28"/>
                <w:szCs w:val="28"/>
              </w:rPr>
            </w:pPr>
            <w:r>
              <w:rPr>
                <w:rFonts w:hint="eastAsia" w:ascii="宋体" w:hAnsi="宋体" w:cs="宋体"/>
                <w:kern w:val="1"/>
                <w:sz w:val="28"/>
                <w:szCs w:val="28"/>
              </w:rPr>
              <w:t>签约日期：</w:t>
            </w:r>
          </w:p>
        </w:tc>
        <w:tc>
          <w:tcPr>
            <w:tcW w:w="4261" w:type="dxa"/>
          </w:tcPr>
          <w:p w14:paraId="144C4ADE">
            <w:pPr>
              <w:spacing w:line="360" w:lineRule="auto"/>
              <w:rPr>
                <w:rFonts w:ascii="宋体" w:hAnsi="宋体" w:cs="宋体"/>
                <w:kern w:val="1"/>
                <w:sz w:val="28"/>
                <w:szCs w:val="28"/>
              </w:rPr>
            </w:pPr>
            <w:r>
              <w:rPr>
                <w:rFonts w:hint="eastAsia" w:ascii="宋体" w:hAnsi="宋体" w:cs="宋体"/>
                <w:kern w:val="1"/>
                <w:sz w:val="28"/>
                <w:szCs w:val="28"/>
              </w:rPr>
              <w:t>签约日期：</w:t>
            </w:r>
          </w:p>
        </w:tc>
      </w:tr>
    </w:tbl>
    <w:p w14:paraId="4B106185">
      <w:pPr>
        <w:spacing w:beforeLines="50" w:line="480" w:lineRule="exact"/>
        <w:ind w:left="420"/>
        <w:rPr>
          <w:rFonts w:asciiTheme="minorEastAsia" w:hAnsiTheme="minorEastAsia" w:eastAsiaTheme="minorEastAsia" w:cstheme="minorEastAsia"/>
          <w:color w:val="000000" w:themeColor="text1"/>
          <w:sz w:val="24"/>
        </w:rPr>
      </w:pPr>
    </w:p>
    <w:p w14:paraId="5837C372">
      <w:pPr>
        <w:spacing w:beforeLines="50" w:line="480" w:lineRule="exact"/>
        <w:ind w:left="420"/>
        <w:rPr>
          <w:rFonts w:asciiTheme="minorEastAsia" w:hAnsiTheme="minorEastAsia" w:eastAsiaTheme="minorEastAsia" w:cstheme="minorEastAsia"/>
          <w:color w:val="000000" w:themeColor="text1"/>
          <w:sz w:val="24"/>
        </w:rPr>
      </w:pPr>
    </w:p>
    <w:p w14:paraId="1067AB32">
      <w:pPr>
        <w:spacing w:beforeLines="50" w:line="480" w:lineRule="exact"/>
        <w:ind w:left="420"/>
        <w:rPr>
          <w:rFonts w:asciiTheme="minorEastAsia" w:hAnsiTheme="minorEastAsia" w:eastAsiaTheme="minorEastAsia" w:cstheme="minorEastAsia"/>
          <w:color w:val="000000" w:themeColor="text1"/>
          <w:sz w:val="24"/>
        </w:rPr>
      </w:pPr>
    </w:p>
    <w:p w14:paraId="39563927">
      <w:pPr>
        <w:spacing w:beforeLines="50" w:line="480" w:lineRule="exact"/>
        <w:ind w:left="420"/>
        <w:rPr>
          <w:rFonts w:asciiTheme="minorEastAsia" w:hAnsiTheme="minorEastAsia" w:eastAsiaTheme="minorEastAsia" w:cstheme="minorEastAsia"/>
          <w:color w:val="000000" w:themeColor="text1"/>
          <w:sz w:val="24"/>
        </w:rPr>
      </w:pPr>
    </w:p>
    <w:p w14:paraId="3AF7C5FF">
      <w:pPr>
        <w:spacing w:beforeLines="50" w:line="480" w:lineRule="exact"/>
        <w:ind w:left="420"/>
        <w:rPr>
          <w:rFonts w:asciiTheme="minorEastAsia" w:hAnsiTheme="minorEastAsia" w:eastAsiaTheme="minorEastAsia" w:cstheme="minorEastAsia"/>
          <w:color w:val="000000" w:themeColor="text1"/>
          <w:sz w:val="24"/>
        </w:rPr>
      </w:pPr>
    </w:p>
    <w:p w14:paraId="64A2A49B">
      <w:pPr>
        <w:autoSpaceDE w:val="0"/>
        <w:autoSpaceDN w:val="0"/>
        <w:spacing w:beforeLines="50" w:line="480" w:lineRule="exact"/>
        <w:ind w:right="-325" w:rightChars="-155"/>
        <w:jc w:val="left"/>
        <w:rPr>
          <w:rFonts w:asciiTheme="minorEastAsia" w:hAnsiTheme="minorEastAsia" w:eastAsiaTheme="minorEastAsia" w:cstheme="minorEastAsia"/>
          <w:color w:val="000000" w:themeColor="text1"/>
          <w:spacing w:val="-2"/>
          <w:sz w:val="24"/>
          <w:lang w:val="ru-RU"/>
        </w:rPr>
        <w:sectPr>
          <w:footerReference r:id="rId3" w:type="default"/>
          <w:pgSz w:w="11906" w:h="16838"/>
          <w:pgMar w:top="1440" w:right="1797" w:bottom="1440" w:left="1797" w:header="851" w:footer="992" w:gutter="0"/>
          <w:cols w:space="720" w:num="1"/>
          <w:docGrid w:type="lines" w:linePitch="312" w:charSpace="0"/>
        </w:sectPr>
      </w:pPr>
    </w:p>
    <w:p w14:paraId="0CE1791F">
      <w:pPr>
        <w:pStyle w:val="2"/>
        <w:rPr>
          <w:sz w:val="28"/>
          <w:szCs w:val="28"/>
        </w:rPr>
        <w:sectPr>
          <w:pgSz w:w="11906" w:h="16838"/>
          <w:pgMar w:top="1440" w:right="1797" w:bottom="1440" w:left="1797" w:header="851" w:footer="992" w:gutter="0"/>
          <w:cols w:space="720" w:num="1"/>
          <w:docGrid w:type="lines" w:linePitch="312" w:charSpace="0"/>
        </w:sectPr>
      </w:pPr>
      <w:r>
        <w:rPr>
          <w:rFonts w:hint="eastAsia"/>
          <w:sz w:val="28"/>
          <w:szCs w:val="28"/>
        </w:rPr>
        <w:t>附件一：技术要求</w:t>
      </w:r>
    </w:p>
    <w:p w14:paraId="720047AC">
      <w:pPr>
        <w:spacing w:line="560" w:lineRule="exact"/>
        <w:rPr>
          <w:rFonts w:asciiTheme="minorEastAsia" w:hAnsiTheme="minorEastAsia" w:eastAsiaTheme="minorEastAsia" w:cstheme="minorEastAsia"/>
          <w:b/>
          <w:bCs/>
          <w:color w:val="000000" w:themeColor="text1"/>
          <w:spacing w:val="-2"/>
          <w:sz w:val="24"/>
        </w:rPr>
      </w:pPr>
      <w:r>
        <w:rPr>
          <w:rFonts w:hint="eastAsia"/>
          <w:sz w:val="28"/>
          <w:szCs w:val="28"/>
        </w:rPr>
        <w:t>附件二：</w:t>
      </w:r>
      <w:r>
        <w:rPr>
          <w:rFonts w:hint="eastAsia" w:asciiTheme="minorEastAsia" w:hAnsiTheme="minorEastAsia" w:eastAsiaTheme="minorEastAsia" w:cstheme="minorEastAsia"/>
          <w:b/>
          <w:bCs/>
          <w:color w:val="000000" w:themeColor="text1"/>
          <w:spacing w:val="-2"/>
          <w:sz w:val="24"/>
        </w:rPr>
        <w:t>结算依据样表</w:t>
      </w:r>
    </w:p>
    <w:tbl>
      <w:tblPr>
        <w:tblStyle w:val="11"/>
        <w:tblW w:w="13900" w:type="dxa"/>
        <w:jc w:val="center"/>
        <w:tblLayout w:type="autofit"/>
        <w:tblCellMar>
          <w:top w:w="0" w:type="dxa"/>
          <w:left w:w="108" w:type="dxa"/>
          <w:bottom w:w="0" w:type="dxa"/>
          <w:right w:w="108" w:type="dxa"/>
        </w:tblCellMar>
      </w:tblPr>
      <w:tblGrid>
        <w:gridCol w:w="1249"/>
        <w:gridCol w:w="1250"/>
        <w:gridCol w:w="1250"/>
        <w:gridCol w:w="1682"/>
        <w:gridCol w:w="1680"/>
        <w:gridCol w:w="1456"/>
        <w:gridCol w:w="1455"/>
        <w:gridCol w:w="1215"/>
        <w:gridCol w:w="1230"/>
        <w:gridCol w:w="1433"/>
      </w:tblGrid>
      <w:tr w14:paraId="6EAC6B77">
        <w:tblPrEx>
          <w:tblCellMar>
            <w:top w:w="0" w:type="dxa"/>
            <w:left w:w="108" w:type="dxa"/>
            <w:bottom w:w="0" w:type="dxa"/>
            <w:right w:w="108" w:type="dxa"/>
          </w:tblCellMar>
        </w:tblPrEx>
        <w:trPr>
          <w:trHeight w:val="68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54AB8">
            <w:pPr>
              <w:widowControl/>
              <w:jc w:val="center"/>
              <w:textAlignment w:val="center"/>
              <w:rPr>
                <w:rFonts w:ascii="宋体" w:hAnsi="宋体" w:cs="宋体"/>
                <w:b/>
                <w:bCs/>
                <w:color w:val="000000"/>
                <w:sz w:val="24"/>
              </w:rPr>
            </w:pPr>
            <w:r>
              <w:rPr>
                <w:rFonts w:hint="eastAsia" w:ascii="宋体" w:hAnsi="宋体" w:cs="宋体"/>
                <w:b/>
                <w:bCs/>
                <w:color w:val="000000"/>
                <w:kern w:val="0"/>
                <w:sz w:val="24"/>
              </w:rPr>
              <w:t>交易类型</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F763">
            <w:pPr>
              <w:widowControl/>
              <w:jc w:val="center"/>
              <w:textAlignment w:val="center"/>
              <w:rPr>
                <w:rFonts w:ascii="宋体" w:hAnsi="宋体" w:cs="宋体"/>
                <w:b/>
                <w:bCs/>
                <w:color w:val="000000"/>
                <w:sz w:val="24"/>
              </w:rPr>
            </w:pPr>
            <w:r>
              <w:rPr>
                <w:rFonts w:hint="eastAsia" w:ascii="宋体" w:hAnsi="宋体" w:cs="宋体"/>
                <w:b/>
                <w:bCs/>
                <w:color w:val="000000"/>
                <w:kern w:val="0"/>
                <w:sz w:val="24"/>
              </w:rPr>
              <w:t>订单ID</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190C">
            <w:pPr>
              <w:widowControl/>
              <w:jc w:val="center"/>
              <w:textAlignment w:val="center"/>
              <w:rPr>
                <w:rFonts w:ascii="宋体" w:hAnsi="宋体" w:cs="宋体"/>
                <w:b/>
                <w:bCs/>
                <w:color w:val="000000"/>
                <w:sz w:val="24"/>
              </w:rPr>
            </w:pPr>
            <w:r>
              <w:rPr>
                <w:rFonts w:hint="eastAsia" w:ascii="宋体" w:hAnsi="宋体" w:cs="宋体"/>
                <w:b/>
                <w:bCs/>
                <w:color w:val="000000"/>
                <w:kern w:val="0"/>
                <w:sz w:val="24"/>
              </w:rPr>
              <w:t>扣费时间</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8803">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开始使用时间</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17463">
            <w:pPr>
              <w:widowControl/>
              <w:jc w:val="center"/>
              <w:textAlignment w:val="center"/>
              <w:rPr>
                <w:rFonts w:ascii="宋体" w:hAnsi="宋体" w:cs="宋体"/>
                <w:b/>
                <w:bCs/>
                <w:color w:val="000000"/>
                <w:sz w:val="24"/>
              </w:rPr>
            </w:pPr>
            <w:r>
              <w:rPr>
                <w:rFonts w:hint="eastAsia" w:ascii="宋体" w:hAnsi="宋体" w:cs="宋体"/>
                <w:b/>
                <w:bCs/>
                <w:color w:val="000000"/>
                <w:kern w:val="0"/>
                <w:sz w:val="24"/>
              </w:rPr>
              <w:t>结束使用时间</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1D626">
            <w:pPr>
              <w:widowControl/>
              <w:jc w:val="center"/>
              <w:textAlignment w:val="center"/>
              <w:rPr>
                <w:rFonts w:ascii="宋体" w:hAnsi="宋体" w:cs="宋体"/>
                <w:b/>
                <w:bCs/>
                <w:color w:val="000000"/>
                <w:sz w:val="24"/>
              </w:rPr>
            </w:pPr>
            <w:r>
              <w:rPr>
                <w:rFonts w:hint="eastAsia" w:ascii="宋体" w:hAnsi="宋体" w:cs="宋体"/>
                <w:b/>
                <w:bCs/>
                <w:color w:val="000000"/>
                <w:kern w:val="0"/>
                <w:sz w:val="24"/>
              </w:rPr>
              <w:t>资源ID</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A41D">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实例名称</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DCD9">
            <w:pPr>
              <w:widowControl/>
              <w:jc w:val="center"/>
              <w:textAlignment w:val="center"/>
              <w:rPr>
                <w:rFonts w:ascii="宋体" w:hAnsi="宋体" w:cs="宋体"/>
                <w:b/>
                <w:bCs/>
                <w:color w:val="000000"/>
                <w:sz w:val="24"/>
              </w:rPr>
            </w:pPr>
            <w:r>
              <w:rPr>
                <w:rFonts w:hint="eastAsia" w:ascii="宋体" w:hAnsi="宋体" w:cs="宋体"/>
                <w:b/>
                <w:bCs/>
                <w:color w:val="000000"/>
                <w:kern w:val="0"/>
                <w:sz w:val="24"/>
              </w:rPr>
              <w:t>配置描述</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4D3F9">
            <w:pPr>
              <w:widowControl/>
              <w:jc w:val="center"/>
              <w:textAlignment w:val="center"/>
              <w:rPr>
                <w:rFonts w:ascii="宋体" w:hAnsi="宋体" w:cs="宋体"/>
                <w:b/>
                <w:bCs/>
                <w:color w:val="000000"/>
                <w:sz w:val="24"/>
              </w:rPr>
            </w:pPr>
            <w:r>
              <w:rPr>
                <w:rFonts w:hint="eastAsia" w:ascii="宋体" w:hAnsi="宋体" w:cs="宋体"/>
                <w:b/>
                <w:bCs/>
                <w:color w:val="000000"/>
                <w:kern w:val="0"/>
                <w:sz w:val="24"/>
              </w:rPr>
              <w:t>项目名称</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C4CE">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地域</w:t>
            </w:r>
          </w:p>
        </w:tc>
      </w:tr>
      <w:tr w14:paraId="06AF6B0B">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0209">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9CAE">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6C2A">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111B">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C0418">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E8984">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389A4">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AD76A">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AC0B4">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F0AB">
            <w:pPr>
              <w:jc w:val="center"/>
              <w:rPr>
                <w:rFonts w:ascii="宋体" w:hAnsi="宋体" w:cs="宋体"/>
                <w:color w:val="000000"/>
                <w:sz w:val="22"/>
                <w:szCs w:val="22"/>
              </w:rPr>
            </w:pPr>
          </w:p>
        </w:tc>
      </w:tr>
      <w:tr w14:paraId="28BB4A9B">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BF20">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7DD0">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01CC">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423D">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D9937">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5F0D">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2F219">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D738">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B297">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3718">
            <w:pPr>
              <w:jc w:val="center"/>
              <w:rPr>
                <w:rFonts w:ascii="宋体" w:hAnsi="宋体" w:cs="宋体"/>
                <w:color w:val="000000"/>
                <w:sz w:val="22"/>
                <w:szCs w:val="22"/>
              </w:rPr>
            </w:pPr>
          </w:p>
        </w:tc>
      </w:tr>
      <w:tr w14:paraId="7F6AE35D">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10188">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64201">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3376">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BD99D">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FFCE">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0CF1">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FC67">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BF549">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8D143">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EC32">
            <w:pPr>
              <w:jc w:val="center"/>
              <w:rPr>
                <w:rFonts w:ascii="宋体" w:hAnsi="宋体" w:cs="宋体"/>
                <w:color w:val="000000"/>
                <w:sz w:val="22"/>
                <w:szCs w:val="22"/>
              </w:rPr>
            </w:pPr>
          </w:p>
        </w:tc>
      </w:tr>
      <w:tr w14:paraId="3053EB31">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CFA4">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1BF7">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C1F31">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C6C19">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81E2C">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606F">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CAE28">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17100">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4323">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9F467">
            <w:pPr>
              <w:jc w:val="center"/>
              <w:rPr>
                <w:rFonts w:ascii="宋体" w:hAnsi="宋体" w:cs="宋体"/>
                <w:color w:val="000000"/>
                <w:sz w:val="22"/>
                <w:szCs w:val="22"/>
              </w:rPr>
            </w:pPr>
          </w:p>
        </w:tc>
      </w:tr>
      <w:tr w14:paraId="281EE211">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32B21">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A2311">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3D4D9">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04AE5">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F09F">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DA65">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A8C2">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93D6B">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5E24">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D1602">
            <w:pPr>
              <w:jc w:val="center"/>
              <w:rPr>
                <w:rFonts w:ascii="宋体" w:hAnsi="宋体" w:cs="宋体"/>
                <w:color w:val="000000"/>
                <w:sz w:val="22"/>
                <w:szCs w:val="22"/>
              </w:rPr>
            </w:pPr>
          </w:p>
        </w:tc>
      </w:tr>
      <w:tr w14:paraId="626B6C60">
        <w:tblPrEx>
          <w:tblCellMar>
            <w:top w:w="0" w:type="dxa"/>
            <w:left w:w="108" w:type="dxa"/>
            <w:bottom w:w="0" w:type="dxa"/>
            <w:right w:w="108" w:type="dxa"/>
          </w:tblCellMar>
        </w:tblPrEx>
        <w:trPr>
          <w:trHeight w:val="54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0C85">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可用区</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B7FA">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原价(元)</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8EF96">
            <w:pPr>
              <w:widowControl/>
              <w:jc w:val="center"/>
              <w:textAlignment w:val="center"/>
              <w:rPr>
                <w:rFonts w:ascii="宋体" w:hAnsi="宋体" w:cs="宋体"/>
                <w:b/>
                <w:bCs/>
                <w:color w:val="000000"/>
                <w:sz w:val="24"/>
              </w:rPr>
            </w:pPr>
            <w:r>
              <w:rPr>
                <w:rFonts w:hint="eastAsia" w:ascii="宋体" w:hAnsi="宋体" w:cs="宋体"/>
                <w:b/>
                <w:bCs/>
                <w:color w:val="000000"/>
                <w:kern w:val="0"/>
                <w:sz w:val="24"/>
              </w:rPr>
              <w:t>折扣率</w:t>
            </w: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B883">
            <w:pPr>
              <w:widowControl/>
              <w:jc w:val="center"/>
              <w:textAlignment w:val="center"/>
              <w:rPr>
                <w:rFonts w:ascii="宋体" w:hAnsi="宋体" w:cs="宋体"/>
                <w:b/>
                <w:bCs/>
                <w:color w:val="000000"/>
                <w:sz w:val="24"/>
              </w:rPr>
            </w:pPr>
            <w:r>
              <w:rPr>
                <w:rFonts w:hint="eastAsia" w:ascii="宋体" w:hAnsi="宋体" w:cs="宋体"/>
                <w:b/>
                <w:bCs/>
                <w:color w:val="000000"/>
                <w:kern w:val="0"/>
                <w:sz w:val="24"/>
              </w:rPr>
              <w:t>优惠后总价(元)</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4728">
            <w:pPr>
              <w:widowControl/>
              <w:jc w:val="center"/>
              <w:textAlignment w:val="center"/>
              <w:rPr>
                <w:rFonts w:ascii="宋体" w:hAnsi="宋体" w:cs="宋体"/>
                <w:b/>
                <w:bCs/>
                <w:color w:val="000000"/>
                <w:sz w:val="24"/>
              </w:rPr>
            </w:pPr>
            <w:r>
              <w:rPr>
                <w:rFonts w:hint="eastAsia" w:ascii="宋体" w:hAnsi="宋体" w:cs="宋体"/>
                <w:b/>
                <w:bCs/>
                <w:color w:val="000000"/>
                <w:kern w:val="0"/>
                <w:sz w:val="24"/>
              </w:rPr>
              <w:t>优惠券支付(元)</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76EF6">
            <w:pPr>
              <w:widowControl/>
              <w:jc w:val="center"/>
              <w:textAlignment w:val="center"/>
              <w:rPr>
                <w:rFonts w:ascii="宋体" w:hAnsi="宋体" w:cs="宋体"/>
                <w:b/>
                <w:bCs/>
                <w:color w:val="000000"/>
                <w:sz w:val="24"/>
              </w:rPr>
            </w:pPr>
            <w:r>
              <w:rPr>
                <w:rFonts w:hint="eastAsia" w:ascii="宋体" w:hAnsi="宋体" w:cs="宋体"/>
                <w:b/>
                <w:bCs/>
                <w:color w:val="000000"/>
                <w:kern w:val="0"/>
                <w:sz w:val="24"/>
              </w:rPr>
              <w:t>赠送金支付(元)</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C147">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分成金支付(元)</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D309F">
            <w:pPr>
              <w:widowControl/>
              <w:jc w:val="center"/>
              <w:textAlignment w:val="center"/>
              <w:rPr>
                <w:rFonts w:ascii="宋体" w:hAnsi="宋体" w:cs="宋体"/>
                <w:b/>
                <w:bCs/>
                <w:color w:val="000000"/>
                <w:sz w:val="24"/>
              </w:rPr>
            </w:pPr>
            <w:r>
              <w:rPr>
                <w:rFonts w:hint="eastAsia" w:ascii="宋体" w:hAnsi="宋体" w:cs="宋体"/>
                <w:b/>
                <w:bCs/>
                <w:color w:val="000000"/>
                <w:kern w:val="0"/>
                <w:sz w:val="24"/>
              </w:rPr>
              <w:t>现金支付(元)</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57F0A">
            <w:pPr>
              <w:widowControl/>
              <w:jc w:val="center"/>
              <w:textAlignment w:val="center"/>
              <w:rPr>
                <w:rFonts w:ascii="宋体" w:hAnsi="宋体" w:cs="宋体"/>
                <w:b/>
                <w:bCs/>
                <w:color w:val="000000"/>
                <w:sz w:val="24"/>
              </w:rPr>
            </w:pPr>
            <w:r>
              <w:rPr>
                <w:rFonts w:hint="eastAsia" w:ascii="宋体" w:hAnsi="宋体" w:cs="宋体"/>
                <w:b/>
                <w:bCs/>
                <w:color w:val="000000"/>
                <w:kern w:val="0"/>
                <w:sz w:val="24"/>
              </w:rPr>
              <w:t>产品编码</w:t>
            </w: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1542">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子产品编码</w:t>
            </w:r>
          </w:p>
        </w:tc>
      </w:tr>
      <w:tr w14:paraId="4B6D18FF">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DFD5">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76F13">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B78E">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D0483">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476F1">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7C00">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480B9">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830D">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B2A93">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C9E78">
            <w:pPr>
              <w:jc w:val="center"/>
              <w:rPr>
                <w:rFonts w:ascii="宋体" w:hAnsi="宋体" w:cs="宋体"/>
                <w:color w:val="000000"/>
                <w:sz w:val="22"/>
                <w:szCs w:val="22"/>
              </w:rPr>
            </w:pPr>
          </w:p>
        </w:tc>
      </w:tr>
      <w:tr w14:paraId="298FEB3D">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C52C">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D225">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D6B5">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EDFB8">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911B1">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18EF">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33E1C">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6629">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0A94F">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9F3D">
            <w:pPr>
              <w:jc w:val="center"/>
              <w:rPr>
                <w:rFonts w:ascii="宋体" w:hAnsi="宋体" w:cs="宋体"/>
                <w:color w:val="000000"/>
                <w:sz w:val="22"/>
                <w:szCs w:val="22"/>
              </w:rPr>
            </w:pPr>
          </w:p>
        </w:tc>
      </w:tr>
      <w:tr w14:paraId="6318BDD1">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C456">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465A">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BE166">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2ED74">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9F47">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AD04">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C2E26">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08D6">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62EA3">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B666D">
            <w:pPr>
              <w:jc w:val="center"/>
              <w:rPr>
                <w:rFonts w:ascii="宋体" w:hAnsi="宋体" w:cs="宋体"/>
                <w:color w:val="000000"/>
                <w:sz w:val="22"/>
                <w:szCs w:val="22"/>
              </w:rPr>
            </w:pPr>
          </w:p>
        </w:tc>
      </w:tr>
      <w:tr w14:paraId="1BEBF04B">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E230B">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E9B6">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6DE5D">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D220">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BA70C">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4617">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283C">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8274D">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F669">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91CC">
            <w:pPr>
              <w:jc w:val="center"/>
              <w:rPr>
                <w:rFonts w:ascii="宋体" w:hAnsi="宋体" w:cs="宋体"/>
                <w:color w:val="000000"/>
                <w:sz w:val="22"/>
                <w:szCs w:val="22"/>
              </w:rPr>
            </w:pPr>
          </w:p>
        </w:tc>
      </w:tr>
      <w:tr w14:paraId="41DAC3CA">
        <w:tblPrEx>
          <w:tblCellMar>
            <w:top w:w="0" w:type="dxa"/>
            <w:left w:w="108" w:type="dxa"/>
            <w:bottom w:w="0" w:type="dxa"/>
            <w:right w:w="108" w:type="dxa"/>
          </w:tblCellMar>
        </w:tblPrEx>
        <w:trPr>
          <w:trHeight w:val="460" w:hRule="atLeast"/>
          <w:jc w:val="center"/>
        </w:trPr>
        <w:tc>
          <w:tcPr>
            <w:tcW w:w="12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62016">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5D6D">
            <w:pPr>
              <w:jc w:val="center"/>
              <w:rPr>
                <w:rFonts w:ascii="宋体" w:hAnsi="宋体" w:cs="宋体"/>
                <w:color w:val="000000"/>
                <w:sz w:val="22"/>
                <w:szCs w:val="22"/>
              </w:rPr>
            </w:pP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B2FB">
            <w:pPr>
              <w:jc w:val="center"/>
              <w:rPr>
                <w:rFonts w:ascii="宋体" w:hAnsi="宋体" w:cs="宋体"/>
                <w:color w:val="000000"/>
                <w:sz w:val="22"/>
                <w:szCs w:val="22"/>
              </w:rPr>
            </w:pPr>
          </w:p>
        </w:tc>
        <w:tc>
          <w:tcPr>
            <w:tcW w:w="1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98438">
            <w:pPr>
              <w:jc w:val="center"/>
              <w:rPr>
                <w:rFonts w:ascii="宋体" w:hAnsi="宋体" w:cs="宋体"/>
                <w:color w:val="000000"/>
                <w:sz w:val="22"/>
                <w:szCs w:val="22"/>
              </w:rPr>
            </w:pP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51D9">
            <w:pPr>
              <w:jc w:val="center"/>
              <w:rPr>
                <w:rFonts w:ascii="宋体" w:hAnsi="宋体" w:cs="宋体"/>
                <w:color w:val="000000"/>
                <w:sz w:val="22"/>
                <w:szCs w:val="22"/>
              </w:rPr>
            </w:pP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2B08">
            <w:pPr>
              <w:jc w:val="center"/>
              <w:rPr>
                <w:rFonts w:ascii="宋体" w:hAnsi="宋体" w:cs="宋体"/>
                <w:color w:val="000000"/>
                <w:sz w:val="22"/>
                <w:szCs w:val="22"/>
              </w:rPr>
            </w:pP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9A85">
            <w:pPr>
              <w:jc w:val="center"/>
              <w:rPr>
                <w:rFonts w:ascii="宋体" w:hAnsi="宋体" w:cs="宋体"/>
                <w:color w:val="000000"/>
                <w:sz w:val="22"/>
                <w:szCs w:val="22"/>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E4AD">
            <w:pPr>
              <w:jc w:val="center"/>
              <w:rPr>
                <w:rFonts w:ascii="宋体" w:hAnsi="宋体" w:cs="宋体"/>
                <w:color w:val="000000"/>
                <w:sz w:val="22"/>
                <w:szCs w:val="22"/>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9676">
            <w:pPr>
              <w:jc w:val="center"/>
              <w:rPr>
                <w:rFonts w:ascii="宋体" w:hAnsi="宋体" w:cs="宋体"/>
                <w:color w:val="000000"/>
                <w:sz w:val="22"/>
                <w:szCs w:val="22"/>
              </w:rPr>
            </w:pPr>
          </w:p>
        </w:tc>
        <w:tc>
          <w:tcPr>
            <w:tcW w:w="1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656D7">
            <w:pPr>
              <w:jc w:val="center"/>
              <w:rPr>
                <w:rFonts w:ascii="宋体" w:hAnsi="宋体" w:cs="宋体"/>
                <w:color w:val="000000"/>
                <w:sz w:val="22"/>
                <w:szCs w:val="22"/>
              </w:rPr>
            </w:pPr>
          </w:p>
        </w:tc>
      </w:tr>
    </w:tbl>
    <w:p w14:paraId="02826715">
      <w:pPr>
        <w:pStyle w:val="2"/>
        <w:rPr>
          <w:sz w:val="28"/>
          <w:szCs w:val="28"/>
        </w:rPr>
      </w:pPr>
    </w:p>
    <w:sectPr>
      <w:pgSz w:w="16838" w:h="11906" w:orient="landscape"/>
      <w:pgMar w:top="1797" w:right="1440" w:bottom="1797"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5317A">
    <w:pPr>
      <w:pStyle w:val="7"/>
      <w:ind w:firstLine="540"/>
      <w:jc w:val="center"/>
      <w:rPr>
        <w:rFonts w:asciiTheme="minorEastAsia" w:hAnsiTheme="minorEastAsia"/>
      </w:rPr>
    </w:pPr>
    <w:r>
      <w:rPr>
        <w:rFonts w:asciiTheme="minorEastAsia" w:hAnsiTheme="minorEastAsia"/>
        <w:sz w:val="24"/>
        <w:szCs w:val="24"/>
      </w:rPr>
      <w:fldChar w:fldCharType="begin"/>
    </w:r>
    <w:r>
      <w:rPr>
        <w:rFonts w:asciiTheme="minorEastAsia" w:hAnsiTheme="minorEastAsia"/>
      </w:rPr>
      <w:instrText xml:space="preserve">PAGE</w:instrText>
    </w:r>
    <w:r>
      <w:rPr>
        <w:rFonts w:asciiTheme="minorEastAsia" w:hAnsiTheme="minorEastAsia"/>
        <w:sz w:val="24"/>
        <w:szCs w:val="24"/>
      </w:rPr>
      <w:fldChar w:fldCharType="separate"/>
    </w:r>
    <w:r>
      <w:rPr>
        <w:rFonts w:asciiTheme="minorEastAsia" w:hAnsiTheme="minorEastAsia"/>
      </w:rPr>
      <w:t>11</w:t>
    </w:r>
    <w:r>
      <w:rPr>
        <w:rFonts w:asciiTheme="minorEastAsia" w:hAnsiTheme="minorEastAsia"/>
        <w:sz w:val="24"/>
        <w:szCs w:val="24"/>
      </w:rPr>
      <w:fldChar w:fldCharType="end"/>
    </w:r>
    <w:r>
      <w:rPr>
        <w:rFonts w:asciiTheme="minorEastAsia" w:hAnsiTheme="minorEastAsia"/>
        <w:lang w:val="zh-CN"/>
      </w:rPr>
      <w:t xml:space="preserve"> / </w:t>
    </w:r>
    <w:r>
      <w:rPr>
        <w:rFonts w:asciiTheme="minorEastAsia" w:hAnsiTheme="minorEastAsia"/>
        <w:sz w:val="24"/>
        <w:szCs w:val="24"/>
      </w:rPr>
      <w:fldChar w:fldCharType="begin"/>
    </w:r>
    <w:r>
      <w:rPr>
        <w:rFonts w:asciiTheme="minorEastAsia" w:hAnsiTheme="minorEastAsia"/>
      </w:rPr>
      <w:instrText xml:space="preserve">NUMPAGES</w:instrText>
    </w:r>
    <w:r>
      <w:rPr>
        <w:rFonts w:asciiTheme="minorEastAsia" w:hAnsiTheme="minorEastAsia"/>
        <w:sz w:val="24"/>
        <w:szCs w:val="24"/>
      </w:rPr>
      <w:fldChar w:fldCharType="separate"/>
    </w:r>
    <w:r>
      <w:rPr>
        <w:rFonts w:asciiTheme="minorEastAsia" w:hAnsiTheme="minorEastAsia"/>
      </w:rPr>
      <w:t>13</w:t>
    </w:r>
    <w:r>
      <w:rPr>
        <w:rFonts w:asciiTheme="minorEastAsia" w:hAnsiTheme="minorEastAsia"/>
        <w:sz w:val="24"/>
        <w:szCs w:val="24"/>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AAF161"/>
    <w:multiLevelType w:val="singleLevel"/>
    <w:tmpl w:val="79AAF161"/>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2NDU1MjI0tDQzMrBQ0lEKTi0uzszPAykwrgUA7bdt9SwAAAA="/>
  </w:docVars>
  <w:rsids>
    <w:rsidRoot w:val="0027417E"/>
    <w:rsid w:val="00004E8D"/>
    <w:rsid w:val="00054B76"/>
    <w:rsid w:val="000619F4"/>
    <w:rsid w:val="00066758"/>
    <w:rsid w:val="00066F23"/>
    <w:rsid w:val="0007684D"/>
    <w:rsid w:val="00083A2B"/>
    <w:rsid w:val="00096665"/>
    <w:rsid w:val="000A56F6"/>
    <w:rsid w:val="000B1585"/>
    <w:rsid w:val="000B2F20"/>
    <w:rsid w:val="000C5F7F"/>
    <w:rsid w:val="000F180B"/>
    <w:rsid w:val="00101D55"/>
    <w:rsid w:val="00140A89"/>
    <w:rsid w:val="00156BA0"/>
    <w:rsid w:val="001750AC"/>
    <w:rsid w:val="001924F4"/>
    <w:rsid w:val="001D2138"/>
    <w:rsid w:val="002042F6"/>
    <w:rsid w:val="002104FA"/>
    <w:rsid w:val="00215DFE"/>
    <w:rsid w:val="0027417E"/>
    <w:rsid w:val="00287457"/>
    <w:rsid w:val="00297645"/>
    <w:rsid w:val="002A6D43"/>
    <w:rsid w:val="002B0507"/>
    <w:rsid w:val="002B3F63"/>
    <w:rsid w:val="002C4660"/>
    <w:rsid w:val="002D2117"/>
    <w:rsid w:val="00307DF2"/>
    <w:rsid w:val="003101C3"/>
    <w:rsid w:val="00336501"/>
    <w:rsid w:val="00350516"/>
    <w:rsid w:val="00390796"/>
    <w:rsid w:val="00391243"/>
    <w:rsid w:val="003C5694"/>
    <w:rsid w:val="003D0972"/>
    <w:rsid w:val="003D15BF"/>
    <w:rsid w:val="003E7DB5"/>
    <w:rsid w:val="003F207B"/>
    <w:rsid w:val="004069BC"/>
    <w:rsid w:val="00406B70"/>
    <w:rsid w:val="00410D3C"/>
    <w:rsid w:val="00412C46"/>
    <w:rsid w:val="00413BC9"/>
    <w:rsid w:val="00414205"/>
    <w:rsid w:val="004344A6"/>
    <w:rsid w:val="00443FA4"/>
    <w:rsid w:val="004447CB"/>
    <w:rsid w:val="00451E47"/>
    <w:rsid w:val="004703EF"/>
    <w:rsid w:val="0047510A"/>
    <w:rsid w:val="004A6529"/>
    <w:rsid w:val="004C5C3E"/>
    <w:rsid w:val="004C7299"/>
    <w:rsid w:val="004D779F"/>
    <w:rsid w:val="004F70BB"/>
    <w:rsid w:val="00506C8C"/>
    <w:rsid w:val="0051110C"/>
    <w:rsid w:val="00512669"/>
    <w:rsid w:val="005173B0"/>
    <w:rsid w:val="0052085A"/>
    <w:rsid w:val="00531D90"/>
    <w:rsid w:val="0057266A"/>
    <w:rsid w:val="00592D65"/>
    <w:rsid w:val="0059477C"/>
    <w:rsid w:val="005B0239"/>
    <w:rsid w:val="005C25E0"/>
    <w:rsid w:val="005D1347"/>
    <w:rsid w:val="005D48BB"/>
    <w:rsid w:val="005E55C7"/>
    <w:rsid w:val="00611B96"/>
    <w:rsid w:val="00626DC3"/>
    <w:rsid w:val="00635E90"/>
    <w:rsid w:val="00654540"/>
    <w:rsid w:val="0068479B"/>
    <w:rsid w:val="0068672D"/>
    <w:rsid w:val="00696D96"/>
    <w:rsid w:val="00697D0D"/>
    <w:rsid w:val="00697DDA"/>
    <w:rsid w:val="006A7EBA"/>
    <w:rsid w:val="006B069B"/>
    <w:rsid w:val="006C4F85"/>
    <w:rsid w:val="006F1B26"/>
    <w:rsid w:val="006F3A72"/>
    <w:rsid w:val="00712736"/>
    <w:rsid w:val="007210F3"/>
    <w:rsid w:val="00740EB7"/>
    <w:rsid w:val="00741B2B"/>
    <w:rsid w:val="00741E0A"/>
    <w:rsid w:val="00743355"/>
    <w:rsid w:val="0074754B"/>
    <w:rsid w:val="007668CE"/>
    <w:rsid w:val="0079049A"/>
    <w:rsid w:val="00794FEA"/>
    <w:rsid w:val="007A1055"/>
    <w:rsid w:val="007A7367"/>
    <w:rsid w:val="007C0CA1"/>
    <w:rsid w:val="007D0C8B"/>
    <w:rsid w:val="007E22B7"/>
    <w:rsid w:val="007F4D2B"/>
    <w:rsid w:val="00820BE9"/>
    <w:rsid w:val="00861035"/>
    <w:rsid w:val="00861D5C"/>
    <w:rsid w:val="00867682"/>
    <w:rsid w:val="00867872"/>
    <w:rsid w:val="00882462"/>
    <w:rsid w:val="0089311E"/>
    <w:rsid w:val="008B736E"/>
    <w:rsid w:val="008B7D0B"/>
    <w:rsid w:val="00917DA4"/>
    <w:rsid w:val="00920AF7"/>
    <w:rsid w:val="00926E2C"/>
    <w:rsid w:val="00966EE3"/>
    <w:rsid w:val="009815D1"/>
    <w:rsid w:val="009961D1"/>
    <w:rsid w:val="009A6A4B"/>
    <w:rsid w:val="009B0813"/>
    <w:rsid w:val="009B5848"/>
    <w:rsid w:val="009D0A74"/>
    <w:rsid w:val="009E51E0"/>
    <w:rsid w:val="00A04AC5"/>
    <w:rsid w:val="00A200EF"/>
    <w:rsid w:val="00A2277C"/>
    <w:rsid w:val="00A27D16"/>
    <w:rsid w:val="00A4546C"/>
    <w:rsid w:val="00A570FF"/>
    <w:rsid w:val="00A62044"/>
    <w:rsid w:val="00A73A2F"/>
    <w:rsid w:val="00A94787"/>
    <w:rsid w:val="00A95291"/>
    <w:rsid w:val="00AB3C44"/>
    <w:rsid w:val="00B56184"/>
    <w:rsid w:val="00B77661"/>
    <w:rsid w:val="00B84826"/>
    <w:rsid w:val="00BA7EEF"/>
    <w:rsid w:val="00BD0203"/>
    <w:rsid w:val="00C217AA"/>
    <w:rsid w:val="00C25052"/>
    <w:rsid w:val="00C32325"/>
    <w:rsid w:val="00C372B6"/>
    <w:rsid w:val="00C427B0"/>
    <w:rsid w:val="00C4694F"/>
    <w:rsid w:val="00C72DB2"/>
    <w:rsid w:val="00C8461B"/>
    <w:rsid w:val="00C8707D"/>
    <w:rsid w:val="00C94786"/>
    <w:rsid w:val="00CA18FB"/>
    <w:rsid w:val="00CB71FE"/>
    <w:rsid w:val="00CC019F"/>
    <w:rsid w:val="00CD0242"/>
    <w:rsid w:val="00CF07F3"/>
    <w:rsid w:val="00CF6C2B"/>
    <w:rsid w:val="00D16B79"/>
    <w:rsid w:val="00D23B6B"/>
    <w:rsid w:val="00D32E75"/>
    <w:rsid w:val="00D720C0"/>
    <w:rsid w:val="00D82B1B"/>
    <w:rsid w:val="00D96F31"/>
    <w:rsid w:val="00DC7388"/>
    <w:rsid w:val="00DE7E97"/>
    <w:rsid w:val="00E65CE7"/>
    <w:rsid w:val="00E71F65"/>
    <w:rsid w:val="00EA1504"/>
    <w:rsid w:val="00EA412A"/>
    <w:rsid w:val="00EA4DAB"/>
    <w:rsid w:val="00EB1655"/>
    <w:rsid w:val="00EB29C7"/>
    <w:rsid w:val="00F57C3F"/>
    <w:rsid w:val="00F9114E"/>
    <w:rsid w:val="00F95D98"/>
    <w:rsid w:val="00FA021A"/>
    <w:rsid w:val="00FA1EF0"/>
    <w:rsid w:val="00FE28E6"/>
    <w:rsid w:val="00FF0631"/>
    <w:rsid w:val="05C02F2A"/>
    <w:rsid w:val="07317690"/>
    <w:rsid w:val="0C3853F0"/>
    <w:rsid w:val="114E72C8"/>
    <w:rsid w:val="135E69D0"/>
    <w:rsid w:val="2ACD7FB1"/>
    <w:rsid w:val="2D0F04FC"/>
    <w:rsid w:val="30353509"/>
    <w:rsid w:val="36707536"/>
    <w:rsid w:val="3C973023"/>
    <w:rsid w:val="40707EC3"/>
    <w:rsid w:val="42D43DA6"/>
    <w:rsid w:val="46ED471A"/>
    <w:rsid w:val="480F6517"/>
    <w:rsid w:val="488909CF"/>
    <w:rsid w:val="4B641C57"/>
    <w:rsid w:val="51CF7F87"/>
    <w:rsid w:val="5F003A4C"/>
    <w:rsid w:val="6D450872"/>
    <w:rsid w:val="6F220C84"/>
    <w:rsid w:val="74831086"/>
    <w:rsid w:val="7E561961"/>
    <w:rsid w:val="7EB14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semiHidden/>
    <w:unhideWhenUsed/>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cs="Courier New"/>
    </w:rPr>
  </w:style>
  <w:style w:type="paragraph" w:styleId="3">
    <w:name w:val="Document Map"/>
    <w:basedOn w:val="1"/>
    <w:link w:val="20"/>
    <w:qFormat/>
    <w:uiPriority w:val="0"/>
    <w:rPr>
      <w:rFonts w:ascii="宋体"/>
      <w:sz w:val="18"/>
      <w:szCs w:val="18"/>
    </w:rPr>
  </w:style>
  <w:style w:type="paragraph" w:styleId="4">
    <w:name w:val="annotation text"/>
    <w:basedOn w:val="1"/>
    <w:link w:val="21"/>
    <w:qFormat/>
    <w:uiPriority w:val="0"/>
    <w:pPr>
      <w:jc w:val="left"/>
    </w:pPr>
  </w:style>
  <w:style w:type="paragraph" w:styleId="5">
    <w:name w:val="Body Text Indent"/>
    <w:basedOn w:val="1"/>
    <w:link w:val="18"/>
    <w:qFormat/>
    <w:uiPriority w:val="0"/>
    <w:pPr>
      <w:ind w:firstLine="630" w:firstLineChars="225"/>
    </w:pPr>
    <w:rPr>
      <w:rFonts w:ascii="宋体" w:hAnsi="宋体"/>
      <w:sz w:val="28"/>
    </w:rPr>
  </w:style>
  <w:style w:type="paragraph" w:styleId="6">
    <w:name w:val="Balloon Text"/>
    <w:basedOn w:val="1"/>
    <w:link w:val="23"/>
    <w:qFormat/>
    <w:uiPriority w:val="0"/>
    <w:rPr>
      <w:sz w:val="18"/>
      <w:szCs w:val="18"/>
    </w:rPr>
  </w:style>
  <w:style w:type="paragraph" w:styleId="7">
    <w:name w:val="footer"/>
    <w:basedOn w:val="1"/>
    <w:link w:val="17"/>
    <w:qFormat/>
    <w:uiPriority w:val="99"/>
    <w:pPr>
      <w:tabs>
        <w:tab w:val="center" w:pos="4153"/>
        <w:tab w:val="right" w:pos="8306"/>
      </w:tabs>
      <w:snapToGrid w:val="0"/>
      <w:jc w:val="left"/>
    </w:pPr>
    <w:rPr>
      <w:sz w:val="18"/>
      <w:szCs w:val="18"/>
    </w:rPr>
  </w:style>
  <w:style w:type="paragraph" w:styleId="8">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99"/>
    <w:rPr>
      <w:sz w:val="24"/>
    </w:rPr>
  </w:style>
  <w:style w:type="paragraph" w:styleId="10">
    <w:name w:val="annotation subject"/>
    <w:basedOn w:val="4"/>
    <w:next w:val="4"/>
    <w:link w:val="22"/>
    <w:qFormat/>
    <w:uiPriority w:val="0"/>
    <w:rPr>
      <w:b/>
      <w:bCs/>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semiHidden/>
    <w:unhideWhenUsed/>
    <w:qFormat/>
    <w:uiPriority w:val="99"/>
    <w:rPr>
      <w:color w:val="000000"/>
      <w:sz w:val="20"/>
      <w:szCs w:val="20"/>
      <w:u w:val="none"/>
    </w:rPr>
  </w:style>
  <w:style w:type="character" w:styleId="15">
    <w:name w:val="annotation reference"/>
    <w:qFormat/>
    <w:uiPriority w:val="0"/>
    <w:rPr>
      <w:sz w:val="21"/>
      <w:szCs w:val="21"/>
    </w:rPr>
  </w:style>
  <w:style w:type="character" w:customStyle="1" w:styleId="16">
    <w:name w:val="页眉 Char"/>
    <w:link w:val="8"/>
    <w:qFormat/>
    <w:uiPriority w:val="0"/>
    <w:rPr>
      <w:kern w:val="2"/>
      <w:sz w:val="18"/>
      <w:szCs w:val="18"/>
    </w:rPr>
  </w:style>
  <w:style w:type="character" w:customStyle="1" w:styleId="17">
    <w:name w:val="页脚 Char"/>
    <w:link w:val="7"/>
    <w:qFormat/>
    <w:uiPriority w:val="99"/>
    <w:rPr>
      <w:kern w:val="2"/>
      <w:sz w:val="18"/>
      <w:szCs w:val="18"/>
    </w:rPr>
  </w:style>
  <w:style w:type="character" w:customStyle="1" w:styleId="18">
    <w:name w:val="正文文本缩进 Char"/>
    <w:link w:val="5"/>
    <w:qFormat/>
    <w:uiPriority w:val="0"/>
    <w:rPr>
      <w:rFonts w:ascii="宋体" w:hAnsi="宋体"/>
      <w:kern w:val="2"/>
      <w:sz w:val="28"/>
      <w:szCs w:val="24"/>
    </w:rPr>
  </w:style>
  <w:style w:type="paragraph" w:customStyle="1" w:styleId="19">
    <w:name w:val="p0"/>
    <w:basedOn w:val="1"/>
    <w:qFormat/>
    <w:uiPriority w:val="0"/>
    <w:pPr>
      <w:widowControl/>
      <w:jc w:val="left"/>
    </w:pPr>
    <w:rPr>
      <w:rFonts w:ascii="宋体" w:hAnsi="宋体" w:cs="宋体"/>
      <w:kern w:val="0"/>
      <w:sz w:val="24"/>
    </w:rPr>
  </w:style>
  <w:style w:type="character" w:customStyle="1" w:styleId="20">
    <w:name w:val="文档结构图 Char"/>
    <w:link w:val="3"/>
    <w:qFormat/>
    <w:uiPriority w:val="0"/>
    <w:rPr>
      <w:rFonts w:ascii="宋体"/>
      <w:kern w:val="2"/>
      <w:sz w:val="18"/>
      <w:szCs w:val="18"/>
    </w:rPr>
  </w:style>
  <w:style w:type="character" w:customStyle="1" w:styleId="21">
    <w:name w:val="批注文字 Char"/>
    <w:link w:val="4"/>
    <w:qFormat/>
    <w:uiPriority w:val="0"/>
    <w:rPr>
      <w:kern w:val="2"/>
      <w:sz w:val="21"/>
      <w:szCs w:val="24"/>
    </w:rPr>
  </w:style>
  <w:style w:type="character" w:customStyle="1" w:styleId="22">
    <w:name w:val="批注主题 Char"/>
    <w:link w:val="10"/>
    <w:qFormat/>
    <w:uiPriority w:val="0"/>
    <w:rPr>
      <w:b/>
      <w:bCs/>
      <w:kern w:val="2"/>
      <w:sz w:val="21"/>
      <w:szCs w:val="24"/>
    </w:rPr>
  </w:style>
  <w:style w:type="character" w:customStyle="1" w:styleId="23">
    <w:name w:val="批注框文本 Char"/>
    <w:link w:val="6"/>
    <w:qFormat/>
    <w:uiPriority w:val="0"/>
    <w:rPr>
      <w:kern w:val="2"/>
      <w:sz w:val="18"/>
      <w:szCs w:val="18"/>
    </w:rPr>
  </w:style>
  <w:style w:type="paragraph" w:styleId="24">
    <w:name w:val="List Paragraph"/>
    <w:basedOn w:val="1"/>
    <w:qFormat/>
    <w:uiPriority w:val="99"/>
    <w:pPr>
      <w:ind w:firstLine="420" w:firstLineChars="200"/>
    </w:pPr>
  </w:style>
  <w:style w:type="paragraph" w:customStyle="1" w:styleId="25">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26">
    <w:name w:val="传神二级标题"/>
    <w:basedOn w:val="1"/>
    <w:qFormat/>
    <w:uiPriority w:val="0"/>
    <w:pPr>
      <w:spacing w:line="440" w:lineRule="exact"/>
    </w:pPr>
    <w:rPr>
      <w:rFonts w:ascii="微软雅黑" w:hAnsi="微软雅黑" w:eastAsia="微软雅黑"/>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7536FA-3BD1-4F6B-9F68-AC45A33BB6EC}">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13</Pages>
  <Words>4604</Words>
  <Characters>4712</Characters>
  <Lines>38</Lines>
  <Paragraphs>10</Paragraphs>
  <TotalTime>4</TotalTime>
  <ScaleCrop>false</ScaleCrop>
  <LinksUpToDate>false</LinksUpToDate>
  <CharactersWithSpaces>5141</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2020-09-09T02:15:00Z</dcterms:created>
  <dc:creator>微软用户</dc:creator>
  <cp:lastModifiedBy>原东东</cp:lastModifiedBy>
  <cp:lastPrinted>2017-03-24T07:54:00Z</cp:lastPrinted>
  <dcterms:modified xsi:type="dcterms:W3CDTF">2025-10-29T07:04:12Z</dcterms:modified>
  <dc:title>合同登记编号：</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2F830F22231E4F7DB699A3A2A720DECE_13</vt:lpwstr>
  </property>
  <property fmtid="{D5CDD505-2E9C-101B-9397-08002B2CF9AE}" pid="4" name="KSOTemplateDocerSaveRecord">
    <vt:lpwstr>eyJoZGlkIjoiNGUwMWI0ZDFkYjdkZDUyZWY4ZjdmZGMxZGJmOTRhOTMiLCJ1c2VySWQiOiIyMzAzNzQ3NjMifQ==</vt:lpwstr>
  </property>
</Properties>
</file>