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7688E">
      <w:pPr>
        <w:kinsoku/>
        <w:overflowPunct w:val="0"/>
        <w:spacing w:line="360" w:lineRule="auto"/>
        <w:ind w:firstLine="883" w:firstLineChars="200"/>
        <w:jc w:val="center"/>
        <w:rPr>
          <w:rFonts w:cs="宋体" w:asciiTheme="minorEastAsia" w:hAnsiTheme="minorEastAsia" w:eastAsiaTheme="minorEastAsia"/>
          <w:b/>
          <w:bCs/>
          <w:sz w:val="44"/>
          <w:szCs w:val="44"/>
        </w:rPr>
      </w:pPr>
      <w:bookmarkStart w:id="0" w:name="_GoBack"/>
      <w:bookmarkEnd w:id="0"/>
      <w:r>
        <w:rPr>
          <w:rFonts w:cs="宋体" w:asciiTheme="minorEastAsia" w:hAnsiTheme="minorEastAsia" w:eastAsiaTheme="minorEastAsia"/>
          <w:b/>
          <w:bCs/>
          <w:sz w:val="44"/>
          <w:szCs w:val="44"/>
        </w:rPr>
        <w:t>清华大学深圳国际研究生院</w:t>
      </w:r>
    </w:p>
    <w:p w14:paraId="50C18D35">
      <w:pPr>
        <w:kinsoku/>
        <w:overflowPunct w:val="0"/>
        <w:spacing w:line="360" w:lineRule="auto"/>
        <w:ind w:firstLine="723" w:firstLineChars="200"/>
        <w:jc w:val="center"/>
        <w:rPr>
          <w:rFonts w:cs="Times New Roman" w:asciiTheme="minorEastAsia" w:hAnsiTheme="minorEastAsia" w:eastAsiaTheme="minorEastAsia"/>
          <w:sz w:val="36"/>
          <w:szCs w:val="36"/>
        </w:rPr>
      </w:pPr>
      <w:r>
        <w:rPr>
          <w:rFonts w:hint="eastAsia" w:cs="宋体" w:asciiTheme="minorEastAsia" w:hAnsiTheme="minorEastAsia" w:eastAsiaTheme="minorEastAsia"/>
          <w:b/>
          <w:bCs/>
          <w:position w:val="-1"/>
          <w:sz w:val="36"/>
          <w:szCs w:val="36"/>
        </w:rPr>
        <w:t>物业</w:t>
      </w:r>
      <w:r>
        <w:rPr>
          <w:rFonts w:cs="宋体" w:asciiTheme="minorEastAsia" w:hAnsiTheme="minorEastAsia" w:eastAsiaTheme="minorEastAsia"/>
          <w:b/>
          <w:bCs/>
          <w:position w:val="-1"/>
          <w:sz w:val="36"/>
          <w:szCs w:val="36"/>
        </w:rPr>
        <w:t>管理服务合同</w:t>
      </w:r>
    </w:p>
    <w:p w14:paraId="173C0E79">
      <w:pPr>
        <w:kinsoku/>
        <w:overflowPunct w:val="0"/>
        <w:spacing w:line="360" w:lineRule="auto"/>
        <w:ind w:firstLine="480" w:firstLineChars="200"/>
        <w:jc w:val="right"/>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合同编号：SIGS   </w:t>
      </w:r>
    </w:p>
    <w:p w14:paraId="3BCEBB7D">
      <w:pPr>
        <w:kinsoku/>
        <w:overflowPunct w:val="0"/>
        <w:spacing w:line="360" w:lineRule="auto"/>
        <w:ind w:firstLine="482" w:firstLineChars="200"/>
        <w:rPr>
          <w:rFonts w:ascii="方正仿宋_GB2312" w:hAnsi="方正仿宋_GB2312" w:eastAsia="方正仿宋_GB2312" w:cs="方正仿宋_GB2312"/>
          <w:b/>
          <w:bCs/>
          <w:position w:val="15"/>
          <w:sz w:val="24"/>
          <w:szCs w:val="24"/>
        </w:rPr>
      </w:pPr>
      <w:r>
        <w:rPr>
          <w:rFonts w:hint="eastAsia" w:ascii="方正仿宋_GB2312" w:hAnsi="方正仿宋_GB2312" w:eastAsia="方正仿宋_GB2312" w:cs="方正仿宋_GB2312"/>
          <w:b/>
          <w:bCs/>
          <w:position w:val="15"/>
          <w:sz w:val="24"/>
          <w:szCs w:val="24"/>
        </w:rPr>
        <w:t>甲方：清华大学深圳国际研究生院</w:t>
      </w:r>
    </w:p>
    <w:p w14:paraId="6829616B">
      <w:pPr>
        <w:kinsoku/>
        <w:overflowPunct w:val="0"/>
        <w:spacing w:line="360" w:lineRule="auto"/>
        <w:ind w:firstLine="480" w:firstLineChars="200"/>
        <w:rPr>
          <w:rFonts w:ascii="方正仿宋_GB2312" w:hAnsi="方正仿宋_GB2312" w:eastAsia="方正仿宋_GB2312" w:cs="方正仿宋_GB2312"/>
          <w:position w:val="15"/>
          <w:sz w:val="24"/>
          <w:szCs w:val="24"/>
        </w:rPr>
      </w:pPr>
      <w:r>
        <w:rPr>
          <w:rFonts w:hint="eastAsia" w:ascii="方正仿宋_GB2312" w:hAnsi="方正仿宋_GB2312" w:eastAsia="方正仿宋_GB2312" w:cs="方正仿宋_GB2312"/>
          <w:position w:val="15"/>
          <w:sz w:val="24"/>
          <w:szCs w:val="24"/>
        </w:rPr>
        <w:t xml:space="preserve">联系人： </w:t>
      </w:r>
    </w:p>
    <w:p w14:paraId="6C1D814F">
      <w:pPr>
        <w:kinsoku/>
        <w:overflowPunct w:val="0"/>
        <w:spacing w:line="360" w:lineRule="auto"/>
        <w:ind w:firstLine="480" w:firstLineChars="200"/>
        <w:rPr>
          <w:rFonts w:ascii="方正仿宋_GB2312" w:hAnsi="方正仿宋_GB2312" w:eastAsia="方正仿宋_GB2312" w:cs="方正仿宋_GB2312"/>
          <w:position w:val="15"/>
          <w:sz w:val="24"/>
          <w:szCs w:val="24"/>
        </w:rPr>
      </w:pPr>
      <w:r>
        <w:rPr>
          <w:rFonts w:hint="eastAsia" w:ascii="方正仿宋_GB2312" w:hAnsi="方正仿宋_GB2312" w:eastAsia="方正仿宋_GB2312" w:cs="方正仿宋_GB2312"/>
          <w:position w:val="15"/>
          <w:sz w:val="24"/>
          <w:szCs w:val="24"/>
        </w:rPr>
        <w:t xml:space="preserve">联系电话： </w:t>
      </w:r>
    </w:p>
    <w:p w14:paraId="7A69ED5E">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地址：深圳市南山区丽水路2279号深圳大学城清华园区</w:t>
      </w:r>
    </w:p>
    <w:p w14:paraId="546B00D5">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 xml:space="preserve">乙方： </w:t>
      </w:r>
    </w:p>
    <w:p w14:paraId="101D2F4A">
      <w:pPr>
        <w:kinsoku/>
        <w:overflowPunct w:val="0"/>
        <w:spacing w:line="360" w:lineRule="auto"/>
        <w:ind w:firstLine="480" w:firstLineChars="200"/>
        <w:rPr>
          <w:rFonts w:ascii="方正仿宋_GB2312" w:hAnsi="方正仿宋_GB2312" w:eastAsia="方正仿宋_GB2312" w:cs="方正仿宋_GB2312"/>
          <w:position w:val="15"/>
          <w:sz w:val="24"/>
          <w:szCs w:val="24"/>
        </w:rPr>
      </w:pPr>
      <w:r>
        <w:rPr>
          <w:rFonts w:hint="eastAsia" w:ascii="方正仿宋_GB2312" w:hAnsi="方正仿宋_GB2312" w:eastAsia="方正仿宋_GB2312" w:cs="方正仿宋_GB2312"/>
          <w:position w:val="15"/>
          <w:sz w:val="24"/>
          <w:szCs w:val="24"/>
        </w:rPr>
        <w:t xml:space="preserve">联系人： </w:t>
      </w:r>
    </w:p>
    <w:p w14:paraId="3158DFED">
      <w:pPr>
        <w:kinsoku/>
        <w:overflowPunct w:val="0"/>
        <w:spacing w:line="360" w:lineRule="auto"/>
        <w:ind w:firstLine="480" w:firstLineChars="200"/>
        <w:rPr>
          <w:rFonts w:ascii="方正仿宋_GB2312" w:hAnsi="方正仿宋_GB2312" w:eastAsia="方正仿宋_GB2312" w:cs="方正仿宋_GB2312"/>
          <w:position w:val="21"/>
          <w:sz w:val="24"/>
          <w:szCs w:val="24"/>
        </w:rPr>
      </w:pPr>
      <w:r>
        <w:rPr>
          <w:rFonts w:hint="eastAsia" w:ascii="方正仿宋_GB2312" w:hAnsi="方正仿宋_GB2312" w:eastAsia="方正仿宋_GB2312" w:cs="方正仿宋_GB2312"/>
          <w:position w:val="15"/>
          <w:sz w:val="24"/>
          <w:szCs w:val="24"/>
        </w:rPr>
        <w:t xml:space="preserve">联系电话： </w:t>
      </w:r>
    </w:p>
    <w:p w14:paraId="24DCAC0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position w:val="21"/>
          <w:sz w:val="24"/>
          <w:szCs w:val="24"/>
        </w:rPr>
        <w:t xml:space="preserve">地址： </w:t>
      </w:r>
    </w:p>
    <w:p w14:paraId="474506F6">
      <w:pPr>
        <w:kinsoku/>
        <w:overflowPunct w:val="0"/>
        <w:spacing w:line="360" w:lineRule="auto"/>
        <w:ind w:firstLine="480" w:firstLineChars="200"/>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根据</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物业管理服务项目(项目编号：</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)的招标结果，</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为中标方。按照《中华人民共和国民法典》、《深圳经济特区政府采购条例》和国家有关法律、法规，在平等、自愿、协商一致的基础上，就甲方（</w:t>
      </w:r>
      <w:r>
        <w:rPr>
          <w:rFonts w:hint="eastAsia" w:ascii="方正仿宋_GB2312" w:hAnsi="方正仿宋_GB2312" w:eastAsia="方正仿宋_GB2312" w:cs="方正仿宋_GB2312"/>
          <w:sz w:val="24"/>
          <w:szCs w:val="24"/>
          <w:u w:val="single"/>
        </w:rPr>
        <w:t>清华大学深圳国际研究生院</w:t>
      </w:r>
      <w:r>
        <w:rPr>
          <w:rFonts w:hint="eastAsia" w:ascii="方正仿宋_GB2312" w:hAnsi="方正仿宋_GB2312" w:eastAsia="方正仿宋_GB2312" w:cs="方正仿宋_GB2312"/>
          <w:sz w:val="24"/>
          <w:szCs w:val="24"/>
        </w:rPr>
        <w:t>）委托乙方（</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）对（</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物业管理服务项目）实行一体化、专业化的物业管理服务订立本合同。</w:t>
      </w:r>
    </w:p>
    <w:p w14:paraId="270ECF83">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第一条定义</w:t>
      </w:r>
    </w:p>
    <w:p w14:paraId="382502F9">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1.“合同”即由甲乙方双方签订的合同格式中的文件，包括所有的附件、附录和组成合同部分的所有其他文件。</w:t>
      </w:r>
    </w:p>
    <w:p w14:paraId="77CE74AD">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合同将由采购人（以下简称甲方）与最终确定的中标（成交）供应商（以下简称乙方）结合本项目具体情况协商后签订。以下为甲方提出涉及乙方的主要条款，乙方在投标（响应）文件中应对其进行确认或拒绝。如乙方在其投标（响应）文件中未做拒绝或提出修改要求的，甲方将视作认同。</w:t>
      </w:r>
    </w:p>
    <w:p w14:paraId="2B3BE13A">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2.“合同价格”系指根据合同规定，在乙方全面正确地履行合同义务时，甲方应支付给乙方的款项。</w:t>
      </w:r>
    </w:p>
    <w:p w14:paraId="764A6F3F">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3.“管理服务”系指乙方按投标（响应）文件承诺及甲方在采购文件中提出的其他工作（特殊服务）需求，结合本项目的设施配置及本物业使用性质特点，提出物业管理服务定位、目标，为甲方提供优质且专业的物业管理服务。</w:t>
      </w:r>
    </w:p>
    <w:p w14:paraId="53247E19">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4.“甲方”系指通过采购接受合同及服务的采购人。</w:t>
      </w:r>
    </w:p>
    <w:p w14:paraId="5EBF7C2E">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5.“乙方”系指最终确定的物业服务供应商（中标（成交）供应商）。</w:t>
      </w:r>
    </w:p>
    <w:p w14:paraId="2117E75B">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6.“现场”系指将要提供物业管理与服务的地点、区域范围及相关场所。</w:t>
      </w:r>
    </w:p>
    <w:p w14:paraId="5D10621D">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7.“验收”系指采购人依据国家及有关规定实施合同所约定的评价程序和条件。</w:t>
      </w:r>
    </w:p>
    <w:p w14:paraId="33F1BB42">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第二条适用范围</w:t>
      </w:r>
    </w:p>
    <w:p w14:paraId="3D74A56A">
      <w:pPr>
        <w:kinsoku/>
        <w:overflowPunct w:val="0"/>
        <w:spacing w:line="360" w:lineRule="auto"/>
        <w:ind w:firstLine="480" w:firstLineChars="200"/>
        <w:rPr>
          <w:rFonts w:ascii="方正仿宋_GB2312" w:hAnsi="方正仿宋_GB2312" w:eastAsia="方正仿宋_GB2312" w:cs="方正仿宋_GB2312"/>
          <w:bCs/>
          <w:sz w:val="24"/>
          <w:szCs w:val="24"/>
        </w:rPr>
      </w:pPr>
      <w:r>
        <w:rPr>
          <w:rFonts w:hint="eastAsia" w:ascii="方正仿宋_GB2312" w:hAnsi="方正仿宋_GB2312" w:eastAsia="方正仿宋_GB2312" w:cs="方正仿宋_GB2312"/>
          <w:bCs/>
          <w:sz w:val="24"/>
          <w:szCs w:val="24"/>
        </w:rPr>
        <w:t>合同条款适用与本次采购活动。项目实施范围详见—采购公告、采购文件、更正公告、结果公告和投标（响应）文件及相关补充文件、磋商记录、承诺书等。</w:t>
      </w:r>
    </w:p>
    <w:p w14:paraId="7DE09B7D">
      <w:pPr>
        <w:kinsoku/>
        <w:overflowPunct w:val="0"/>
        <w:spacing w:line="360" w:lineRule="auto"/>
        <w:ind w:firstLine="482"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第三条 物业基本情况</w:t>
      </w:r>
    </w:p>
    <w:p w14:paraId="7CE3815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项目名称： </w:t>
      </w:r>
    </w:p>
    <w:p w14:paraId="02A42AD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所在位置： </w:t>
      </w:r>
    </w:p>
    <w:p w14:paraId="1BA0073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物业类型： </w:t>
      </w:r>
    </w:p>
    <w:p w14:paraId="2FB5FD6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服务面积： </w:t>
      </w:r>
    </w:p>
    <w:p w14:paraId="4E2C5B97">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乙方办公（服务）用房：</w:t>
      </w:r>
    </w:p>
    <w:p w14:paraId="5A5CCB52">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第四条 物业管理服务范围</w:t>
      </w:r>
    </w:p>
    <w:p w14:paraId="38897FFB">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列入本次综合物业管理的范围包括但不限于：本条所列的各项服务内容和甲方交办的其他工作。</w:t>
      </w:r>
    </w:p>
    <w:p w14:paraId="556C291E">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物业服务内容：</w:t>
      </w:r>
    </w:p>
    <w:p w14:paraId="5BE3C5FE">
      <w:pPr>
        <w:kinsoku/>
        <w:overflowPunct w:val="0"/>
        <w:spacing w:line="360" w:lineRule="auto"/>
        <w:ind w:firstLine="480" w:firstLineChars="200"/>
        <w:rPr>
          <w:rFonts w:ascii="方正仿宋_GB2312" w:hAnsi="方正仿宋_GB2312" w:eastAsia="方正仿宋_GB2312" w:cs="方正仿宋_GB2312"/>
          <w:sz w:val="24"/>
          <w:szCs w:val="24"/>
          <w:u w:val="single"/>
        </w:rPr>
      </w:pPr>
      <w:r>
        <w:rPr>
          <w:rFonts w:hint="eastAsia" w:ascii="方正仿宋_GB2312" w:hAnsi="方正仿宋_GB2312" w:eastAsia="方正仿宋_GB2312" w:cs="方正仿宋_GB2312"/>
          <w:bCs/>
          <w:sz w:val="24"/>
          <w:szCs w:val="24"/>
          <w:u w:val="single"/>
        </w:rPr>
        <w:t>1.物业管理服务范围为红线范围内所有建筑物、景观水体及道路广场等区域的管理服务，包括设施设备管理服务、清洁卫生服务、绿化养护服务、秩序维护服务、会务服务、综合服务的一体化物业管理服务。</w:t>
      </w:r>
    </w:p>
    <w:p w14:paraId="7E60E7AD">
      <w:pPr>
        <w:pStyle w:val="3"/>
        <w:overflowPunct w:val="0"/>
        <w:autoSpaceDE w:val="0"/>
        <w:autoSpaceDN w:val="0"/>
        <w:spacing w:beforeLines="0" w:afterLines="0"/>
        <w:ind w:firstLine="480" w:firstLineChars="200"/>
        <w:jc w:val="left"/>
        <w:rPr>
          <w:rFonts w:ascii="方正仿宋_GB2312" w:hAnsi="方正仿宋_GB2312" w:eastAsia="方正仿宋_GB2312" w:cs="方正仿宋_GB2312"/>
          <w:b w:val="0"/>
          <w:bCs w:val="0"/>
          <w:u w:val="single"/>
        </w:rPr>
      </w:pPr>
      <w:r>
        <w:rPr>
          <w:rFonts w:hint="eastAsia" w:ascii="方正仿宋_GB2312" w:hAnsi="方正仿宋_GB2312" w:eastAsia="方正仿宋_GB2312" w:cs="方正仿宋_GB2312"/>
          <w:b w:val="0"/>
          <w:bCs w:val="0"/>
          <w:u w:val="single"/>
        </w:rPr>
        <w:t>2.本项目共有X栋X层建筑和两栋高层建筑，分别为XXX</w:t>
      </w:r>
    </w:p>
    <w:p w14:paraId="1AB93CF7">
      <w:pPr>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3.提供服务人员名单：</w:t>
      </w:r>
    </w:p>
    <w:p w14:paraId="6089E2B0">
      <w:pPr>
        <w:pStyle w:val="2"/>
        <w:spacing w:line="360" w:lineRule="auto"/>
        <w:ind w:firstLine="480" w:firstLineChars="200"/>
        <w:rPr>
          <w:rFonts w:ascii="方正仿宋_GB2312" w:hAnsi="方正仿宋_GB2312" w:eastAsia="方正仿宋_GB2312" w:cs="方正仿宋_GB2312"/>
          <w:sz w:val="24"/>
          <w:szCs w:val="24"/>
          <w:u w:val="single"/>
        </w:rPr>
      </w:pPr>
      <w:r>
        <w:rPr>
          <w:rFonts w:hint="eastAsia" w:ascii="方正仿宋_GB2312" w:hAnsi="方正仿宋_GB2312" w:eastAsia="方正仿宋_GB2312" w:cs="方正仿宋_GB2312"/>
          <w:sz w:val="24"/>
          <w:szCs w:val="24"/>
          <w:u w:val="single"/>
        </w:rPr>
        <w:t>人员配置要求不少于X人，其中项目经理X人；工程主管X人，工程班长X人，工程运行维修人员X人；环境主管X人，环境班长X人，保洁员X人，绿化工X人；安保主管X人，秩序班长X人，秩序维护员X人，消防班长X人，消防中心值班员X人；会务主管X人，会务班长X人，综合人员X人，会务人员X人。</w:t>
      </w:r>
    </w:p>
    <w:p w14:paraId="26D1D634">
      <w:pPr>
        <w:pStyle w:val="3"/>
        <w:overflowPunct w:val="0"/>
        <w:autoSpaceDE w:val="0"/>
        <w:autoSpaceDN w:val="0"/>
        <w:spacing w:beforeLines="0" w:afterLines="0"/>
        <w:ind w:firstLine="482" w:firstLineChars="200"/>
        <w:jc w:val="left"/>
        <w:rPr>
          <w:rFonts w:ascii="方正仿宋_GB2312" w:hAnsi="方正仿宋_GB2312" w:eastAsia="方正仿宋_GB2312" w:cs="方正仿宋_GB2312"/>
          <w:b w:val="0"/>
          <w:bCs w:val="0"/>
          <w:kern w:val="2"/>
        </w:rPr>
      </w:pPr>
      <w:r>
        <w:rPr>
          <w:rFonts w:hint="eastAsia" w:ascii="方正仿宋_GB2312" w:hAnsi="方正仿宋_GB2312" w:eastAsia="方正仿宋_GB2312" w:cs="方正仿宋_GB2312"/>
          <w:kern w:val="2"/>
        </w:rPr>
        <w:t>第五条 考核要求</w:t>
      </w:r>
    </w:p>
    <w:p w14:paraId="38AED71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1.参照《深圳市物业服务示范项目》管理标准及有关规定，所有管理指标均达到或高于《深圳市物业服务示范项目》的要求指标。</w:t>
      </w:r>
    </w:p>
    <w:p w14:paraId="3308916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（1）设备运行完好率：100%</w:t>
      </w:r>
    </w:p>
    <w:p w14:paraId="3813B26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（2）房屋本体完好率：99.5%</w:t>
      </w:r>
    </w:p>
    <w:p w14:paraId="0014158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（3）房屋零修、急修及时率：99%</w:t>
      </w:r>
    </w:p>
    <w:p w14:paraId="1A1A26C0">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（4）维修保养质量合格率：100%</w:t>
      </w:r>
    </w:p>
    <w:p w14:paraId="5C8F062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（5）突发事件处理及时率：100%</w:t>
      </w:r>
    </w:p>
    <w:p w14:paraId="7C4E0D5C">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（6）火灾发生率：1‰以下</w:t>
      </w:r>
    </w:p>
    <w:p w14:paraId="7E2E028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（7）月有效投诉：≤1 </w:t>
      </w:r>
    </w:p>
    <w:p w14:paraId="4EE58C4E">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（8）投诉处理率：100%</w:t>
      </w:r>
    </w:p>
    <w:p w14:paraId="05C0C9B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（9）清洁及时率：100%</w:t>
      </w:r>
    </w:p>
    <w:p w14:paraId="0D36546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（10）绿化完好率》95%</w:t>
      </w:r>
    </w:p>
    <w:p w14:paraId="76B39790">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（11）消杀覆盖率100%</w:t>
      </w:r>
    </w:p>
    <w:p w14:paraId="53EA4CC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（12）顾客满意率：≥95%</w:t>
      </w:r>
    </w:p>
    <w:p w14:paraId="60710B2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（13）技术工作人员持证上岗率：100% </w:t>
      </w:r>
    </w:p>
    <w:p w14:paraId="078ED99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（14）管理人员培训合格率：100%</w:t>
      </w:r>
    </w:p>
    <w:p w14:paraId="764961C6">
      <w:pPr>
        <w:kinsoku/>
        <w:overflowPunct w:val="0"/>
        <w:spacing w:line="360" w:lineRule="auto"/>
        <w:ind w:firstLine="480" w:firstLineChars="200"/>
        <w:rPr>
          <w:rFonts w:ascii="方正仿宋_GB2312" w:hAnsi="方正仿宋_GB2312" w:eastAsia="方正仿宋_GB2312" w:cs="方正仿宋_GB2312"/>
          <w:sz w:val="24"/>
          <w:szCs w:val="24"/>
          <w:lang w:val="zh-CN"/>
        </w:rPr>
      </w:pPr>
      <w:r>
        <w:rPr>
          <w:rFonts w:hint="eastAsia" w:ascii="方正仿宋_GB2312" w:hAnsi="方正仿宋_GB2312" w:eastAsia="方正仿宋_GB2312" w:cs="方正仿宋_GB2312"/>
          <w:sz w:val="24"/>
          <w:szCs w:val="24"/>
        </w:rPr>
        <w:t>（15）</w:t>
      </w:r>
      <w:r>
        <w:rPr>
          <w:rFonts w:hint="eastAsia" w:ascii="方正仿宋_GB2312" w:hAnsi="方正仿宋_GB2312" w:eastAsia="方正仿宋_GB2312" w:cs="方正仿宋_GB2312"/>
          <w:sz w:val="24"/>
          <w:szCs w:val="24"/>
          <w:lang w:val="zh-CN"/>
        </w:rPr>
        <w:t>杜绝重大设备事故及人身伤亡事故，轻伤频次 1‰以下。</w:t>
      </w:r>
    </w:p>
    <w:p w14:paraId="4056F31D">
      <w:pPr>
        <w:kinsoku/>
        <w:overflowPunct w:val="0"/>
        <w:spacing w:line="360" w:lineRule="auto"/>
        <w:ind w:firstLine="480" w:firstLineChars="200"/>
        <w:rPr>
          <w:rFonts w:ascii="方正仿宋_GB2312" w:hAnsi="方正仿宋_GB2312" w:eastAsia="方正仿宋_GB2312" w:cs="方正仿宋_GB2312"/>
          <w:sz w:val="24"/>
          <w:szCs w:val="24"/>
          <w:lang w:val="zh-CN"/>
        </w:rPr>
      </w:pPr>
      <w:r>
        <w:rPr>
          <w:rFonts w:hint="eastAsia" w:ascii="方正仿宋_GB2312" w:hAnsi="方正仿宋_GB2312" w:eastAsia="方正仿宋_GB2312" w:cs="方正仿宋_GB2312"/>
          <w:sz w:val="24"/>
          <w:szCs w:val="24"/>
        </w:rPr>
        <w:t>（16）服务区域</w:t>
      </w:r>
      <w:r>
        <w:rPr>
          <w:rFonts w:hint="eastAsia" w:ascii="方正仿宋_GB2312" w:hAnsi="方正仿宋_GB2312" w:eastAsia="方正仿宋_GB2312" w:cs="方正仿宋_GB2312"/>
          <w:sz w:val="24"/>
          <w:szCs w:val="24"/>
          <w:lang w:val="zh-CN"/>
        </w:rPr>
        <w:t>内治安案件发案率为零，无任何重大事故发生。</w:t>
      </w:r>
    </w:p>
    <w:p w14:paraId="3E47984A">
      <w:pPr>
        <w:pStyle w:val="2"/>
        <w:spacing w:line="360" w:lineRule="auto"/>
        <w:ind w:firstLine="480" w:firstLineChars="200"/>
        <w:rPr>
          <w:rFonts w:ascii="方正仿宋_GB2312" w:hAnsi="方正仿宋_GB2312" w:eastAsia="方正仿宋_GB2312" w:cs="方正仿宋_GB2312"/>
          <w:sz w:val="24"/>
          <w:szCs w:val="24"/>
          <w:lang w:val="zh-CN"/>
        </w:rPr>
      </w:pPr>
      <w:r>
        <w:rPr>
          <w:rFonts w:hint="eastAsia" w:ascii="方正仿宋_GB2312" w:hAnsi="方正仿宋_GB2312" w:eastAsia="方正仿宋_GB2312" w:cs="方正仿宋_GB2312"/>
          <w:sz w:val="24"/>
          <w:szCs w:val="24"/>
          <w:lang w:val="zh-CN"/>
        </w:rPr>
        <w:t>2</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CN"/>
        </w:rPr>
        <w:t>履约验收考核</w:t>
      </w:r>
    </w:p>
    <w:p w14:paraId="301D00F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甲方将根据考核情况支付合同月结款：考核分数达到90分或以上的，视为考核结果“合格”，按月结费用的 100% 支付当期款项；考核分数达到 80分或以上未达 89 分的，视为考核结果“基本合格”，按月结费用的 90%支付当期款项，并启动整改机制；考核分数未达到“基本合格”的，或一个年度内出现 3 次“基本合格”，或出现连续 2 次“基本合格”仍未能有效整改的，视为考核结果“不合格”，甲方将根据政府部门有关程序解除合同。出现其他违法违规情形的，将按规定上报相关主管部门处理。</w:t>
      </w:r>
    </w:p>
    <w:p w14:paraId="36C33F5D">
      <w:pPr>
        <w:tabs>
          <w:tab w:val="left" w:pos="1440"/>
        </w:tabs>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表一：物业管理服务监督管理考核表</w:t>
      </w:r>
    </w:p>
    <w:tbl>
      <w:tblPr>
        <w:tblStyle w:val="12"/>
        <w:tblW w:w="532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7"/>
        <w:gridCol w:w="5240"/>
        <w:gridCol w:w="747"/>
        <w:gridCol w:w="708"/>
        <w:gridCol w:w="758"/>
        <w:gridCol w:w="744"/>
      </w:tblGrid>
      <w:tr w14:paraId="4AF7B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9" w:hRule="atLeast"/>
          <w:jc w:val="center"/>
        </w:trPr>
        <w:tc>
          <w:tcPr>
            <w:tcW w:w="371" w:type="pct"/>
            <w:vMerge w:val="restart"/>
            <w:tcBorders>
              <w:bottom w:val="nil"/>
            </w:tcBorders>
            <w:vAlign w:val="center"/>
          </w:tcPr>
          <w:p w14:paraId="121B76F0">
            <w:pPr>
              <w:kinsoku/>
              <w:overflowPunct w:val="0"/>
              <w:spacing w:before="188"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类别</w:t>
            </w:r>
          </w:p>
        </w:tc>
        <w:tc>
          <w:tcPr>
            <w:tcW w:w="2959" w:type="pct"/>
            <w:vMerge w:val="restart"/>
            <w:tcBorders>
              <w:bottom w:val="nil"/>
            </w:tcBorders>
            <w:vAlign w:val="center"/>
          </w:tcPr>
          <w:p w14:paraId="37405D42">
            <w:pPr>
              <w:kinsoku/>
              <w:overflowPunct w:val="0"/>
              <w:spacing w:before="188" w:line="220"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5"/>
                <w:sz w:val="24"/>
                <w:szCs w:val="24"/>
              </w:rPr>
              <w:t>项目</w:t>
            </w:r>
          </w:p>
        </w:tc>
        <w:tc>
          <w:tcPr>
            <w:tcW w:w="0" w:type="auto"/>
            <w:gridSpan w:val="2"/>
            <w:vAlign w:val="center"/>
          </w:tcPr>
          <w:p w14:paraId="3574D95B">
            <w:pPr>
              <w:kinsoku/>
              <w:overflowPunct w:val="0"/>
              <w:spacing w:before="18" w:line="219" w:lineRule="auto"/>
              <w:ind w:left="168"/>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检查情况</w:t>
            </w:r>
          </w:p>
        </w:tc>
        <w:tc>
          <w:tcPr>
            <w:tcW w:w="428" w:type="pct"/>
            <w:vMerge w:val="restart"/>
            <w:tcBorders>
              <w:bottom w:val="nil"/>
            </w:tcBorders>
            <w:vAlign w:val="center"/>
          </w:tcPr>
          <w:p w14:paraId="5215890F">
            <w:pPr>
              <w:kinsoku/>
              <w:overflowPunct w:val="0"/>
              <w:spacing w:before="88" w:line="241" w:lineRule="auto"/>
              <w:ind w:right="53"/>
              <w:jc w:val="both"/>
              <w:rPr>
                <w:rFonts w:ascii="方正仿宋_GB2312" w:hAnsi="方正仿宋_GB2312" w:eastAsia="方正仿宋_GB2312" w:cs="方正仿宋_GB2312"/>
                <w:b/>
                <w:bCs/>
                <w:spacing w:val="-4"/>
                <w:sz w:val="24"/>
                <w:szCs w:val="24"/>
              </w:rPr>
            </w:pPr>
            <w:r>
              <w:rPr>
                <w:rFonts w:hint="eastAsia" w:ascii="方正仿宋_GB2312" w:hAnsi="方正仿宋_GB2312" w:eastAsia="方正仿宋_GB2312" w:cs="方正仿宋_GB2312"/>
                <w:b/>
                <w:bCs/>
                <w:spacing w:val="-4"/>
                <w:sz w:val="24"/>
                <w:szCs w:val="24"/>
              </w:rPr>
              <w:t>整改</w:t>
            </w:r>
          </w:p>
          <w:p w14:paraId="7C80A2B9">
            <w:pPr>
              <w:kinsoku/>
              <w:overflowPunct w:val="0"/>
              <w:spacing w:before="88" w:line="241" w:lineRule="auto"/>
              <w:ind w:right="53"/>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4"/>
                <w:sz w:val="24"/>
                <w:szCs w:val="24"/>
              </w:rPr>
              <w:t>情况</w:t>
            </w:r>
          </w:p>
        </w:tc>
        <w:tc>
          <w:tcPr>
            <w:tcW w:w="420" w:type="pct"/>
            <w:vMerge w:val="restart"/>
            <w:tcBorders>
              <w:bottom w:val="nil"/>
            </w:tcBorders>
            <w:vAlign w:val="center"/>
          </w:tcPr>
          <w:p w14:paraId="2E457215">
            <w:pPr>
              <w:kinsoku/>
              <w:overflowPunct w:val="0"/>
              <w:spacing w:before="188" w:line="221" w:lineRule="auto"/>
              <w:ind w:left="81"/>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备注</w:t>
            </w:r>
          </w:p>
        </w:tc>
      </w:tr>
      <w:tr w14:paraId="0EF27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371" w:type="pct"/>
            <w:vMerge w:val="continue"/>
            <w:tcBorders>
              <w:top w:val="nil"/>
            </w:tcBorders>
            <w:vAlign w:val="center"/>
          </w:tcPr>
          <w:p w14:paraId="7AD5F887">
            <w:pPr>
              <w:kinsoku/>
              <w:overflowPunct w:val="0"/>
              <w:jc w:val="center"/>
              <w:rPr>
                <w:rFonts w:ascii="方正仿宋_GB2312" w:hAnsi="方正仿宋_GB2312" w:eastAsia="方正仿宋_GB2312" w:cs="方正仿宋_GB2312"/>
                <w:sz w:val="24"/>
                <w:szCs w:val="24"/>
              </w:rPr>
            </w:pPr>
          </w:p>
        </w:tc>
        <w:tc>
          <w:tcPr>
            <w:tcW w:w="2959" w:type="pct"/>
            <w:vMerge w:val="continue"/>
            <w:tcBorders>
              <w:top w:val="nil"/>
            </w:tcBorders>
            <w:vAlign w:val="center"/>
          </w:tcPr>
          <w:p w14:paraId="3691A0A1">
            <w:pPr>
              <w:kinsoku/>
              <w:overflowPunct w:val="0"/>
              <w:jc w:val="center"/>
              <w:rPr>
                <w:rFonts w:ascii="方正仿宋_GB2312" w:hAnsi="方正仿宋_GB2312" w:eastAsia="方正仿宋_GB2312" w:cs="方正仿宋_GB2312"/>
                <w:sz w:val="24"/>
                <w:szCs w:val="24"/>
              </w:rPr>
            </w:pPr>
          </w:p>
        </w:tc>
        <w:tc>
          <w:tcPr>
            <w:tcW w:w="0" w:type="auto"/>
            <w:vAlign w:val="center"/>
          </w:tcPr>
          <w:p w14:paraId="612217DA">
            <w:pPr>
              <w:kinsoku/>
              <w:overflowPunct w:val="0"/>
              <w:spacing w:before="14" w:line="243" w:lineRule="auto"/>
              <w:ind w:right="66"/>
              <w:jc w:val="both"/>
              <w:rPr>
                <w:rFonts w:ascii="方正仿宋_GB2312" w:hAnsi="方正仿宋_GB2312" w:eastAsia="方正仿宋_GB2312" w:cs="方正仿宋_GB2312"/>
                <w:b/>
                <w:bCs/>
                <w:spacing w:val="5"/>
                <w:sz w:val="24"/>
                <w:szCs w:val="24"/>
              </w:rPr>
            </w:pPr>
            <w:r>
              <w:rPr>
                <w:rFonts w:hint="eastAsia" w:ascii="方正仿宋_GB2312" w:hAnsi="方正仿宋_GB2312" w:eastAsia="方正仿宋_GB2312" w:cs="方正仿宋_GB2312"/>
                <w:b/>
                <w:bCs/>
                <w:spacing w:val="5"/>
                <w:sz w:val="24"/>
                <w:szCs w:val="24"/>
              </w:rPr>
              <w:t>发现</w:t>
            </w:r>
          </w:p>
          <w:p w14:paraId="37874854">
            <w:pPr>
              <w:kinsoku/>
              <w:overflowPunct w:val="0"/>
              <w:spacing w:before="14" w:line="243" w:lineRule="auto"/>
              <w:ind w:right="66"/>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z w:val="24"/>
                <w:szCs w:val="24"/>
              </w:rPr>
              <w:t>问题</w:t>
            </w:r>
          </w:p>
        </w:tc>
        <w:tc>
          <w:tcPr>
            <w:tcW w:w="400" w:type="pct"/>
            <w:vAlign w:val="center"/>
          </w:tcPr>
          <w:p w14:paraId="1D6A41A9">
            <w:pPr>
              <w:kinsoku/>
              <w:overflowPunct w:val="0"/>
              <w:spacing w:before="14" w:line="243" w:lineRule="auto"/>
              <w:ind w:right="66"/>
              <w:jc w:val="both"/>
              <w:rPr>
                <w:rFonts w:ascii="方正仿宋_GB2312" w:hAnsi="方正仿宋_GB2312" w:eastAsia="方正仿宋_GB2312" w:cs="方正仿宋_GB2312"/>
                <w:b/>
                <w:bCs/>
                <w:spacing w:val="5"/>
                <w:sz w:val="24"/>
                <w:szCs w:val="24"/>
              </w:rPr>
            </w:pPr>
            <w:r>
              <w:rPr>
                <w:rFonts w:hint="eastAsia" w:ascii="方正仿宋_GB2312" w:hAnsi="方正仿宋_GB2312" w:eastAsia="方正仿宋_GB2312" w:cs="方正仿宋_GB2312"/>
                <w:b/>
                <w:bCs/>
                <w:spacing w:val="5"/>
                <w:sz w:val="24"/>
                <w:szCs w:val="24"/>
              </w:rPr>
              <w:t>扣分</w:t>
            </w:r>
          </w:p>
          <w:p w14:paraId="6C497C80">
            <w:pPr>
              <w:kinsoku/>
              <w:overflowPunct w:val="0"/>
              <w:spacing w:before="14" w:line="243" w:lineRule="auto"/>
              <w:ind w:right="66"/>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5"/>
                <w:sz w:val="24"/>
                <w:szCs w:val="24"/>
              </w:rPr>
              <w:t>情况</w:t>
            </w:r>
          </w:p>
        </w:tc>
        <w:tc>
          <w:tcPr>
            <w:tcW w:w="428" w:type="pct"/>
            <w:vMerge w:val="continue"/>
            <w:tcBorders>
              <w:top w:val="nil"/>
            </w:tcBorders>
            <w:vAlign w:val="center"/>
          </w:tcPr>
          <w:p w14:paraId="04CF206F">
            <w:pPr>
              <w:kinsoku/>
              <w:overflowPunct w:val="0"/>
              <w:jc w:val="center"/>
              <w:rPr>
                <w:rFonts w:ascii="方正仿宋_GB2312" w:hAnsi="方正仿宋_GB2312" w:eastAsia="方正仿宋_GB2312" w:cs="方正仿宋_GB2312"/>
                <w:sz w:val="24"/>
                <w:szCs w:val="24"/>
              </w:rPr>
            </w:pPr>
          </w:p>
        </w:tc>
        <w:tc>
          <w:tcPr>
            <w:tcW w:w="420" w:type="pct"/>
            <w:vMerge w:val="continue"/>
            <w:tcBorders>
              <w:top w:val="nil"/>
            </w:tcBorders>
            <w:vAlign w:val="center"/>
          </w:tcPr>
          <w:p w14:paraId="5F2FE544">
            <w:pPr>
              <w:kinsoku/>
              <w:overflowPunct w:val="0"/>
              <w:jc w:val="center"/>
              <w:rPr>
                <w:rFonts w:ascii="方正仿宋_GB2312" w:hAnsi="方正仿宋_GB2312" w:eastAsia="方正仿宋_GB2312" w:cs="方正仿宋_GB2312"/>
                <w:sz w:val="24"/>
                <w:szCs w:val="24"/>
              </w:rPr>
            </w:pPr>
          </w:p>
        </w:tc>
      </w:tr>
      <w:tr w14:paraId="66427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371" w:type="pct"/>
            <w:vMerge w:val="restart"/>
            <w:tcBorders>
              <w:bottom w:val="nil"/>
            </w:tcBorders>
            <w:vAlign w:val="center"/>
          </w:tcPr>
          <w:p w14:paraId="3D59A33D">
            <w:pPr>
              <w:kinsoku/>
              <w:overflowPunct w:val="0"/>
              <w:spacing w:before="39"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position w:val="2"/>
                <w:sz w:val="24"/>
                <w:szCs w:val="24"/>
              </w:rPr>
              <w:t>卫生</w:t>
            </w:r>
          </w:p>
          <w:p w14:paraId="19BE54A4">
            <w:pPr>
              <w:kinsoku/>
              <w:overflowPunct w:val="0"/>
              <w:spacing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保洁</w:t>
            </w:r>
          </w:p>
          <w:p w14:paraId="3DE5BB5C">
            <w:pPr>
              <w:kinsoku/>
              <w:overflowPunct w:val="0"/>
              <w:spacing w:before="26"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4"/>
                <w:sz w:val="24"/>
                <w:szCs w:val="24"/>
              </w:rPr>
              <w:t>管理</w:t>
            </w:r>
          </w:p>
        </w:tc>
        <w:tc>
          <w:tcPr>
            <w:tcW w:w="2959" w:type="pct"/>
            <w:vAlign w:val="center"/>
          </w:tcPr>
          <w:p w14:paraId="5F058A60">
            <w:pPr>
              <w:kinsoku/>
              <w:overflowPunct w:val="0"/>
              <w:spacing w:before="24" w:line="227" w:lineRule="auto"/>
              <w:ind w:left="50" w:right="47"/>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1.保洁人员按计划流程进行保洁，发现不符合者</w:t>
            </w:r>
            <w:r>
              <w:rPr>
                <w:rFonts w:hint="eastAsia" w:ascii="方正仿宋_GB2312" w:hAnsi="方正仿宋_GB2312" w:eastAsia="方正仿宋_GB2312" w:cs="方正仿宋_GB2312"/>
                <w:spacing w:val="13"/>
                <w:sz w:val="24"/>
                <w:szCs w:val="24"/>
              </w:rPr>
              <w:t>每次扣2分。</w:t>
            </w:r>
          </w:p>
        </w:tc>
        <w:tc>
          <w:tcPr>
            <w:tcW w:w="0" w:type="auto"/>
            <w:vAlign w:val="center"/>
          </w:tcPr>
          <w:p w14:paraId="5C455AA5">
            <w:pPr>
              <w:kinsoku/>
              <w:overflowPunct w:val="0"/>
              <w:jc w:val="center"/>
              <w:rPr>
                <w:rFonts w:ascii="方正仿宋_GB2312" w:hAnsi="方正仿宋_GB2312" w:eastAsia="方正仿宋_GB2312" w:cs="方正仿宋_GB2312"/>
                <w:sz w:val="24"/>
                <w:szCs w:val="24"/>
              </w:rPr>
            </w:pPr>
          </w:p>
        </w:tc>
        <w:tc>
          <w:tcPr>
            <w:tcW w:w="400" w:type="pct"/>
            <w:vAlign w:val="center"/>
          </w:tcPr>
          <w:p w14:paraId="642EA02D">
            <w:pPr>
              <w:kinsoku/>
              <w:overflowPunct w:val="0"/>
              <w:jc w:val="center"/>
              <w:rPr>
                <w:rFonts w:ascii="方正仿宋_GB2312" w:hAnsi="方正仿宋_GB2312" w:eastAsia="方正仿宋_GB2312" w:cs="方正仿宋_GB2312"/>
                <w:sz w:val="24"/>
                <w:szCs w:val="24"/>
              </w:rPr>
            </w:pPr>
          </w:p>
        </w:tc>
        <w:tc>
          <w:tcPr>
            <w:tcW w:w="428" w:type="pct"/>
            <w:vAlign w:val="center"/>
          </w:tcPr>
          <w:p w14:paraId="7F88E1B4">
            <w:pPr>
              <w:kinsoku/>
              <w:overflowPunct w:val="0"/>
              <w:jc w:val="center"/>
              <w:rPr>
                <w:rFonts w:ascii="方正仿宋_GB2312" w:hAnsi="方正仿宋_GB2312" w:eastAsia="方正仿宋_GB2312" w:cs="方正仿宋_GB2312"/>
                <w:sz w:val="24"/>
                <w:szCs w:val="24"/>
              </w:rPr>
            </w:pPr>
          </w:p>
        </w:tc>
        <w:tc>
          <w:tcPr>
            <w:tcW w:w="420" w:type="pct"/>
            <w:vAlign w:val="center"/>
          </w:tcPr>
          <w:p w14:paraId="718C374A">
            <w:pPr>
              <w:kinsoku/>
              <w:overflowPunct w:val="0"/>
              <w:jc w:val="center"/>
              <w:rPr>
                <w:rFonts w:ascii="方正仿宋_GB2312" w:hAnsi="方正仿宋_GB2312" w:eastAsia="方正仿宋_GB2312" w:cs="方正仿宋_GB2312"/>
                <w:sz w:val="24"/>
                <w:szCs w:val="24"/>
              </w:rPr>
            </w:pPr>
          </w:p>
        </w:tc>
      </w:tr>
      <w:tr w14:paraId="14DE6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jc w:val="center"/>
        </w:trPr>
        <w:tc>
          <w:tcPr>
            <w:tcW w:w="371" w:type="pct"/>
            <w:vMerge w:val="continue"/>
            <w:tcBorders>
              <w:top w:val="nil"/>
              <w:bottom w:val="nil"/>
            </w:tcBorders>
            <w:vAlign w:val="center"/>
          </w:tcPr>
          <w:p w14:paraId="4F051504">
            <w:pPr>
              <w:kinsoku/>
              <w:overflowPunct w:val="0"/>
              <w:jc w:val="center"/>
              <w:rPr>
                <w:rFonts w:ascii="方正仿宋_GB2312" w:hAnsi="方正仿宋_GB2312" w:eastAsia="方正仿宋_GB2312" w:cs="方正仿宋_GB2312"/>
                <w:sz w:val="24"/>
                <w:szCs w:val="24"/>
              </w:rPr>
            </w:pPr>
          </w:p>
        </w:tc>
        <w:tc>
          <w:tcPr>
            <w:tcW w:w="2959" w:type="pct"/>
            <w:vAlign w:val="center"/>
          </w:tcPr>
          <w:p w14:paraId="413781D5">
            <w:pPr>
              <w:kinsoku/>
              <w:overflowPunct w:val="0"/>
              <w:spacing w:before="35" w:line="226" w:lineRule="auto"/>
              <w:ind w:left="50" w:right="12"/>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2.管理区城内各楼层电梯厅、走道、管线、楼梯</w:t>
            </w:r>
            <w:r>
              <w:rPr>
                <w:rFonts w:hint="eastAsia" w:ascii="方正仿宋_GB2312" w:hAnsi="方正仿宋_GB2312" w:eastAsia="方正仿宋_GB2312" w:cs="方正仿宋_GB2312"/>
                <w:spacing w:val="7"/>
                <w:sz w:val="24"/>
                <w:szCs w:val="24"/>
              </w:rPr>
              <w:t>无脏杂物、无污迹，发现一处未及时清理扣2分。</w:t>
            </w:r>
          </w:p>
        </w:tc>
        <w:tc>
          <w:tcPr>
            <w:tcW w:w="0" w:type="auto"/>
            <w:vAlign w:val="center"/>
          </w:tcPr>
          <w:p w14:paraId="2D6D6EAC">
            <w:pPr>
              <w:kinsoku/>
              <w:overflowPunct w:val="0"/>
              <w:jc w:val="center"/>
              <w:rPr>
                <w:rFonts w:ascii="方正仿宋_GB2312" w:hAnsi="方正仿宋_GB2312" w:eastAsia="方正仿宋_GB2312" w:cs="方正仿宋_GB2312"/>
                <w:sz w:val="24"/>
                <w:szCs w:val="24"/>
              </w:rPr>
            </w:pPr>
          </w:p>
        </w:tc>
        <w:tc>
          <w:tcPr>
            <w:tcW w:w="400" w:type="pct"/>
            <w:vAlign w:val="center"/>
          </w:tcPr>
          <w:p w14:paraId="5B2A9D75">
            <w:pPr>
              <w:kinsoku/>
              <w:overflowPunct w:val="0"/>
              <w:jc w:val="center"/>
              <w:rPr>
                <w:rFonts w:ascii="方正仿宋_GB2312" w:hAnsi="方正仿宋_GB2312" w:eastAsia="方正仿宋_GB2312" w:cs="方正仿宋_GB2312"/>
                <w:sz w:val="24"/>
                <w:szCs w:val="24"/>
              </w:rPr>
            </w:pPr>
          </w:p>
        </w:tc>
        <w:tc>
          <w:tcPr>
            <w:tcW w:w="428" w:type="pct"/>
            <w:vAlign w:val="center"/>
          </w:tcPr>
          <w:p w14:paraId="469C5588">
            <w:pPr>
              <w:kinsoku/>
              <w:overflowPunct w:val="0"/>
              <w:jc w:val="center"/>
              <w:rPr>
                <w:rFonts w:ascii="方正仿宋_GB2312" w:hAnsi="方正仿宋_GB2312" w:eastAsia="方正仿宋_GB2312" w:cs="方正仿宋_GB2312"/>
                <w:sz w:val="24"/>
                <w:szCs w:val="24"/>
              </w:rPr>
            </w:pPr>
          </w:p>
        </w:tc>
        <w:tc>
          <w:tcPr>
            <w:tcW w:w="420" w:type="pct"/>
            <w:vAlign w:val="center"/>
          </w:tcPr>
          <w:p w14:paraId="462A6162">
            <w:pPr>
              <w:kinsoku/>
              <w:overflowPunct w:val="0"/>
              <w:jc w:val="center"/>
              <w:rPr>
                <w:rFonts w:ascii="方正仿宋_GB2312" w:hAnsi="方正仿宋_GB2312" w:eastAsia="方正仿宋_GB2312" w:cs="方正仿宋_GB2312"/>
                <w:sz w:val="24"/>
                <w:szCs w:val="24"/>
              </w:rPr>
            </w:pPr>
          </w:p>
        </w:tc>
      </w:tr>
      <w:tr w14:paraId="47ED1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371" w:type="pct"/>
            <w:vMerge w:val="continue"/>
            <w:tcBorders>
              <w:top w:val="nil"/>
              <w:bottom w:val="nil"/>
            </w:tcBorders>
            <w:vAlign w:val="center"/>
          </w:tcPr>
          <w:p w14:paraId="1FE30753">
            <w:pPr>
              <w:kinsoku/>
              <w:overflowPunct w:val="0"/>
              <w:jc w:val="center"/>
              <w:rPr>
                <w:rFonts w:ascii="方正仿宋_GB2312" w:hAnsi="方正仿宋_GB2312" w:eastAsia="方正仿宋_GB2312" w:cs="方正仿宋_GB2312"/>
                <w:sz w:val="24"/>
                <w:szCs w:val="24"/>
              </w:rPr>
            </w:pPr>
          </w:p>
        </w:tc>
        <w:tc>
          <w:tcPr>
            <w:tcW w:w="2959" w:type="pct"/>
            <w:vAlign w:val="center"/>
          </w:tcPr>
          <w:p w14:paraId="40EEC05C">
            <w:pPr>
              <w:kinsoku/>
              <w:overflowPunct w:val="0"/>
              <w:spacing w:before="36" w:line="233" w:lineRule="auto"/>
              <w:ind w:left="50" w:right="64"/>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7"/>
                <w:sz w:val="24"/>
                <w:szCs w:val="24"/>
              </w:rPr>
              <w:t>3.垃圾桶放置合理，清倒及时、外表干净、无积</w:t>
            </w:r>
            <w:r>
              <w:rPr>
                <w:rFonts w:hint="eastAsia" w:ascii="方正仿宋_GB2312" w:hAnsi="方正仿宋_GB2312" w:eastAsia="方正仿宋_GB2312" w:cs="方正仿宋_GB2312"/>
                <w:spacing w:val="11"/>
                <w:sz w:val="24"/>
                <w:szCs w:val="24"/>
              </w:rPr>
              <w:t>垢、无臭味。发现未及时清理每次扣2分</w:t>
            </w:r>
          </w:p>
        </w:tc>
        <w:tc>
          <w:tcPr>
            <w:tcW w:w="0" w:type="auto"/>
            <w:vAlign w:val="center"/>
          </w:tcPr>
          <w:p w14:paraId="76522667">
            <w:pPr>
              <w:kinsoku/>
              <w:overflowPunct w:val="0"/>
              <w:jc w:val="center"/>
              <w:rPr>
                <w:rFonts w:ascii="方正仿宋_GB2312" w:hAnsi="方正仿宋_GB2312" w:eastAsia="方正仿宋_GB2312" w:cs="方正仿宋_GB2312"/>
                <w:sz w:val="24"/>
                <w:szCs w:val="24"/>
              </w:rPr>
            </w:pPr>
          </w:p>
        </w:tc>
        <w:tc>
          <w:tcPr>
            <w:tcW w:w="400" w:type="pct"/>
            <w:vAlign w:val="center"/>
          </w:tcPr>
          <w:p w14:paraId="0E33BD22">
            <w:pPr>
              <w:kinsoku/>
              <w:overflowPunct w:val="0"/>
              <w:jc w:val="center"/>
              <w:rPr>
                <w:rFonts w:ascii="方正仿宋_GB2312" w:hAnsi="方正仿宋_GB2312" w:eastAsia="方正仿宋_GB2312" w:cs="方正仿宋_GB2312"/>
                <w:sz w:val="24"/>
                <w:szCs w:val="24"/>
              </w:rPr>
            </w:pPr>
          </w:p>
        </w:tc>
        <w:tc>
          <w:tcPr>
            <w:tcW w:w="428" w:type="pct"/>
            <w:vAlign w:val="center"/>
          </w:tcPr>
          <w:p w14:paraId="59C9273E">
            <w:pPr>
              <w:kinsoku/>
              <w:overflowPunct w:val="0"/>
              <w:jc w:val="center"/>
              <w:rPr>
                <w:rFonts w:ascii="方正仿宋_GB2312" w:hAnsi="方正仿宋_GB2312" w:eastAsia="方正仿宋_GB2312" w:cs="方正仿宋_GB2312"/>
                <w:sz w:val="24"/>
                <w:szCs w:val="24"/>
              </w:rPr>
            </w:pPr>
          </w:p>
        </w:tc>
        <w:tc>
          <w:tcPr>
            <w:tcW w:w="420" w:type="pct"/>
            <w:vAlign w:val="center"/>
          </w:tcPr>
          <w:p w14:paraId="25E7A828">
            <w:pPr>
              <w:kinsoku/>
              <w:overflowPunct w:val="0"/>
              <w:jc w:val="center"/>
              <w:rPr>
                <w:rFonts w:ascii="方正仿宋_GB2312" w:hAnsi="方正仿宋_GB2312" w:eastAsia="方正仿宋_GB2312" w:cs="方正仿宋_GB2312"/>
                <w:sz w:val="24"/>
                <w:szCs w:val="24"/>
              </w:rPr>
            </w:pPr>
          </w:p>
        </w:tc>
      </w:tr>
      <w:tr w14:paraId="4632E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371" w:type="pct"/>
            <w:vMerge w:val="continue"/>
            <w:tcBorders>
              <w:top w:val="nil"/>
              <w:bottom w:val="nil"/>
            </w:tcBorders>
            <w:vAlign w:val="center"/>
          </w:tcPr>
          <w:p w14:paraId="32F45420">
            <w:pPr>
              <w:kinsoku/>
              <w:overflowPunct w:val="0"/>
              <w:jc w:val="center"/>
              <w:rPr>
                <w:rFonts w:ascii="方正仿宋_GB2312" w:hAnsi="方正仿宋_GB2312" w:eastAsia="方正仿宋_GB2312" w:cs="方正仿宋_GB2312"/>
                <w:sz w:val="24"/>
                <w:szCs w:val="24"/>
              </w:rPr>
            </w:pPr>
          </w:p>
        </w:tc>
        <w:tc>
          <w:tcPr>
            <w:tcW w:w="2959" w:type="pct"/>
            <w:vAlign w:val="center"/>
          </w:tcPr>
          <w:p w14:paraId="4200A75D">
            <w:pPr>
              <w:kinsoku/>
              <w:overflowPunct w:val="0"/>
              <w:spacing w:before="26" w:line="237" w:lineRule="auto"/>
              <w:ind w:left="50" w:right="66"/>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7"/>
                <w:sz w:val="24"/>
                <w:szCs w:val="24"/>
              </w:rPr>
              <w:t>4.管理区域内各楼层栏杆、墙面、门窗、装饰物</w:t>
            </w:r>
            <w:r>
              <w:rPr>
                <w:rFonts w:hint="eastAsia" w:ascii="方正仿宋_GB2312" w:hAnsi="方正仿宋_GB2312" w:eastAsia="方正仿宋_GB2312" w:cs="方正仿宋_GB2312"/>
                <w:spacing w:val="9"/>
                <w:sz w:val="24"/>
                <w:szCs w:val="24"/>
              </w:rPr>
              <w:t>灰尘、污迹、斑点。发现未及时清理，每处扣2</w:t>
            </w:r>
            <w:r>
              <w:rPr>
                <w:rFonts w:hint="eastAsia" w:ascii="方正仿宋_GB2312" w:hAnsi="方正仿宋_GB2312" w:eastAsia="方正仿宋_GB2312" w:cs="方正仿宋_GB2312"/>
                <w:spacing w:val="-4"/>
                <w:sz w:val="24"/>
                <w:szCs w:val="24"/>
              </w:rPr>
              <w:t>分</w:t>
            </w:r>
            <w:r>
              <w:rPr>
                <w:rFonts w:hint="eastAsia" w:ascii="方正仿宋_GB2312" w:hAnsi="方正仿宋_GB2312" w:eastAsia="方正仿宋_GB2312" w:cs="方正仿宋_GB2312"/>
                <w:spacing w:val="24"/>
                <w:sz w:val="24"/>
                <w:szCs w:val="24"/>
              </w:rPr>
              <w:t xml:space="preserve"> </w:t>
            </w:r>
            <w:r>
              <w:rPr>
                <w:rFonts w:hint="eastAsia" w:ascii="方正仿宋_GB2312" w:hAnsi="方正仿宋_GB2312" w:eastAsia="方正仿宋_GB2312" w:cs="方正仿宋_GB2312"/>
                <w:spacing w:val="-4"/>
                <w:sz w:val="24"/>
                <w:szCs w:val="24"/>
              </w:rPr>
              <w:t>。</w:t>
            </w:r>
          </w:p>
        </w:tc>
        <w:tc>
          <w:tcPr>
            <w:tcW w:w="0" w:type="auto"/>
            <w:vAlign w:val="center"/>
          </w:tcPr>
          <w:p w14:paraId="4059A2B7">
            <w:pPr>
              <w:kinsoku/>
              <w:overflowPunct w:val="0"/>
              <w:jc w:val="center"/>
              <w:rPr>
                <w:rFonts w:ascii="方正仿宋_GB2312" w:hAnsi="方正仿宋_GB2312" w:eastAsia="方正仿宋_GB2312" w:cs="方正仿宋_GB2312"/>
                <w:sz w:val="24"/>
                <w:szCs w:val="24"/>
              </w:rPr>
            </w:pPr>
          </w:p>
        </w:tc>
        <w:tc>
          <w:tcPr>
            <w:tcW w:w="400" w:type="pct"/>
            <w:vAlign w:val="center"/>
          </w:tcPr>
          <w:p w14:paraId="250D39AF">
            <w:pPr>
              <w:kinsoku/>
              <w:overflowPunct w:val="0"/>
              <w:jc w:val="center"/>
              <w:rPr>
                <w:rFonts w:ascii="方正仿宋_GB2312" w:hAnsi="方正仿宋_GB2312" w:eastAsia="方正仿宋_GB2312" w:cs="方正仿宋_GB2312"/>
                <w:sz w:val="24"/>
                <w:szCs w:val="24"/>
              </w:rPr>
            </w:pPr>
          </w:p>
        </w:tc>
        <w:tc>
          <w:tcPr>
            <w:tcW w:w="428" w:type="pct"/>
            <w:vAlign w:val="center"/>
          </w:tcPr>
          <w:p w14:paraId="5F396080">
            <w:pPr>
              <w:kinsoku/>
              <w:overflowPunct w:val="0"/>
              <w:jc w:val="center"/>
              <w:rPr>
                <w:rFonts w:ascii="方正仿宋_GB2312" w:hAnsi="方正仿宋_GB2312" w:eastAsia="方正仿宋_GB2312" w:cs="方正仿宋_GB2312"/>
                <w:sz w:val="24"/>
                <w:szCs w:val="24"/>
              </w:rPr>
            </w:pPr>
          </w:p>
        </w:tc>
        <w:tc>
          <w:tcPr>
            <w:tcW w:w="420" w:type="pct"/>
            <w:vAlign w:val="center"/>
          </w:tcPr>
          <w:p w14:paraId="6043492E">
            <w:pPr>
              <w:kinsoku/>
              <w:overflowPunct w:val="0"/>
              <w:jc w:val="center"/>
              <w:rPr>
                <w:rFonts w:ascii="方正仿宋_GB2312" w:hAnsi="方正仿宋_GB2312" w:eastAsia="方正仿宋_GB2312" w:cs="方正仿宋_GB2312"/>
                <w:sz w:val="24"/>
                <w:szCs w:val="24"/>
              </w:rPr>
            </w:pPr>
          </w:p>
        </w:tc>
      </w:tr>
      <w:tr w14:paraId="31E94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0" w:hRule="atLeast"/>
          <w:jc w:val="center"/>
        </w:trPr>
        <w:tc>
          <w:tcPr>
            <w:tcW w:w="371" w:type="pct"/>
            <w:vMerge w:val="continue"/>
            <w:tcBorders>
              <w:top w:val="nil"/>
              <w:bottom w:val="nil"/>
            </w:tcBorders>
            <w:vAlign w:val="center"/>
          </w:tcPr>
          <w:p w14:paraId="61080B33">
            <w:pPr>
              <w:kinsoku/>
              <w:overflowPunct w:val="0"/>
              <w:jc w:val="center"/>
              <w:rPr>
                <w:rFonts w:ascii="方正仿宋_GB2312" w:hAnsi="方正仿宋_GB2312" w:eastAsia="方正仿宋_GB2312" w:cs="方正仿宋_GB2312"/>
                <w:sz w:val="24"/>
                <w:szCs w:val="24"/>
              </w:rPr>
            </w:pPr>
          </w:p>
        </w:tc>
        <w:tc>
          <w:tcPr>
            <w:tcW w:w="2959" w:type="pct"/>
            <w:vAlign w:val="center"/>
          </w:tcPr>
          <w:p w14:paraId="7F956E4D">
            <w:pPr>
              <w:kinsoku/>
              <w:overflowPunct w:val="0"/>
              <w:spacing w:before="47" w:line="235" w:lineRule="auto"/>
              <w:ind w:left="50" w:right="48"/>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7"/>
                <w:sz w:val="24"/>
                <w:szCs w:val="24"/>
              </w:rPr>
              <w:t>5.卫生间保持内外光洁；地面、墙面光洁，无污迹、无脏杂物、无积水、无积尘。卫生纸、洗手</w:t>
            </w:r>
            <w:r>
              <w:rPr>
                <w:rFonts w:hint="eastAsia" w:ascii="方正仿宋_GB2312" w:hAnsi="方正仿宋_GB2312" w:eastAsia="方正仿宋_GB2312" w:cs="方正仿宋_GB2312"/>
                <w:spacing w:val="8"/>
                <w:sz w:val="24"/>
                <w:szCs w:val="24"/>
              </w:rPr>
              <w:t>液补充及时，地漏畅通。发现未及时清理，每次</w:t>
            </w:r>
            <w:r>
              <w:rPr>
                <w:rFonts w:hint="eastAsia" w:ascii="方正仿宋_GB2312" w:hAnsi="方正仿宋_GB2312" w:eastAsia="方正仿宋_GB2312" w:cs="方正仿宋_GB2312"/>
                <w:spacing w:val="-5"/>
                <w:sz w:val="24"/>
                <w:szCs w:val="24"/>
              </w:rPr>
              <w:t>扣2分</w:t>
            </w:r>
            <w:r>
              <w:rPr>
                <w:rFonts w:hint="eastAsia" w:ascii="方正仿宋_GB2312" w:hAnsi="方正仿宋_GB2312" w:eastAsia="方正仿宋_GB2312" w:cs="方正仿宋_GB2312"/>
                <w:spacing w:val="-25"/>
                <w:sz w:val="24"/>
                <w:szCs w:val="24"/>
              </w:rPr>
              <w:t xml:space="preserve"> </w:t>
            </w:r>
            <w:r>
              <w:rPr>
                <w:rFonts w:hint="eastAsia" w:ascii="方正仿宋_GB2312" w:hAnsi="方正仿宋_GB2312" w:eastAsia="方正仿宋_GB2312" w:cs="方正仿宋_GB2312"/>
                <w:spacing w:val="-5"/>
                <w:sz w:val="24"/>
                <w:szCs w:val="24"/>
              </w:rPr>
              <w:t>。</w:t>
            </w:r>
          </w:p>
        </w:tc>
        <w:tc>
          <w:tcPr>
            <w:tcW w:w="0" w:type="auto"/>
            <w:vAlign w:val="center"/>
          </w:tcPr>
          <w:p w14:paraId="7CC753BE">
            <w:pPr>
              <w:kinsoku/>
              <w:overflowPunct w:val="0"/>
              <w:jc w:val="center"/>
              <w:rPr>
                <w:rFonts w:ascii="方正仿宋_GB2312" w:hAnsi="方正仿宋_GB2312" w:eastAsia="方正仿宋_GB2312" w:cs="方正仿宋_GB2312"/>
                <w:sz w:val="24"/>
                <w:szCs w:val="24"/>
              </w:rPr>
            </w:pPr>
          </w:p>
        </w:tc>
        <w:tc>
          <w:tcPr>
            <w:tcW w:w="400" w:type="pct"/>
            <w:vAlign w:val="center"/>
          </w:tcPr>
          <w:p w14:paraId="09DCFB31">
            <w:pPr>
              <w:kinsoku/>
              <w:overflowPunct w:val="0"/>
              <w:jc w:val="center"/>
              <w:rPr>
                <w:rFonts w:ascii="方正仿宋_GB2312" w:hAnsi="方正仿宋_GB2312" w:eastAsia="方正仿宋_GB2312" w:cs="方正仿宋_GB2312"/>
                <w:sz w:val="24"/>
                <w:szCs w:val="24"/>
              </w:rPr>
            </w:pPr>
          </w:p>
        </w:tc>
        <w:tc>
          <w:tcPr>
            <w:tcW w:w="428" w:type="pct"/>
            <w:vAlign w:val="center"/>
          </w:tcPr>
          <w:p w14:paraId="5EC47E1F">
            <w:pPr>
              <w:kinsoku/>
              <w:overflowPunct w:val="0"/>
              <w:jc w:val="center"/>
              <w:rPr>
                <w:rFonts w:ascii="方正仿宋_GB2312" w:hAnsi="方正仿宋_GB2312" w:eastAsia="方正仿宋_GB2312" w:cs="方正仿宋_GB2312"/>
                <w:sz w:val="24"/>
                <w:szCs w:val="24"/>
              </w:rPr>
            </w:pPr>
          </w:p>
        </w:tc>
        <w:tc>
          <w:tcPr>
            <w:tcW w:w="420" w:type="pct"/>
            <w:vAlign w:val="center"/>
          </w:tcPr>
          <w:p w14:paraId="2F820824">
            <w:pPr>
              <w:kinsoku/>
              <w:overflowPunct w:val="0"/>
              <w:jc w:val="center"/>
              <w:rPr>
                <w:rFonts w:ascii="方正仿宋_GB2312" w:hAnsi="方正仿宋_GB2312" w:eastAsia="方正仿宋_GB2312" w:cs="方正仿宋_GB2312"/>
                <w:sz w:val="24"/>
                <w:szCs w:val="24"/>
              </w:rPr>
            </w:pPr>
          </w:p>
        </w:tc>
      </w:tr>
      <w:tr w14:paraId="4F360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371" w:type="pct"/>
            <w:vMerge w:val="continue"/>
            <w:tcBorders>
              <w:top w:val="nil"/>
              <w:bottom w:val="nil"/>
            </w:tcBorders>
            <w:vAlign w:val="center"/>
          </w:tcPr>
          <w:p w14:paraId="3C760727">
            <w:pPr>
              <w:kinsoku/>
              <w:overflowPunct w:val="0"/>
              <w:jc w:val="center"/>
              <w:rPr>
                <w:rFonts w:ascii="方正仿宋_GB2312" w:hAnsi="方正仿宋_GB2312" w:eastAsia="方正仿宋_GB2312" w:cs="方正仿宋_GB2312"/>
                <w:sz w:val="24"/>
                <w:szCs w:val="24"/>
              </w:rPr>
            </w:pPr>
          </w:p>
        </w:tc>
        <w:tc>
          <w:tcPr>
            <w:tcW w:w="2959" w:type="pct"/>
            <w:vAlign w:val="center"/>
          </w:tcPr>
          <w:p w14:paraId="5CEB26CD">
            <w:pPr>
              <w:kinsoku/>
              <w:overflowPunct w:val="0"/>
              <w:spacing w:before="37" w:line="239" w:lineRule="auto"/>
              <w:ind w:left="50" w:right="45"/>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6.室外场地、道路干净、无脏物、无垃圾、无沙</w:t>
            </w:r>
            <w:r>
              <w:rPr>
                <w:rFonts w:hint="eastAsia" w:ascii="方正仿宋_GB2312" w:hAnsi="方正仿宋_GB2312" w:eastAsia="方正仿宋_GB2312" w:cs="方正仿宋_GB2312"/>
                <w:spacing w:val="13"/>
                <w:sz w:val="24"/>
                <w:szCs w:val="24"/>
              </w:rPr>
              <w:t>土；各类设施、各种宣传栏(牌)、告示牌、指</w:t>
            </w:r>
            <w:r>
              <w:rPr>
                <w:rFonts w:hint="eastAsia" w:ascii="方正仿宋_GB2312" w:hAnsi="方正仿宋_GB2312" w:eastAsia="方正仿宋_GB2312" w:cs="方正仿宋_GB2312"/>
                <w:spacing w:val="7"/>
                <w:sz w:val="24"/>
                <w:szCs w:val="24"/>
              </w:rPr>
              <w:t>示牌表面无积尘、无污迹。发现未及时保洁每次</w:t>
            </w:r>
            <w:r>
              <w:rPr>
                <w:rFonts w:hint="eastAsia" w:ascii="方正仿宋_GB2312" w:hAnsi="方正仿宋_GB2312" w:eastAsia="方正仿宋_GB2312" w:cs="方正仿宋_GB2312"/>
                <w:spacing w:val="-5"/>
                <w:sz w:val="24"/>
                <w:szCs w:val="24"/>
              </w:rPr>
              <w:t>扣</w:t>
            </w:r>
            <w:r>
              <w:rPr>
                <w:rFonts w:hint="eastAsia" w:ascii="方正仿宋_GB2312" w:hAnsi="方正仿宋_GB2312" w:eastAsia="方正仿宋_GB2312" w:cs="方正仿宋_GB2312"/>
                <w:spacing w:val="-26"/>
                <w:sz w:val="24"/>
                <w:szCs w:val="24"/>
              </w:rPr>
              <w:t xml:space="preserve"> </w:t>
            </w:r>
            <w:r>
              <w:rPr>
                <w:rFonts w:hint="eastAsia" w:ascii="方正仿宋_GB2312" w:hAnsi="方正仿宋_GB2312" w:eastAsia="方正仿宋_GB2312" w:cs="方正仿宋_GB2312"/>
                <w:spacing w:val="-5"/>
                <w:sz w:val="24"/>
                <w:szCs w:val="24"/>
              </w:rPr>
              <w:t>2</w:t>
            </w:r>
            <w:r>
              <w:rPr>
                <w:rFonts w:hint="eastAsia" w:ascii="方正仿宋_GB2312" w:hAnsi="方正仿宋_GB2312" w:eastAsia="方正仿宋_GB2312" w:cs="方正仿宋_GB2312"/>
                <w:spacing w:val="-26"/>
                <w:sz w:val="24"/>
                <w:szCs w:val="24"/>
              </w:rPr>
              <w:t xml:space="preserve"> </w:t>
            </w:r>
            <w:r>
              <w:rPr>
                <w:rFonts w:hint="eastAsia" w:ascii="方正仿宋_GB2312" w:hAnsi="方正仿宋_GB2312" w:eastAsia="方正仿宋_GB2312" w:cs="方正仿宋_GB2312"/>
                <w:spacing w:val="-5"/>
                <w:sz w:val="24"/>
                <w:szCs w:val="24"/>
              </w:rPr>
              <w:t>分</w:t>
            </w:r>
            <w:r>
              <w:rPr>
                <w:rFonts w:hint="eastAsia" w:ascii="方正仿宋_GB2312" w:hAnsi="方正仿宋_GB2312" w:eastAsia="方正仿宋_GB2312" w:cs="方正仿宋_GB2312"/>
                <w:spacing w:val="-32"/>
                <w:sz w:val="24"/>
                <w:szCs w:val="24"/>
              </w:rPr>
              <w:t xml:space="preserve"> </w:t>
            </w:r>
            <w:r>
              <w:rPr>
                <w:rFonts w:hint="eastAsia" w:ascii="方正仿宋_GB2312" w:hAnsi="方正仿宋_GB2312" w:eastAsia="方正仿宋_GB2312" w:cs="方正仿宋_GB2312"/>
                <w:spacing w:val="-5"/>
                <w:sz w:val="24"/>
                <w:szCs w:val="24"/>
              </w:rPr>
              <w:t>。</w:t>
            </w:r>
          </w:p>
        </w:tc>
        <w:tc>
          <w:tcPr>
            <w:tcW w:w="0" w:type="auto"/>
            <w:vAlign w:val="center"/>
          </w:tcPr>
          <w:p w14:paraId="13DEAA8D">
            <w:pPr>
              <w:kinsoku/>
              <w:overflowPunct w:val="0"/>
              <w:jc w:val="center"/>
              <w:rPr>
                <w:rFonts w:ascii="方正仿宋_GB2312" w:hAnsi="方正仿宋_GB2312" w:eastAsia="方正仿宋_GB2312" w:cs="方正仿宋_GB2312"/>
                <w:sz w:val="24"/>
                <w:szCs w:val="24"/>
              </w:rPr>
            </w:pPr>
          </w:p>
        </w:tc>
        <w:tc>
          <w:tcPr>
            <w:tcW w:w="400" w:type="pct"/>
            <w:vAlign w:val="center"/>
          </w:tcPr>
          <w:p w14:paraId="4B9130E4">
            <w:pPr>
              <w:kinsoku/>
              <w:overflowPunct w:val="0"/>
              <w:jc w:val="center"/>
              <w:rPr>
                <w:rFonts w:ascii="方正仿宋_GB2312" w:hAnsi="方正仿宋_GB2312" w:eastAsia="方正仿宋_GB2312" w:cs="方正仿宋_GB2312"/>
                <w:sz w:val="24"/>
                <w:szCs w:val="24"/>
              </w:rPr>
            </w:pPr>
          </w:p>
        </w:tc>
        <w:tc>
          <w:tcPr>
            <w:tcW w:w="428" w:type="pct"/>
            <w:vAlign w:val="center"/>
          </w:tcPr>
          <w:p w14:paraId="039C631A">
            <w:pPr>
              <w:kinsoku/>
              <w:overflowPunct w:val="0"/>
              <w:jc w:val="center"/>
              <w:rPr>
                <w:rFonts w:ascii="方正仿宋_GB2312" w:hAnsi="方正仿宋_GB2312" w:eastAsia="方正仿宋_GB2312" w:cs="方正仿宋_GB2312"/>
                <w:sz w:val="24"/>
                <w:szCs w:val="24"/>
              </w:rPr>
            </w:pPr>
          </w:p>
        </w:tc>
        <w:tc>
          <w:tcPr>
            <w:tcW w:w="420" w:type="pct"/>
            <w:vAlign w:val="center"/>
          </w:tcPr>
          <w:p w14:paraId="7F30BDFB">
            <w:pPr>
              <w:kinsoku/>
              <w:overflowPunct w:val="0"/>
              <w:jc w:val="center"/>
              <w:rPr>
                <w:rFonts w:ascii="方正仿宋_GB2312" w:hAnsi="方正仿宋_GB2312" w:eastAsia="方正仿宋_GB2312" w:cs="方正仿宋_GB2312"/>
                <w:sz w:val="24"/>
                <w:szCs w:val="24"/>
              </w:rPr>
            </w:pPr>
          </w:p>
        </w:tc>
      </w:tr>
      <w:tr w14:paraId="27C86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jc w:val="center"/>
        </w:trPr>
        <w:tc>
          <w:tcPr>
            <w:tcW w:w="371" w:type="pct"/>
            <w:vMerge w:val="continue"/>
            <w:tcBorders>
              <w:top w:val="nil"/>
              <w:bottom w:val="nil"/>
            </w:tcBorders>
            <w:vAlign w:val="center"/>
          </w:tcPr>
          <w:p w14:paraId="201004D8">
            <w:pPr>
              <w:kinsoku/>
              <w:overflowPunct w:val="0"/>
              <w:jc w:val="center"/>
              <w:rPr>
                <w:rFonts w:ascii="方正仿宋_GB2312" w:hAnsi="方正仿宋_GB2312" w:eastAsia="方正仿宋_GB2312" w:cs="方正仿宋_GB2312"/>
                <w:sz w:val="24"/>
                <w:szCs w:val="24"/>
              </w:rPr>
            </w:pPr>
          </w:p>
        </w:tc>
        <w:tc>
          <w:tcPr>
            <w:tcW w:w="2959" w:type="pct"/>
            <w:vAlign w:val="center"/>
          </w:tcPr>
          <w:p w14:paraId="2E9E56E7">
            <w:pPr>
              <w:kinsoku/>
              <w:overflowPunct w:val="0"/>
              <w:spacing w:before="50" w:line="234" w:lineRule="auto"/>
              <w:ind w:left="50" w:right="57"/>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7"/>
                <w:sz w:val="24"/>
                <w:szCs w:val="24"/>
              </w:rPr>
              <w:t>7.车库整洁，无脏杂物、无积尘、无蜘蛛网；各</w:t>
            </w:r>
            <w:r>
              <w:rPr>
                <w:rFonts w:hint="eastAsia" w:ascii="方正仿宋_GB2312" w:hAnsi="方正仿宋_GB2312" w:eastAsia="方正仿宋_GB2312" w:cs="方正仿宋_GB2312"/>
                <w:spacing w:val="8"/>
                <w:sz w:val="24"/>
                <w:szCs w:val="24"/>
              </w:rPr>
              <w:t>类设施、各种标志牌表面无积尘、无污迹；排水</w:t>
            </w:r>
            <w:r>
              <w:rPr>
                <w:rFonts w:hint="eastAsia" w:ascii="方正仿宋_GB2312" w:hAnsi="方正仿宋_GB2312" w:eastAsia="方正仿宋_GB2312" w:cs="方正仿宋_GB2312"/>
                <w:spacing w:val="7"/>
                <w:sz w:val="24"/>
                <w:szCs w:val="24"/>
              </w:rPr>
              <w:t>沟畅通。天台无杂物、无垃圾，地漏畅通。发现</w:t>
            </w:r>
            <w:r>
              <w:rPr>
                <w:rFonts w:hint="eastAsia" w:ascii="方正仿宋_GB2312" w:hAnsi="方正仿宋_GB2312" w:eastAsia="方正仿宋_GB2312" w:cs="方正仿宋_GB2312"/>
                <w:spacing w:val="13"/>
                <w:sz w:val="24"/>
                <w:szCs w:val="24"/>
              </w:rPr>
              <w:t>未及时清理，每次扣2分。</w:t>
            </w:r>
          </w:p>
        </w:tc>
        <w:tc>
          <w:tcPr>
            <w:tcW w:w="0" w:type="auto"/>
            <w:vAlign w:val="center"/>
          </w:tcPr>
          <w:p w14:paraId="0CC23DB8">
            <w:pPr>
              <w:kinsoku/>
              <w:overflowPunct w:val="0"/>
              <w:jc w:val="center"/>
              <w:rPr>
                <w:rFonts w:ascii="方正仿宋_GB2312" w:hAnsi="方正仿宋_GB2312" w:eastAsia="方正仿宋_GB2312" w:cs="方正仿宋_GB2312"/>
                <w:sz w:val="24"/>
                <w:szCs w:val="24"/>
              </w:rPr>
            </w:pPr>
          </w:p>
        </w:tc>
        <w:tc>
          <w:tcPr>
            <w:tcW w:w="400" w:type="pct"/>
            <w:vAlign w:val="center"/>
          </w:tcPr>
          <w:p w14:paraId="008E7A2D">
            <w:pPr>
              <w:kinsoku/>
              <w:overflowPunct w:val="0"/>
              <w:jc w:val="center"/>
              <w:rPr>
                <w:rFonts w:ascii="方正仿宋_GB2312" w:hAnsi="方正仿宋_GB2312" w:eastAsia="方正仿宋_GB2312" w:cs="方正仿宋_GB2312"/>
                <w:sz w:val="24"/>
                <w:szCs w:val="24"/>
              </w:rPr>
            </w:pPr>
          </w:p>
        </w:tc>
        <w:tc>
          <w:tcPr>
            <w:tcW w:w="428" w:type="pct"/>
            <w:vAlign w:val="center"/>
          </w:tcPr>
          <w:p w14:paraId="582CA7EE">
            <w:pPr>
              <w:kinsoku/>
              <w:overflowPunct w:val="0"/>
              <w:jc w:val="center"/>
              <w:rPr>
                <w:rFonts w:ascii="方正仿宋_GB2312" w:hAnsi="方正仿宋_GB2312" w:eastAsia="方正仿宋_GB2312" w:cs="方正仿宋_GB2312"/>
                <w:sz w:val="24"/>
                <w:szCs w:val="24"/>
              </w:rPr>
            </w:pPr>
          </w:p>
        </w:tc>
        <w:tc>
          <w:tcPr>
            <w:tcW w:w="420" w:type="pct"/>
            <w:vAlign w:val="center"/>
          </w:tcPr>
          <w:p w14:paraId="12231068">
            <w:pPr>
              <w:kinsoku/>
              <w:overflowPunct w:val="0"/>
              <w:jc w:val="center"/>
              <w:rPr>
                <w:rFonts w:ascii="方正仿宋_GB2312" w:hAnsi="方正仿宋_GB2312" w:eastAsia="方正仿宋_GB2312" w:cs="方正仿宋_GB2312"/>
                <w:sz w:val="24"/>
                <w:szCs w:val="24"/>
              </w:rPr>
            </w:pPr>
          </w:p>
        </w:tc>
      </w:tr>
      <w:tr w14:paraId="7BC09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371" w:type="pct"/>
            <w:vMerge w:val="continue"/>
            <w:tcBorders>
              <w:top w:val="nil"/>
              <w:bottom w:val="nil"/>
            </w:tcBorders>
            <w:vAlign w:val="center"/>
          </w:tcPr>
          <w:p w14:paraId="3F19C5F4">
            <w:pPr>
              <w:kinsoku/>
              <w:overflowPunct w:val="0"/>
              <w:jc w:val="center"/>
              <w:rPr>
                <w:rFonts w:ascii="方正仿宋_GB2312" w:hAnsi="方正仿宋_GB2312" w:eastAsia="方正仿宋_GB2312" w:cs="方正仿宋_GB2312"/>
                <w:sz w:val="24"/>
                <w:szCs w:val="24"/>
              </w:rPr>
            </w:pPr>
          </w:p>
        </w:tc>
        <w:tc>
          <w:tcPr>
            <w:tcW w:w="2959" w:type="pct"/>
            <w:vAlign w:val="center"/>
          </w:tcPr>
          <w:p w14:paraId="63DA6D92">
            <w:pPr>
              <w:kinsoku/>
              <w:overflowPunct w:val="0"/>
              <w:spacing w:before="50" w:line="214" w:lineRule="auto"/>
              <w:ind w:left="50" w:right="66"/>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7"/>
                <w:sz w:val="24"/>
                <w:szCs w:val="24"/>
              </w:rPr>
              <w:t>8.楼宇外墙、道路、绿化带按计划清洗并达到要</w:t>
            </w:r>
            <w:r>
              <w:rPr>
                <w:rFonts w:hint="eastAsia" w:ascii="方正仿宋_GB2312" w:hAnsi="方正仿宋_GB2312" w:eastAsia="方正仿宋_GB2312" w:cs="方正仿宋_GB2312"/>
                <w:spacing w:val="9"/>
                <w:sz w:val="24"/>
                <w:szCs w:val="24"/>
              </w:rPr>
              <w:t>求。未按计划实施扣2分。</w:t>
            </w:r>
          </w:p>
        </w:tc>
        <w:tc>
          <w:tcPr>
            <w:tcW w:w="0" w:type="auto"/>
            <w:vAlign w:val="center"/>
          </w:tcPr>
          <w:p w14:paraId="55B8B006">
            <w:pPr>
              <w:kinsoku/>
              <w:overflowPunct w:val="0"/>
              <w:jc w:val="center"/>
              <w:rPr>
                <w:rFonts w:ascii="方正仿宋_GB2312" w:hAnsi="方正仿宋_GB2312" w:eastAsia="方正仿宋_GB2312" w:cs="方正仿宋_GB2312"/>
                <w:sz w:val="24"/>
                <w:szCs w:val="24"/>
              </w:rPr>
            </w:pPr>
          </w:p>
        </w:tc>
        <w:tc>
          <w:tcPr>
            <w:tcW w:w="400" w:type="pct"/>
            <w:vAlign w:val="center"/>
          </w:tcPr>
          <w:p w14:paraId="79268C35">
            <w:pPr>
              <w:kinsoku/>
              <w:overflowPunct w:val="0"/>
              <w:jc w:val="center"/>
              <w:rPr>
                <w:rFonts w:ascii="方正仿宋_GB2312" w:hAnsi="方正仿宋_GB2312" w:eastAsia="方正仿宋_GB2312" w:cs="方正仿宋_GB2312"/>
                <w:sz w:val="24"/>
                <w:szCs w:val="24"/>
              </w:rPr>
            </w:pPr>
          </w:p>
        </w:tc>
        <w:tc>
          <w:tcPr>
            <w:tcW w:w="428" w:type="pct"/>
            <w:vAlign w:val="center"/>
          </w:tcPr>
          <w:p w14:paraId="10068550">
            <w:pPr>
              <w:kinsoku/>
              <w:overflowPunct w:val="0"/>
              <w:jc w:val="center"/>
              <w:rPr>
                <w:rFonts w:ascii="方正仿宋_GB2312" w:hAnsi="方正仿宋_GB2312" w:eastAsia="方正仿宋_GB2312" w:cs="方正仿宋_GB2312"/>
                <w:sz w:val="24"/>
                <w:szCs w:val="24"/>
              </w:rPr>
            </w:pPr>
          </w:p>
        </w:tc>
        <w:tc>
          <w:tcPr>
            <w:tcW w:w="420" w:type="pct"/>
            <w:vAlign w:val="center"/>
          </w:tcPr>
          <w:p w14:paraId="62FE3EE8">
            <w:pPr>
              <w:kinsoku/>
              <w:overflowPunct w:val="0"/>
              <w:jc w:val="center"/>
              <w:rPr>
                <w:rFonts w:ascii="方正仿宋_GB2312" w:hAnsi="方正仿宋_GB2312" w:eastAsia="方正仿宋_GB2312" w:cs="方正仿宋_GB2312"/>
                <w:sz w:val="24"/>
                <w:szCs w:val="24"/>
              </w:rPr>
            </w:pPr>
          </w:p>
        </w:tc>
      </w:tr>
      <w:tr w14:paraId="65EEF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jc w:val="center"/>
        </w:trPr>
        <w:tc>
          <w:tcPr>
            <w:tcW w:w="371" w:type="pct"/>
            <w:vMerge w:val="continue"/>
            <w:tcBorders>
              <w:top w:val="nil"/>
            </w:tcBorders>
            <w:vAlign w:val="center"/>
          </w:tcPr>
          <w:p w14:paraId="48262F8F">
            <w:pPr>
              <w:kinsoku/>
              <w:overflowPunct w:val="0"/>
              <w:jc w:val="center"/>
              <w:rPr>
                <w:rFonts w:ascii="方正仿宋_GB2312" w:hAnsi="方正仿宋_GB2312" w:eastAsia="方正仿宋_GB2312" w:cs="方正仿宋_GB2312"/>
                <w:sz w:val="24"/>
                <w:szCs w:val="24"/>
              </w:rPr>
            </w:pPr>
          </w:p>
        </w:tc>
        <w:tc>
          <w:tcPr>
            <w:tcW w:w="2959" w:type="pct"/>
            <w:vAlign w:val="center"/>
          </w:tcPr>
          <w:p w14:paraId="36D588EA">
            <w:pPr>
              <w:kinsoku/>
              <w:overflowPunct w:val="0"/>
              <w:spacing w:before="32" w:line="229" w:lineRule="auto"/>
              <w:ind w:left="50" w:right="47"/>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9.按规定实施垃圾分类并配合相关部门对不同类</w:t>
            </w:r>
            <w:r>
              <w:rPr>
                <w:rFonts w:hint="eastAsia" w:ascii="方正仿宋_GB2312" w:hAnsi="方正仿宋_GB2312" w:eastAsia="方正仿宋_GB2312" w:cs="方正仿宋_GB2312"/>
                <w:spacing w:val="10"/>
                <w:sz w:val="24"/>
                <w:szCs w:val="24"/>
              </w:rPr>
              <w:t>型的垃圾进行区别处理。未按要求实施扣2分。</w:t>
            </w:r>
          </w:p>
        </w:tc>
        <w:tc>
          <w:tcPr>
            <w:tcW w:w="0" w:type="auto"/>
            <w:vAlign w:val="center"/>
          </w:tcPr>
          <w:p w14:paraId="2B2B53C1">
            <w:pPr>
              <w:kinsoku/>
              <w:overflowPunct w:val="0"/>
              <w:jc w:val="center"/>
              <w:rPr>
                <w:rFonts w:ascii="方正仿宋_GB2312" w:hAnsi="方正仿宋_GB2312" w:eastAsia="方正仿宋_GB2312" w:cs="方正仿宋_GB2312"/>
                <w:sz w:val="24"/>
                <w:szCs w:val="24"/>
              </w:rPr>
            </w:pPr>
          </w:p>
        </w:tc>
        <w:tc>
          <w:tcPr>
            <w:tcW w:w="400" w:type="pct"/>
            <w:vAlign w:val="center"/>
          </w:tcPr>
          <w:p w14:paraId="7FC04188">
            <w:pPr>
              <w:kinsoku/>
              <w:overflowPunct w:val="0"/>
              <w:jc w:val="center"/>
              <w:rPr>
                <w:rFonts w:ascii="方正仿宋_GB2312" w:hAnsi="方正仿宋_GB2312" w:eastAsia="方正仿宋_GB2312" w:cs="方正仿宋_GB2312"/>
                <w:sz w:val="24"/>
                <w:szCs w:val="24"/>
              </w:rPr>
            </w:pPr>
          </w:p>
        </w:tc>
        <w:tc>
          <w:tcPr>
            <w:tcW w:w="428" w:type="pct"/>
            <w:vAlign w:val="center"/>
          </w:tcPr>
          <w:p w14:paraId="3F4476E8">
            <w:pPr>
              <w:kinsoku/>
              <w:overflowPunct w:val="0"/>
              <w:jc w:val="center"/>
              <w:rPr>
                <w:rFonts w:ascii="方正仿宋_GB2312" w:hAnsi="方正仿宋_GB2312" w:eastAsia="方正仿宋_GB2312" w:cs="方正仿宋_GB2312"/>
                <w:sz w:val="24"/>
                <w:szCs w:val="24"/>
              </w:rPr>
            </w:pPr>
          </w:p>
        </w:tc>
        <w:tc>
          <w:tcPr>
            <w:tcW w:w="420" w:type="pct"/>
            <w:vAlign w:val="center"/>
          </w:tcPr>
          <w:p w14:paraId="79C83EB9">
            <w:pPr>
              <w:kinsoku/>
              <w:overflowPunct w:val="0"/>
              <w:jc w:val="center"/>
              <w:rPr>
                <w:rFonts w:ascii="方正仿宋_GB2312" w:hAnsi="方正仿宋_GB2312" w:eastAsia="方正仿宋_GB2312" w:cs="方正仿宋_GB2312"/>
                <w:sz w:val="24"/>
                <w:szCs w:val="24"/>
              </w:rPr>
            </w:pPr>
          </w:p>
        </w:tc>
      </w:tr>
      <w:tr w14:paraId="7D742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 w:hRule="atLeast"/>
          <w:jc w:val="center"/>
        </w:trPr>
        <w:tc>
          <w:tcPr>
            <w:tcW w:w="371" w:type="pct"/>
            <w:vMerge w:val="restart"/>
            <w:vAlign w:val="center"/>
          </w:tcPr>
          <w:p w14:paraId="02B0D51C">
            <w:pPr>
              <w:kinsoku/>
              <w:overflowPunct w:val="0"/>
              <w:spacing w:before="39"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4"/>
                <w:position w:val="2"/>
                <w:sz w:val="24"/>
                <w:szCs w:val="24"/>
              </w:rPr>
              <w:t>安全</w:t>
            </w:r>
          </w:p>
          <w:p w14:paraId="46A97F47">
            <w:pPr>
              <w:kinsoku/>
              <w:overflowPunct w:val="0"/>
              <w:spacing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5"/>
                <w:sz w:val="24"/>
                <w:szCs w:val="24"/>
              </w:rPr>
              <w:t>防范</w:t>
            </w:r>
          </w:p>
          <w:p w14:paraId="37CBACB1">
            <w:pPr>
              <w:kinsoku/>
              <w:overflowPunct w:val="0"/>
              <w:spacing w:before="26"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4"/>
                <w:sz w:val="24"/>
                <w:szCs w:val="24"/>
              </w:rPr>
              <w:t>管理</w:t>
            </w:r>
          </w:p>
        </w:tc>
        <w:tc>
          <w:tcPr>
            <w:tcW w:w="2959" w:type="pct"/>
            <w:vAlign w:val="center"/>
          </w:tcPr>
          <w:p w14:paraId="75B684BE">
            <w:pPr>
              <w:kinsoku/>
              <w:overflowPunct w:val="0"/>
              <w:spacing w:before="41" w:line="222" w:lineRule="auto"/>
              <w:ind w:left="50" w:right="47"/>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1.消防及相关安全档案制度管理情况，制度不完</w:t>
            </w:r>
            <w:r>
              <w:rPr>
                <w:rFonts w:hint="eastAsia" w:ascii="方正仿宋_GB2312" w:hAnsi="方正仿宋_GB2312" w:eastAsia="方正仿宋_GB2312" w:cs="方正仿宋_GB2312"/>
                <w:spacing w:val="12"/>
                <w:sz w:val="24"/>
                <w:szCs w:val="24"/>
              </w:rPr>
              <w:t>善，发现一项扣减2分。</w:t>
            </w:r>
          </w:p>
        </w:tc>
        <w:tc>
          <w:tcPr>
            <w:tcW w:w="0" w:type="auto"/>
            <w:vAlign w:val="center"/>
          </w:tcPr>
          <w:p w14:paraId="1CE9B927">
            <w:pPr>
              <w:kinsoku/>
              <w:overflowPunct w:val="0"/>
              <w:jc w:val="center"/>
              <w:rPr>
                <w:rFonts w:ascii="方正仿宋_GB2312" w:hAnsi="方正仿宋_GB2312" w:eastAsia="方正仿宋_GB2312" w:cs="方正仿宋_GB2312"/>
                <w:sz w:val="24"/>
                <w:szCs w:val="24"/>
              </w:rPr>
            </w:pPr>
          </w:p>
        </w:tc>
        <w:tc>
          <w:tcPr>
            <w:tcW w:w="400" w:type="pct"/>
            <w:vAlign w:val="center"/>
          </w:tcPr>
          <w:p w14:paraId="2A03A0B9">
            <w:pPr>
              <w:kinsoku/>
              <w:overflowPunct w:val="0"/>
              <w:jc w:val="center"/>
              <w:rPr>
                <w:rFonts w:ascii="方正仿宋_GB2312" w:hAnsi="方正仿宋_GB2312" w:eastAsia="方正仿宋_GB2312" w:cs="方正仿宋_GB2312"/>
                <w:sz w:val="24"/>
                <w:szCs w:val="24"/>
              </w:rPr>
            </w:pPr>
          </w:p>
        </w:tc>
        <w:tc>
          <w:tcPr>
            <w:tcW w:w="428" w:type="pct"/>
            <w:vAlign w:val="center"/>
          </w:tcPr>
          <w:p w14:paraId="14151A86">
            <w:pPr>
              <w:kinsoku/>
              <w:overflowPunct w:val="0"/>
              <w:jc w:val="center"/>
              <w:rPr>
                <w:rFonts w:ascii="方正仿宋_GB2312" w:hAnsi="方正仿宋_GB2312" w:eastAsia="方正仿宋_GB2312" w:cs="方正仿宋_GB2312"/>
                <w:sz w:val="24"/>
                <w:szCs w:val="24"/>
              </w:rPr>
            </w:pPr>
          </w:p>
        </w:tc>
        <w:tc>
          <w:tcPr>
            <w:tcW w:w="420" w:type="pct"/>
            <w:vAlign w:val="center"/>
          </w:tcPr>
          <w:p w14:paraId="0A5A371D">
            <w:pPr>
              <w:kinsoku/>
              <w:overflowPunct w:val="0"/>
              <w:jc w:val="center"/>
              <w:rPr>
                <w:rFonts w:ascii="方正仿宋_GB2312" w:hAnsi="方正仿宋_GB2312" w:eastAsia="方正仿宋_GB2312" w:cs="方正仿宋_GB2312"/>
                <w:sz w:val="24"/>
                <w:szCs w:val="24"/>
              </w:rPr>
            </w:pPr>
          </w:p>
        </w:tc>
      </w:tr>
      <w:tr w14:paraId="67E13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5" w:hRule="atLeast"/>
          <w:jc w:val="center"/>
        </w:trPr>
        <w:tc>
          <w:tcPr>
            <w:tcW w:w="371" w:type="pct"/>
            <w:vMerge w:val="continue"/>
            <w:vAlign w:val="center"/>
          </w:tcPr>
          <w:p w14:paraId="3CA8E757">
            <w:pPr>
              <w:kinsoku/>
              <w:overflowPunct w:val="0"/>
              <w:jc w:val="center"/>
              <w:rPr>
                <w:rFonts w:ascii="方正仿宋_GB2312" w:hAnsi="方正仿宋_GB2312" w:eastAsia="方正仿宋_GB2312" w:cs="方正仿宋_GB2312"/>
                <w:sz w:val="24"/>
                <w:szCs w:val="24"/>
              </w:rPr>
            </w:pPr>
          </w:p>
        </w:tc>
        <w:tc>
          <w:tcPr>
            <w:tcW w:w="2959" w:type="pct"/>
            <w:vAlign w:val="center"/>
          </w:tcPr>
          <w:p w14:paraId="5BB3AF2E">
            <w:pPr>
              <w:kinsoku/>
              <w:overflowPunct w:val="0"/>
              <w:spacing w:before="42" w:line="241" w:lineRule="auto"/>
              <w:ind w:left="50" w:right="52"/>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2.物业工作人员清楚安全事项，了解工作流程，</w:t>
            </w:r>
            <w:r>
              <w:rPr>
                <w:rFonts w:hint="eastAsia" w:ascii="方正仿宋_GB2312" w:hAnsi="方正仿宋_GB2312" w:eastAsia="方正仿宋_GB2312" w:cs="方正仿宋_GB2312"/>
                <w:spacing w:val="3"/>
                <w:sz w:val="24"/>
                <w:szCs w:val="24"/>
              </w:rPr>
              <w:t xml:space="preserve"> </w:t>
            </w:r>
            <w:r>
              <w:rPr>
                <w:rFonts w:hint="eastAsia" w:ascii="方正仿宋_GB2312" w:hAnsi="方正仿宋_GB2312" w:eastAsia="方正仿宋_GB2312" w:cs="方正仿宋_GB2312"/>
                <w:spacing w:val="8"/>
                <w:sz w:val="24"/>
                <w:szCs w:val="24"/>
              </w:rPr>
              <w:t>懂得使用各类安全、消防设施及各种灭火器材。</w:t>
            </w:r>
            <w:r>
              <w:rPr>
                <w:rFonts w:hint="eastAsia" w:ascii="方正仿宋_GB2312" w:hAnsi="方正仿宋_GB2312" w:eastAsia="方正仿宋_GB2312" w:cs="方正仿宋_GB2312"/>
                <w:spacing w:val="7"/>
                <w:sz w:val="24"/>
                <w:szCs w:val="24"/>
              </w:rPr>
              <w:t>抽查工作人员安全消防设施使用知识，不了解者</w:t>
            </w:r>
            <w:r>
              <w:rPr>
                <w:rFonts w:hint="eastAsia" w:ascii="方正仿宋_GB2312" w:hAnsi="方正仿宋_GB2312" w:eastAsia="方正仿宋_GB2312" w:cs="方正仿宋_GB2312"/>
                <w:spacing w:val="17"/>
                <w:sz w:val="24"/>
                <w:szCs w:val="24"/>
              </w:rPr>
              <w:t>每人扣2分。</w:t>
            </w:r>
          </w:p>
        </w:tc>
        <w:tc>
          <w:tcPr>
            <w:tcW w:w="0" w:type="auto"/>
            <w:vAlign w:val="center"/>
          </w:tcPr>
          <w:p w14:paraId="470793C0">
            <w:pPr>
              <w:kinsoku/>
              <w:overflowPunct w:val="0"/>
              <w:jc w:val="center"/>
              <w:rPr>
                <w:rFonts w:ascii="方正仿宋_GB2312" w:hAnsi="方正仿宋_GB2312" w:eastAsia="方正仿宋_GB2312" w:cs="方正仿宋_GB2312"/>
                <w:sz w:val="24"/>
                <w:szCs w:val="24"/>
              </w:rPr>
            </w:pPr>
          </w:p>
        </w:tc>
        <w:tc>
          <w:tcPr>
            <w:tcW w:w="400" w:type="pct"/>
            <w:vAlign w:val="center"/>
          </w:tcPr>
          <w:p w14:paraId="0BDDFCDE">
            <w:pPr>
              <w:kinsoku/>
              <w:overflowPunct w:val="0"/>
              <w:jc w:val="center"/>
              <w:rPr>
                <w:rFonts w:ascii="方正仿宋_GB2312" w:hAnsi="方正仿宋_GB2312" w:eastAsia="方正仿宋_GB2312" w:cs="方正仿宋_GB2312"/>
                <w:sz w:val="24"/>
                <w:szCs w:val="24"/>
              </w:rPr>
            </w:pPr>
          </w:p>
        </w:tc>
        <w:tc>
          <w:tcPr>
            <w:tcW w:w="428" w:type="pct"/>
            <w:vAlign w:val="center"/>
          </w:tcPr>
          <w:p w14:paraId="251EC745">
            <w:pPr>
              <w:kinsoku/>
              <w:overflowPunct w:val="0"/>
              <w:jc w:val="center"/>
              <w:rPr>
                <w:rFonts w:ascii="方正仿宋_GB2312" w:hAnsi="方正仿宋_GB2312" w:eastAsia="方正仿宋_GB2312" w:cs="方正仿宋_GB2312"/>
                <w:sz w:val="24"/>
                <w:szCs w:val="24"/>
              </w:rPr>
            </w:pPr>
          </w:p>
        </w:tc>
        <w:tc>
          <w:tcPr>
            <w:tcW w:w="420" w:type="pct"/>
            <w:vAlign w:val="center"/>
          </w:tcPr>
          <w:p w14:paraId="2EE1BF96">
            <w:pPr>
              <w:kinsoku/>
              <w:overflowPunct w:val="0"/>
              <w:jc w:val="center"/>
              <w:rPr>
                <w:rFonts w:ascii="方正仿宋_GB2312" w:hAnsi="方正仿宋_GB2312" w:eastAsia="方正仿宋_GB2312" w:cs="方正仿宋_GB2312"/>
                <w:sz w:val="24"/>
                <w:szCs w:val="24"/>
              </w:rPr>
            </w:pPr>
          </w:p>
        </w:tc>
      </w:tr>
      <w:tr w14:paraId="0C026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jc w:val="center"/>
        </w:trPr>
        <w:tc>
          <w:tcPr>
            <w:tcW w:w="371" w:type="pct"/>
            <w:vMerge w:val="continue"/>
            <w:vAlign w:val="center"/>
          </w:tcPr>
          <w:p w14:paraId="4167AD3A">
            <w:pPr>
              <w:kinsoku/>
              <w:overflowPunct w:val="0"/>
              <w:jc w:val="center"/>
              <w:rPr>
                <w:rFonts w:ascii="方正仿宋_GB2312" w:hAnsi="方正仿宋_GB2312" w:eastAsia="方正仿宋_GB2312" w:cs="方正仿宋_GB2312"/>
                <w:sz w:val="24"/>
                <w:szCs w:val="24"/>
              </w:rPr>
            </w:pPr>
          </w:p>
        </w:tc>
        <w:tc>
          <w:tcPr>
            <w:tcW w:w="2959" w:type="pct"/>
            <w:vAlign w:val="center"/>
          </w:tcPr>
          <w:p w14:paraId="179AC0AD">
            <w:pPr>
              <w:kinsoku/>
              <w:overflowPunct w:val="0"/>
              <w:spacing w:before="22" w:line="239" w:lineRule="auto"/>
              <w:ind w:left="50" w:right="46"/>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8"/>
                <w:sz w:val="24"/>
                <w:szCs w:val="24"/>
              </w:rPr>
              <w:t>3.能够有效处理突发事件，有预防突发事件的工作预案并定期演练。当季度有安全事故，每宗扣</w:t>
            </w:r>
            <w:r>
              <w:rPr>
                <w:rFonts w:hint="eastAsia" w:ascii="方正仿宋_GB2312" w:hAnsi="方正仿宋_GB2312" w:eastAsia="方正仿宋_GB2312" w:cs="方正仿宋_GB2312"/>
                <w:spacing w:val="1"/>
                <w:sz w:val="24"/>
                <w:szCs w:val="24"/>
              </w:rPr>
              <w:t xml:space="preserve"> </w:t>
            </w:r>
            <w:r>
              <w:rPr>
                <w:rFonts w:hint="eastAsia" w:ascii="方正仿宋_GB2312" w:hAnsi="方正仿宋_GB2312" w:eastAsia="方正仿宋_GB2312" w:cs="方正仿宋_GB2312"/>
                <w:spacing w:val="9"/>
                <w:sz w:val="24"/>
                <w:szCs w:val="24"/>
              </w:rPr>
              <w:t>2-20分。</w:t>
            </w:r>
          </w:p>
        </w:tc>
        <w:tc>
          <w:tcPr>
            <w:tcW w:w="0" w:type="auto"/>
            <w:vAlign w:val="center"/>
          </w:tcPr>
          <w:p w14:paraId="7D53CD87">
            <w:pPr>
              <w:kinsoku/>
              <w:overflowPunct w:val="0"/>
              <w:jc w:val="center"/>
              <w:rPr>
                <w:rFonts w:ascii="方正仿宋_GB2312" w:hAnsi="方正仿宋_GB2312" w:eastAsia="方正仿宋_GB2312" w:cs="方正仿宋_GB2312"/>
                <w:sz w:val="24"/>
                <w:szCs w:val="24"/>
              </w:rPr>
            </w:pPr>
          </w:p>
        </w:tc>
        <w:tc>
          <w:tcPr>
            <w:tcW w:w="400" w:type="pct"/>
            <w:vAlign w:val="center"/>
          </w:tcPr>
          <w:p w14:paraId="2F9C9D73">
            <w:pPr>
              <w:kinsoku/>
              <w:overflowPunct w:val="0"/>
              <w:jc w:val="center"/>
              <w:rPr>
                <w:rFonts w:ascii="方正仿宋_GB2312" w:hAnsi="方正仿宋_GB2312" w:eastAsia="方正仿宋_GB2312" w:cs="方正仿宋_GB2312"/>
                <w:sz w:val="24"/>
                <w:szCs w:val="24"/>
              </w:rPr>
            </w:pPr>
          </w:p>
        </w:tc>
        <w:tc>
          <w:tcPr>
            <w:tcW w:w="428" w:type="pct"/>
            <w:vAlign w:val="center"/>
          </w:tcPr>
          <w:p w14:paraId="2344B8C3">
            <w:pPr>
              <w:kinsoku/>
              <w:overflowPunct w:val="0"/>
              <w:jc w:val="center"/>
              <w:rPr>
                <w:rFonts w:ascii="方正仿宋_GB2312" w:hAnsi="方正仿宋_GB2312" w:eastAsia="方正仿宋_GB2312" w:cs="方正仿宋_GB2312"/>
                <w:sz w:val="24"/>
                <w:szCs w:val="24"/>
              </w:rPr>
            </w:pPr>
          </w:p>
        </w:tc>
        <w:tc>
          <w:tcPr>
            <w:tcW w:w="420" w:type="pct"/>
            <w:vAlign w:val="center"/>
          </w:tcPr>
          <w:p w14:paraId="04D60668">
            <w:pPr>
              <w:kinsoku/>
              <w:overflowPunct w:val="0"/>
              <w:jc w:val="center"/>
              <w:rPr>
                <w:rFonts w:ascii="方正仿宋_GB2312" w:hAnsi="方正仿宋_GB2312" w:eastAsia="方正仿宋_GB2312" w:cs="方正仿宋_GB2312"/>
                <w:sz w:val="24"/>
                <w:szCs w:val="24"/>
              </w:rPr>
            </w:pPr>
          </w:p>
        </w:tc>
      </w:tr>
      <w:tr w14:paraId="791D0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5" w:hRule="atLeast"/>
          <w:jc w:val="center"/>
        </w:trPr>
        <w:tc>
          <w:tcPr>
            <w:tcW w:w="371" w:type="pct"/>
            <w:vMerge w:val="continue"/>
            <w:vAlign w:val="center"/>
          </w:tcPr>
          <w:p w14:paraId="6E768C05">
            <w:pPr>
              <w:kinsoku/>
              <w:overflowPunct w:val="0"/>
              <w:jc w:val="center"/>
              <w:rPr>
                <w:rFonts w:ascii="方正仿宋_GB2312" w:hAnsi="方正仿宋_GB2312" w:eastAsia="方正仿宋_GB2312" w:cs="方正仿宋_GB2312"/>
                <w:sz w:val="24"/>
                <w:szCs w:val="24"/>
              </w:rPr>
            </w:pPr>
          </w:p>
        </w:tc>
        <w:tc>
          <w:tcPr>
            <w:tcW w:w="2959" w:type="pct"/>
            <w:vAlign w:val="center"/>
          </w:tcPr>
          <w:p w14:paraId="241CF1DF">
            <w:pPr>
              <w:kinsoku/>
              <w:overflowPunct w:val="0"/>
              <w:spacing w:before="42" w:line="234" w:lineRule="auto"/>
              <w:ind w:left="50" w:right="67"/>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7"/>
                <w:sz w:val="24"/>
                <w:szCs w:val="24"/>
              </w:rPr>
              <w:t>4.保安值班、巡逻执勤认真严格，无漏岗现象，</w:t>
            </w:r>
            <w:r>
              <w:rPr>
                <w:rFonts w:hint="eastAsia" w:ascii="方正仿宋_GB2312" w:hAnsi="方正仿宋_GB2312" w:eastAsia="方正仿宋_GB2312" w:cs="方正仿宋_GB2312"/>
                <w:spacing w:val="5"/>
                <w:sz w:val="24"/>
                <w:szCs w:val="24"/>
              </w:rPr>
              <w:t xml:space="preserve"> </w:t>
            </w:r>
            <w:r>
              <w:rPr>
                <w:rFonts w:hint="eastAsia" w:ascii="方正仿宋_GB2312" w:hAnsi="方正仿宋_GB2312" w:eastAsia="方正仿宋_GB2312" w:cs="方正仿宋_GB2312"/>
                <w:spacing w:val="7"/>
                <w:sz w:val="24"/>
                <w:szCs w:val="24"/>
              </w:rPr>
              <w:t>登记、记载齐全，情况处理及时有效，门卫值班</w:t>
            </w:r>
            <w:r>
              <w:rPr>
                <w:rFonts w:hint="eastAsia" w:ascii="方正仿宋_GB2312" w:hAnsi="方正仿宋_GB2312" w:eastAsia="方正仿宋_GB2312" w:cs="方正仿宋_GB2312"/>
                <w:spacing w:val="10"/>
                <w:sz w:val="24"/>
                <w:szCs w:val="24"/>
              </w:rPr>
              <w:t>室整洁。不符合者，每次扣2分。</w:t>
            </w:r>
          </w:p>
        </w:tc>
        <w:tc>
          <w:tcPr>
            <w:tcW w:w="0" w:type="auto"/>
            <w:vAlign w:val="center"/>
          </w:tcPr>
          <w:p w14:paraId="39BB01B8">
            <w:pPr>
              <w:kinsoku/>
              <w:overflowPunct w:val="0"/>
              <w:jc w:val="center"/>
              <w:rPr>
                <w:rFonts w:ascii="方正仿宋_GB2312" w:hAnsi="方正仿宋_GB2312" w:eastAsia="方正仿宋_GB2312" w:cs="方正仿宋_GB2312"/>
                <w:sz w:val="24"/>
                <w:szCs w:val="24"/>
              </w:rPr>
            </w:pPr>
          </w:p>
        </w:tc>
        <w:tc>
          <w:tcPr>
            <w:tcW w:w="400" w:type="pct"/>
            <w:vAlign w:val="center"/>
          </w:tcPr>
          <w:p w14:paraId="2C304AB7">
            <w:pPr>
              <w:kinsoku/>
              <w:overflowPunct w:val="0"/>
              <w:jc w:val="center"/>
              <w:rPr>
                <w:rFonts w:ascii="方正仿宋_GB2312" w:hAnsi="方正仿宋_GB2312" w:eastAsia="方正仿宋_GB2312" w:cs="方正仿宋_GB2312"/>
                <w:sz w:val="24"/>
                <w:szCs w:val="24"/>
              </w:rPr>
            </w:pPr>
          </w:p>
        </w:tc>
        <w:tc>
          <w:tcPr>
            <w:tcW w:w="428" w:type="pct"/>
            <w:vAlign w:val="center"/>
          </w:tcPr>
          <w:p w14:paraId="41C6D3A5">
            <w:pPr>
              <w:kinsoku/>
              <w:overflowPunct w:val="0"/>
              <w:jc w:val="center"/>
              <w:rPr>
                <w:rFonts w:ascii="方正仿宋_GB2312" w:hAnsi="方正仿宋_GB2312" w:eastAsia="方正仿宋_GB2312" w:cs="方正仿宋_GB2312"/>
                <w:sz w:val="24"/>
                <w:szCs w:val="24"/>
              </w:rPr>
            </w:pPr>
          </w:p>
        </w:tc>
        <w:tc>
          <w:tcPr>
            <w:tcW w:w="420" w:type="pct"/>
            <w:vAlign w:val="center"/>
          </w:tcPr>
          <w:p w14:paraId="5E80586E">
            <w:pPr>
              <w:kinsoku/>
              <w:overflowPunct w:val="0"/>
              <w:jc w:val="center"/>
              <w:rPr>
                <w:rFonts w:ascii="方正仿宋_GB2312" w:hAnsi="方正仿宋_GB2312" w:eastAsia="方正仿宋_GB2312" w:cs="方正仿宋_GB2312"/>
                <w:sz w:val="24"/>
                <w:szCs w:val="24"/>
              </w:rPr>
            </w:pPr>
          </w:p>
        </w:tc>
      </w:tr>
      <w:tr w14:paraId="70649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7348519F">
            <w:pPr>
              <w:kinsoku/>
              <w:overflowPunct w:val="0"/>
              <w:jc w:val="center"/>
              <w:rPr>
                <w:rFonts w:ascii="方正仿宋_GB2312" w:hAnsi="方正仿宋_GB2312" w:eastAsia="方正仿宋_GB2312" w:cs="方正仿宋_GB2312"/>
                <w:sz w:val="24"/>
                <w:szCs w:val="24"/>
              </w:rPr>
            </w:pPr>
          </w:p>
        </w:tc>
        <w:tc>
          <w:tcPr>
            <w:tcW w:w="2959" w:type="pct"/>
            <w:vAlign w:val="center"/>
          </w:tcPr>
          <w:p w14:paraId="19C19E9E">
            <w:pPr>
              <w:kinsoku/>
              <w:overflowPunct w:val="0"/>
              <w:spacing w:before="34" w:line="243" w:lineRule="auto"/>
              <w:ind w:left="50" w:right="66"/>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6"/>
                <w:sz w:val="24"/>
                <w:szCs w:val="24"/>
              </w:rPr>
              <w:t>5.监控、消控业务熟悉，监控、消控24小时不失</w:t>
            </w:r>
            <w:r>
              <w:rPr>
                <w:rFonts w:hint="eastAsia" w:ascii="方正仿宋_GB2312" w:hAnsi="方正仿宋_GB2312" w:eastAsia="方正仿宋_GB2312" w:cs="方正仿宋_GB2312"/>
                <w:spacing w:val="17"/>
                <w:sz w:val="24"/>
                <w:szCs w:val="24"/>
              </w:rPr>
              <w:t>控，记录齐全、专人专管，情况处理及时有效，</w:t>
            </w:r>
            <w:r>
              <w:rPr>
                <w:rFonts w:hint="eastAsia" w:ascii="方正仿宋_GB2312" w:hAnsi="方正仿宋_GB2312" w:eastAsia="方正仿宋_GB2312" w:cs="方正仿宋_GB2312"/>
                <w:spacing w:val="8"/>
                <w:sz w:val="24"/>
                <w:szCs w:val="24"/>
              </w:rPr>
              <w:t>监控室整洁。发现不符合者每次扣2分。</w:t>
            </w:r>
          </w:p>
        </w:tc>
        <w:tc>
          <w:tcPr>
            <w:tcW w:w="0" w:type="auto"/>
            <w:vAlign w:val="center"/>
          </w:tcPr>
          <w:p w14:paraId="1D716339">
            <w:pPr>
              <w:kinsoku/>
              <w:overflowPunct w:val="0"/>
              <w:jc w:val="center"/>
              <w:rPr>
                <w:rFonts w:ascii="方正仿宋_GB2312" w:hAnsi="方正仿宋_GB2312" w:eastAsia="方正仿宋_GB2312" w:cs="方正仿宋_GB2312"/>
                <w:sz w:val="24"/>
                <w:szCs w:val="24"/>
              </w:rPr>
            </w:pPr>
          </w:p>
        </w:tc>
        <w:tc>
          <w:tcPr>
            <w:tcW w:w="400" w:type="pct"/>
            <w:vAlign w:val="center"/>
          </w:tcPr>
          <w:p w14:paraId="16A18D03">
            <w:pPr>
              <w:kinsoku/>
              <w:overflowPunct w:val="0"/>
              <w:jc w:val="center"/>
              <w:rPr>
                <w:rFonts w:ascii="方正仿宋_GB2312" w:hAnsi="方正仿宋_GB2312" w:eastAsia="方正仿宋_GB2312" w:cs="方正仿宋_GB2312"/>
                <w:sz w:val="24"/>
                <w:szCs w:val="24"/>
              </w:rPr>
            </w:pPr>
          </w:p>
        </w:tc>
        <w:tc>
          <w:tcPr>
            <w:tcW w:w="428" w:type="pct"/>
            <w:vAlign w:val="center"/>
          </w:tcPr>
          <w:p w14:paraId="11CF7FA3">
            <w:pPr>
              <w:kinsoku/>
              <w:overflowPunct w:val="0"/>
              <w:jc w:val="center"/>
              <w:rPr>
                <w:rFonts w:ascii="方正仿宋_GB2312" w:hAnsi="方正仿宋_GB2312" w:eastAsia="方正仿宋_GB2312" w:cs="方正仿宋_GB2312"/>
                <w:sz w:val="24"/>
                <w:szCs w:val="24"/>
              </w:rPr>
            </w:pPr>
          </w:p>
        </w:tc>
        <w:tc>
          <w:tcPr>
            <w:tcW w:w="420" w:type="pct"/>
            <w:vAlign w:val="center"/>
          </w:tcPr>
          <w:p w14:paraId="25067823">
            <w:pPr>
              <w:kinsoku/>
              <w:overflowPunct w:val="0"/>
              <w:jc w:val="center"/>
              <w:rPr>
                <w:rFonts w:ascii="方正仿宋_GB2312" w:hAnsi="方正仿宋_GB2312" w:eastAsia="方正仿宋_GB2312" w:cs="方正仿宋_GB2312"/>
                <w:sz w:val="24"/>
                <w:szCs w:val="24"/>
              </w:rPr>
            </w:pPr>
          </w:p>
        </w:tc>
      </w:tr>
      <w:tr w14:paraId="6EBD9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233F5969">
            <w:pPr>
              <w:kinsoku/>
              <w:overflowPunct w:val="0"/>
              <w:jc w:val="center"/>
              <w:rPr>
                <w:rFonts w:ascii="方正仿宋_GB2312" w:hAnsi="方正仿宋_GB2312" w:eastAsia="方正仿宋_GB2312" w:cs="方正仿宋_GB2312"/>
                <w:sz w:val="24"/>
                <w:szCs w:val="24"/>
              </w:rPr>
            </w:pPr>
          </w:p>
        </w:tc>
        <w:tc>
          <w:tcPr>
            <w:tcW w:w="2959" w:type="pct"/>
            <w:vAlign w:val="center"/>
          </w:tcPr>
          <w:p w14:paraId="61661EB5">
            <w:pPr>
              <w:kinsoku/>
              <w:overflowPunct w:val="0"/>
              <w:spacing w:before="34" w:line="243" w:lineRule="auto"/>
              <w:ind w:left="50" w:right="66"/>
              <w:jc w:val="center"/>
              <w:rPr>
                <w:rFonts w:ascii="方正仿宋_GB2312" w:hAnsi="方正仿宋_GB2312" w:eastAsia="方正仿宋_GB2312" w:cs="方正仿宋_GB2312"/>
                <w:spacing w:val="16"/>
                <w:sz w:val="24"/>
                <w:szCs w:val="24"/>
              </w:rPr>
            </w:pPr>
            <w:r>
              <w:rPr>
                <w:rFonts w:hint="eastAsia" w:ascii="方正仿宋_GB2312" w:hAnsi="方正仿宋_GB2312" w:eastAsia="方正仿宋_GB2312" w:cs="方正仿宋_GB2312"/>
                <w:spacing w:val="6"/>
                <w:sz w:val="24"/>
                <w:szCs w:val="24"/>
              </w:rPr>
              <w:t>6.车辆出入需按规定查验，指挥车辆停放有序，</w:t>
            </w:r>
            <w:r>
              <w:rPr>
                <w:rFonts w:hint="eastAsia" w:ascii="方正仿宋_GB2312" w:hAnsi="方正仿宋_GB2312" w:eastAsia="方正仿宋_GB2312" w:cs="方正仿宋_GB2312"/>
                <w:spacing w:val="7"/>
                <w:sz w:val="24"/>
                <w:szCs w:val="24"/>
              </w:rPr>
              <w:t>无乱放、乱停车辆现象，车道畅通无阻。发现不</w:t>
            </w:r>
            <w:r>
              <w:rPr>
                <w:rFonts w:hint="eastAsia" w:ascii="方正仿宋_GB2312" w:hAnsi="方正仿宋_GB2312" w:eastAsia="方正仿宋_GB2312" w:cs="方正仿宋_GB2312"/>
                <w:spacing w:val="13"/>
                <w:sz w:val="24"/>
                <w:szCs w:val="24"/>
              </w:rPr>
              <w:t>符合者每次扣2分。</w:t>
            </w:r>
          </w:p>
        </w:tc>
        <w:tc>
          <w:tcPr>
            <w:tcW w:w="0" w:type="auto"/>
            <w:vAlign w:val="center"/>
          </w:tcPr>
          <w:p w14:paraId="10A5868B">
            <w:pPr>
              <w:kinsoku/>
              <w:overflowPunct w:val="0"/>
              <w:jc w:val="center"/>
              <w:rPr>
                <w:rFonts w:ascii="方正仿宋_GB2312" w:hAnsi="方正仿宋_GB2312" w:eastAsia="方正仿宋_GB2312" w:cs="方正仿宋_GB2312"/>
                <w:sz w:val="24"/>
                <w:szCs w:val="24"/>
              </w:rPr>
            </w:pPr>
          </w:p>
        </w:tc>
        <w:tc>
          <w:tcPr>
            <w:tcW w:w="400" w:type="pct"/>
            <w:vAlign w:val="center"/>
          </w:tcPr>
          <w:p w14:paraId="0EA8D031">
            <w:pPr>
              <w:kinsoku/>
              <w:overflowPunct w:val="0"/>
              <w:jc w:val="center"/>
              <w:rPr>
                <w:rFonts w:ascii="方正仿宋_GB2312" w:hAnsi="方正仿宋_GB2312" w:eastAsia="方正仿宋_GB2312" w:cs="方正仿宋_GB2312"/>
                <w:sz w:val="24"/>
                <w:szCs w:val="24"/>
              </w:rPr>
            </w:pPr>
          </w:p>
        </w:tc>
        <w:tc>
          <w:tcPr>
            <w:tcW w:w="428" w:type="pct"/>
            <w:vAlign w:val="center"/>
          </w:tcPr>
          <w:p w14:paraId="2BA104B7">
            <w:pPr>
              <w:kinsoku/>
              <w:overflowPunct w:val="0"/>
              <w:jc w:val="center"/>
              <w:rPr>
                <w:rFonts w:ascii="方正仿宋_GB2312" w:hAnsi="方正仿宋_GB2312" w:eastAsia="方正仿宋_GB2312" w:cs="方正仿宋_GB2312"/>
                <w:sz w:val="24"/>
                <w:szCs w:val="24"/>
              </w:rPr>
            </w:pPr>
          </w:p>
        </w:tc>
        <w:tc>
          <w:tcPr>
            <w:tcW w:w="420" w:type="pct"/>
            <w:vAlign w:val="center"/>
          </w:tcPr>
          <w:p w14:paraId="65026AAD">
            <w:pPr>
              <w:kinsoku/>
              <w:overflowPunct w:val="0"/>
              <w:jc w:val="center"/>
              <w:rPr>
                <w:rFonts w:ascii="方正仿宋_GB2312" w:hAnsi="方正仿宋_GB2312" w:eastAsia="方正仿宋_GB2312" w:cs="方正仿宋_GB2312"/>
                <w:sz w:val="24"/>
                <w:szCs w:val="24"/>
              </w:rPr>
            </w:pPr>
          </w:p>
        </w:tc>
      </w:tr>
      <w:tr w14:paraId="7B679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2D61EB1A">
            <w:pPr>
              <w:kinsoku/>
              <w:overflowPunct w:val="0"/>
              <w:jc w:val="center"/>
              <w:rPr>
                <w:rFonts w:ascii="方正仿宋_GB2312" w:hAnsi="方正仿宋_GB2312" w:eastAsia="方正仿宋_GB2312" w:cs="方正仿宋_GB2312"/>
                <w:sz w:val="24"/>
                <w:szCs w:val="24"/>
              </w:rPr>
            </w:pPr>
          </w:p>
        </w:tc>
        <w:tc>
          <w:tcPr>
            <w:tcW w:w="2959" w:type="pct"/>
            <w:vAlign w:val="center"/>
          </w:tcPr>
          <w:p w14:paraId="1CB0053E">
            <w:pPr>
              <w:kinsoku/>
              <w:overflowPunct w:val="0"/>
              <w:spacing w:before="34" w:line="243" w:lineRule="auto"/>
              <w:ind w:left="50" w:right="66"/>
              <w:jc w:val="center"/>
              <w:rPr>
                <w:rFonts w:ascii="方正仿宋_GB2312" w:hAnsi="方正仿宋_GB2312" w:eastAsia="方正仿宋_GB2312" w:cs="方正仿宋_GB2312"/>
                <w:spacing w:val="16"/>
                <w:sz w:val="24"/>
                <w:szCs w:val="24"/>
              </w:rPr>
            </w:pPr>
            <w:r>
              <w:rPr>
                <w:rFonts w:hint="eastAsia" w:ascii="方正仿宋_GB2312" w:hAnsi="方正仿宋_GB2312" w:eastAsia="方正仿宋_GB2312" w:cs="方正仿宋_GB2312"/>
                <w:spacing w:val="8"/>
                <w:sz w:val="24"/>
                <w:szCs w:val="24"/>
              </w:rPr>
              <w:t>7.安全值班及巡逻情况及记录。发现未按要求巡</w:t>
            </w:r>
            <w:r>
              <w:rPr>
                <w:rFonts w:hint="eastAsia" w:ascii="方正仿宋_GB2312" w:hAnsi="方正仿宋_GB2312" w:eastAsia="方正仿宋_GB2312" w:cs="方正仿宋_GB2312"/>
                <w:spacing w:val="10"/>
                <w:sz w:val="24"/>
                <w:szCs w:val="24"/>
              </w:rPr>
              <w:t>逻或巡查记录缺失，每次扣2分。</w:t>
            </w:r>
          </w:p>
        </w:tc>
        <w:tc>
          <w:tcPr>
            <w:tcW w:w="0" w:type="auto"/>
            <w:vAlign w:val="center"/>
          </w:tcPr>
          <w:p w14:paraId="68EC0F42">
            <w:pPr>
              <w:kinsoku/>
              <w:overflowPunct w:val="0"/>
              <w:jc w:val="center"/>
              <w:rPr>
                <w:rFonts w:ascii="方正仿宋_GB2312" w:hAnsi="方正仿宋_GB2312" w:eastAsia="方正仿宋_GB2312" w:cs="方正仿宋_GB2312"/>
                <w:sz w:val="24"/>
                <w:szCs w:val="24"/>
              </w:rPr>
            </w:pPr>
          </w:p>
        </w:tc>
        <w:tc>
          <w:tcPr>
            <w:tcW w:w="400" w:type="pct"/>
            <w:vAlign w:val="center"/>
          </w:tcPr>
          <w:p w14:paraId="02D80B92">
            <w:pPr>
              <w:kinsoku/>
              <w:overflowPunct w:val="0"/>
              <w:jc w:val="center"/>
              <w:rPr>
                <w:rFonts w:ascii="方正仿宋_GB2312" w:hAnsi="方正仿宋_GB2312" w:eastAsia="方正仿宋_GB2312" w:cs="方正仿宋_GB2312"/>
                <w:sz w:val="24"/>
                <w:szCs w:val="24"/>
              </w:rPr>
            </w:pPr>
          </w:p>
        </w:tc>
        <w:tc>
          <w:tcPr>
            <w:tcW w:w="428" w:type="pct"/>
            <w:vAlign w:val="center"/>
          </w:tcPr>
          <w:p w14:paraId="6A4AC142">
            <w:pPr>
              <w:kinsoku/>
              <w:overflowPunct w:val="0"/>
              <w:jc w:val="center"/>
              <w:rPr>
                <w:rFonts w:ascii="方正仿宋_GB2312" w:hAnsi="方正仿宋_GB2312" w:eastAsia="方正仿宋_GB2312" w:cs="方正仿宋_GB2312"/>
                <w:sz w:val="24"/>
                <w:szCs w:val="24"/>
              </w:rPr>
            </w:pPr>
          </w:p>
        </w:tc>
        <w:tc>
          <w:tcPr>
            <w:tcW w:w="420" w:type="pct"/>
            <w:vAlign w:val="center"/>
          </w:tcPr>
          <w:p w14:paraId="02A3077A">
            <w:pPr>
              <w:kinsoku/>
              <w:overflowPunct w:val="0"/>
              <w:jc w:val="center"/>
              <w:rPr>
                <w:rFonts w:ascii="方正仿宋_GB2312" w:hAnsi="方正仿宋_GB2312" w:eastAsia="方正仿宋_GB2312" w:cs="方正仿宋_GB2312"/>
                <w:sz w:val="24"/>
                <w:szCs w:val="24"/>
              </w:rPr>
            </w:pPr>
          </w:p>
        </w:tc>
      </w:tr>
      <w:tr w14:paraId="2CEC0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6" w:hRule="atLeast"/>
          <w:jc w:val="center"/>
        </w:trPr>
        <w:tc>
          <w:tcPr>
            <w:tcW w:w="371" w:type="pct"/>
            <w:vMerge w:val="restart"/>
            <w:vAlign w:val="center"/>
          </w:tcPr>
          <w:p w14:paraId="62BDBA30">
            <w:pPr>
              <w:kinsoku/>
              <w:overflowPunct w:val="0"/>
              <w:spacing w:before="39"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position w:val="2"/>
                <w:sz w:val="24"/>
                <w:szCs w:val="24"/>
              </w:rPr>
              <w:t>绿化</w:t>
            </w:r>
          </w:p>
          <w:p w14:paraId="39DBA107">
            <w:pPr>
              <w:kinsoku/>
              <w:overflowPunct w:val="0"/>
              <w:spacing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养护</w:t>
            </w:r>
          </w:p>
          <w:p w14:paraId="10EFB280">
            <w:pPr>
              <w:kinsoku/>
              <w:overflowPunct w:val="0"/>
              <w:spacing w:line="30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4"/>
                <w:sz w:val="24"/>
                <w:szCs w:val="24"/>
              </w:rPr>
              <w:t>管理</w:t>
            </w:r>
          </w:p>
        </w:tc>
        <w:tc>
          <w:tcPr>
            <w:tcW w:w="2959" w:type="pct"/>
            <w:vAlign w:val="center"/>
          </w:tcPr>
          <w:p w14:paraId="371A3949">
            <w:pPr>
              <w:kinsoku/>
              <w:overflowPunct w:val="0"/>
              <w:spacing w:before="34" w:line="243" w:lineRule="auto"/>
              <w:ind w:left="50" w:right="66"/>
              <w:jc w:val="center"/>
              <w:rPr>
                <w:rFonts w:ascii="方正仿宋_GB2312" w:hAnsi="方正仿宋_GB2312" w:eastAsia="方正仿宋_GB2312" w:cs="方正仿宋_GB2312"/>
                <w:spacing w:val="8"/>
                <w:sz w:val="24"/>
                <w:szCs w:val="24"/>
              </w:rPr>
            </w:pPr>
            <w:r>
              <w:rPr>
                <w:rFonts w:hint="eastAsia" w:ascii="方正仿宋_GB2312" w:hAnsi="方正仿宋_GB2312" w:eastAsia="方正仿宋_GB2312" w:cs="方正仿宋_GB2312"/>
                <w:spacing w:val="4"/>
                <w:sz w:val="24"/>
                <w:szCs w:val="24"/>
              </w:rPr>
              <w:t>1.绿地无改变使用用途和破坏、践踏、占用现象。</w:t>
            </w:r>
            <w:r>
              <w:rPr>
                <w:rFonts w:hint="eastAsia" w:ascii="方正仿宋_GB2312" w:hAnsi="方正仿宋_GB2312" w:eastAsia="方正仿宋_GB2312" w:cs="方正仿宋_GB2312"/>
                <w:spacing w:val="7"/>
                <w:sz w:val="24"/>
                <w:szCs w:val="24"/>
              </w:rPr>
              <w:t xml:space="preserve"> </w:t>
            </w:r>
            <w:r>
              <w:rPr>
                <w:rFonts w:hint="eastAsia" w:ascii="方正仿宋_GB2312" w:hAnsi="方正仿宋_GB2312" w:eastAsia="方正仿宋_GB2312" w:cs="方正仿宋_GB2312"/>
                <w:spacing w:val="15"/>
                <w:sz w:val="24"/>
                <w:szCs w:val="24"/>
              </w:rPr>
              <w:t>发现每次扣2分</w:t>
            </w:r>
          </w:p>
        </w:tc>
        <w:tc>
          <w:tcPr>
            <w:tcW w:w="0" w:type="auto"/>
            <w:vAlign w:val="center"/>
          </w:tcPr>
          <w:p w14:paraId="0379BF99">
            <w:pPr>
              <w:kinsoku/>
              <w:overflowPunct w:val="0"/>
              <w:jc w:val="center"/>
              <w:rPr>
                <w:rFonts w:ascii="方正仿宋_GB2312" w:hAnsi="方正仿宋_GB2312" w:eastAsia="方正仿宋_GB2312" w:cs="方正仿宋_GB2312"/>
                <w:sz w:val="24"/>
                <w:szCs w:val="24"/>
              </w:rPr>
            </w:pPr>
          </w:p>
        </w:tc>
        <w:tc>
          <w:tcPr>
            <w:tcW w:w="400" w:type="pct"/>
            <w:vAlign w:val="center"/>
          </w:tcPr>
          <w:p w14:paraId="4B5EFC56">
            <w:pPr>
              <w:kinsoku/>
              <w:overflowPunct w:val="0"/>
              <w:jc w:val="center"/>
              <w:rPr>
                <w:rFonts w:ascii="方正仿宋_GB2312" w:hAnsi="方正仿宋_GB2312" w:eastAsia="方正仿宋_GB2312" w:cs="方正仿宋_GB2312"/>
                <w:sz w:val="24"/>
                <w:szCs w:val="24"/>
              </w:rPr>
            </w:pPr>
          </w:p>
        </w:tc>
        <w:tc>
          <w:tcPr>
            <w:tcW w:w="428" w:type="pct"/>
            <w:vAlign w:val="center"/>
          </w:tcPr>
          <w:p w14:paraId="5EDB698C">
            <w:pPr>
              <w:kinsoku/>
              <w:overflowPunct w:val="0"/>
              <w:jc w:val="center"/>
              <w:rPr>
                <w:rFonts w:ascii="方正仿宋_GB2312" w:hAnsi="方正仿宋_GB2312" w:eastAsia="方正仿宋_GB2312" w:cs="方正仿宋_GB2312"/>
                <w:sz w:val="24"/>
                <w:szCs w:val="24"/>
              </w:rPr>
            </w:pPr>
          </w:p>
        </w:tc>
        <w:tc>
          <w:tcPr>
            <w:tcW w:w="420" w:type="pct"/>
            <w:vAlign w:val="center"/>
          </w:tcPr>
          <w:p w14:paraId="697047FC">
            <w:pPr>
              <w:kinsoku/>
              <w:overflowPunct w:val="0"/>
              <w:jc w:val="center"/>
              <w:rPr>
                <w:rFonts w:ascii="方正仿宋_GB2312" w:hAnsi="方正仿宋_GB2312" w:eastAsia="方正仿宋_GB2312" w:cs="方正仿宋_GB2312"/>
                <w:sz w:val="24"/>
                <w:szCs w:val="24"/>
              </w:rPr>
            </w:pPr>
          </w:p>
        </w:tc>
      </w:tr>
      <w:tr w14:paraId="16A96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3842CC5F">
            <w:pPr>
              <w:kinsoku/>
              <w:overflowPunct w:val="0"/>
              <w:jc w:val="center"/>
              <w:rPr>
                <w:rFonts w:ascii="方正仿宋_GB2312" w:hAnsi="方正仿宋_GB2312" w:eastAsia="方正仿宋_GB2312" w:cs="方正仿宋_GB2312"/>
                <w:sz w:val="24"/>
                <w:szCs w:val="24"/>
              </w:rPr>
            </w:pPr>
          </w:p>
        </w:tc>
        <w:tc>
          <w:tcPr>
            <w:tcW w:w="2959" w:type="pct"/>
            <w:vAlign w:val="center"/>
          </w:tcPr>
          <w:p w14:paraId="6E3AA041">
            <w:pPr>
              <w:kinsoku/>
              <w:overflowPunct w:val="0"/>
              <w:spacing w:before="34" w:line="243" w:lineRule="auto"/>
              <w:ind w:left="50" w:right="66"/>
              <w:jc w:val="center"/>
              <w:rPr>
                <w:rFonts w:ascii="方正仿宋_GB2312" w:hAnsi="方正仿宋_GB2312" w:eastAsia="方正仿宋_GB2312" w:cs="方正仿宋_GB2312"/>
                <w:spacing w:val="8"/>
                <w:sz w:val="24"/>
                <w:szCs w:val="24"/>
              </w:rPr>
            </w:pPr>
            <w:r>
              <w:rPr>
                <w:rFonts w:hint="eastAsia" w:ascii="方正仿宋_GB2312" w:hAnsi="方正仿宋_GB2312" w:eastAsia="方正仿宋_GB2312" w:cs="方正仿宋_GB2312"/>
                <w:spacing w:val="5"/>
                <w:sz w:val="24"/>
                <w:szCs w:val="24"/>
              </w:rPr>
              <w:t>2.花草树木长势良好，修剪整齐美观，无病虫害，</w:t>
            </w:r>
            <w:r>
              <w:rPr>
                <w:rFonts w:hint="eastAsia" w:ascii="方正仿宋_GB2312" w:hAnsi="方正仿宋_GB2312" w:eastAsia="方正仿宋_GB2312" w:cs="方正仿宋_GB2312"/>
                <w:spacing w:val="7"/>
                <w:sz w:val="24"/>
                <w:szCs w:val="24"/>
              </w:rPr>
              <w:t>无折损现象，无斑秃。绿化完好率需达98%以上</w:t>
            </w:r>
            <w:r>
              <w:rPr>
                <w:rFonts w:hint="eastAsia" w:ascii="方正仿宋_GB2312" w:hAnsi="方正仿宋_GB2312" w:eastAsia="方正仿宋_GB2312" w:cs="方正仿宋_GB2312"/>
                <w:spacing w:val="6"/>
                <w:sz w:val="24"/>
                <w:szCs w:val="24"/>
              </w:rPr>
              <w:t>。</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pacing w:val="10"/>
                <w:sz w:val="24"/>
                <w:szCs w:val="24"/>
              </w:rPr>
              <w:t>发现不符合每次扣2分。</w:t>
            </w:r>
          </w:p>
        </w:tc>
        <w:tc>
          <w:tcPr>
            <w:tcW w:w="0" w:type="auto"/>
            <w:vAlign w:val="center"/>
          </w:tcPr>
          <w:p w14:paraId="0B49C018">
            <w:pPr>
              <w:kinsoku/>
              <w:overflowPunct w:val="0"/>
              <w:jc w:val="center"/>
              <w:rPr>
                <w:rFonts w:ascii="方正仿宋_GB2312" w:hAnsi="方正仿宋_GB2312" w:eastAsia="方正仿宋_GB2312" w:cs="方正仿宋_GB2312"/>
                <w:sz w:val="24"/>
                <w:szCs w:val="24"/>
              </w:rPr>
            </w:pPr>
          </w:p>
        </w:tc>
        <w:tc>
          <w:tcPr>
            <w:tcW w:w="400" w:type="pct"/>
            <w:vAlign w:val="center"/>
          </w:tcPr>
          <w:p w14:paraId="2DB3833D">
            <w:pPr>
              <w:kinsoku/>
              <w:overflowPunct w:val="0"/>
              <w:jc w:val="center"/>
              <w:rPr>
                <w:rFonts w:ascii="方正仿宋_GB2312" w:hAnsi="方正仿宋_GB2312" w:eastAsia="方正仿宋_GB2312" w:cs="方正仿宋_GB2312"/>
                <w:sz w:val="24"/>
                <w:szCs w:val="24"/>
              </w:rPr>
            </w:pPr>
          </w:p>
        </w:tc>
        <w:tc>
          <w:tcPr>
            <w:tcW w:w="428" w:type="pct"/>
            <w:vAlign w:val="center"/>
          </w:tcPr>
          <w:p w14:paraId="770F5146">
            <w:pPr>
              <w:kinsoku/>
              <w:overflowPunct w:val="0"/>
              <w:jc w:val="center"/>
              <w:rPr>
                <w:rFonts w:ascii="方正仿宋_GB2312" w:hAnsi="方正仿宋_GB2312" w:eastAsia="方正仿宋_GB2312" w:cs="方正仿宋_GB2312"/>
                <w:sz w:val="24"/>
                <w:szCs w:val="24"/>
              </w:rPr>
            </w:pPr>
          </w:p>
        </w:tc>
        <w:tc>
          <w:tcPr>
            <w:tcW w:w="420" w:type="pct"/>
            <w:vAlign w:val="center"/>
          </w:tcPr>
          <w:p w14:paraId="793C5291">
            <w:pPr>
              <w:kinsoku/>
              <w:overflowPunct w:val="0"/>
              <w:jc w:val="center"/>
              <w:rPr>
                <w:rFonts w:ascii="方正仿宋_GB2312" w:hAnsi="方正仿宋_GB2312" w:eastAsia="方正仿宋_GB2312" w:cs="方正仿宋_GB2312"/>
                <w:sz w:val="24"/>
                <w:szCs w:val="24"/>
              </w:rPr>
            </w:pPr>
          </w:p>
        </w:tc>
      </w:tr>
      <w:tr w14:paraId="4FD46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491B4EBB">
            <w:pPr>
              <w:kinsoku/>
              <w:overflowPunct w:val="0"/>
              <w:jc w:val="center"/>
              <w:rPr>
                <w:rFonts w:ascii="方正仿宋_GB2312" w:hAnsi="方正仿宋_GB2312" w:eastAsia="方正仿宋_GB2312" w:cs="方正仿宋_GB2312"/>
                <w:sz w:val="24"/>
                <w:szCs w:val="24"/>
              </w:rPr>
            </w:pPr>
          </w:p>
        </w:tc>
        <w:tc>
          <w:tcPr>
            <w:tcW w:w="2959" w:type="pct"/>
            <w:vAlign w:val="center"/>
          </w:tcPr>
          <w:p w14:paraId="34ADF837">
            <w:pPr>
              <w:kinsoku/>
              <w:overflowPunct w:val="0"/>
              <w:spacing w:before="34" w:line="243" w:lineRule="auto"/>
              <w:ind w:left="50" w:right="66"/>
              <w:jc w:val="center"/>
              <w:rPr>
                <w:rFonts w:ascii="方正仿宋_GB2312" w:hAnsi="方正仿宋_GB2312" w:eastAsia="方正仿宋_GB2312" w:cs="方正仿宋_GB2312"/>
                <w:spacing w:val="8"/>
                <w:sz w:val="24"/>
                <w:szCs w:val="24"/>
              </w:rPr>
            </w:pPr>
            <w:r>
              <w:rPr>
                <w:rFonts w:hint="eastAsia" w:ascii="方正仿宋_GB2312" w:hAnsi="方正仿宋_GB2312" w:eastAsia="方正仿宋_GB2312" w:cs="方正仿宋_GB2312"/>
                <w:spacing w:val="8"/>
                <w:sz w:val="24"/>
                <w:szCs w:val="24"/>
              </w:rPr>
              <w:t>3.花盆、绿地内无烟头、垃圾或其他杂物。发现</w:t>
            </w:r>
            <w:r>
              <w:rPr>
                <w:rFonts w:hint="eastAsia" w:ascii="方正仿宋_GB2312" w:hAnsi="方正仿宋_GB2312" w:eastAsia="方正仿宋_GB2312" w:cs="方正仿宋_GB2312"/>
                <w:spacing w:val="11"/>
                <w:sz w:val="24"/>
                <w:szCs w:val="24"/>
              </w:rPr>
              <w:t>不符合者每次扣2分。</w:t>
            </w:r>
          </w:p>
        </w:tc>
        <w:tc>
          <w:tcPr>
            <w:tcW w:w="0" w:type="auto"/>
            <w:vAlign w:val="center"/>
          </w:tcPr>
          <w:p w14:paraId="354ACA1B">
            <w:pPr>
              <w:kinsoku/>
              <w:overflowPunct w:val="0"/>
              <w:jc w:val="center"/>
              <w:rPr>
                <w:rFonts w:ascii="方正仿宋_GB2312" w:hAnsi="方正仿宋_GB2312" w:eastAsia="方正仿宋_GB2312" w:cs="方正仿宋_GB2312"/>
                <w:sz w:val="24"/>
                <w:szCs w:val="24"/>
              </w:rPr>
            </w:pPr>
          </w:p>
        </w:tc>
        <w:tc>
          <w:tcPr>
            <w:tcW w:w="400" w:type="pct"/>
            <w:vAlign w:val="center"/>
          </w:tcPr>
          <w:p w14:paraId="46F206DD">
            <w:pPr>
              <w:kinsoku/>
              <w:overflowPunct w:val="0"/>
              <w:jc w:val="center"/>
              <w:rPr>
                <w:rFonts w:ascii="方正仿宋_GB2312" w:hAnsi="方正仿宋_GB2312" w:eastAsia="方正仿宋_GB2312" w:cs="方正仿宋_GB2312"/>
                <w:sz w:val="24"/>
                <w:szCs w:val="24"/>
              </w:rPr>
            </w:pPr>
          </w:p>
        </w:tc>
        <w:tc>
          <w:tcPr>
            <w:tcW w:w="428" w:type="pct"/>
            <w:vAlign w:val="center"/>
          </w:tcPr>
          <w:p w14:paraId="703BA7A8">
            <w:pPr>
              <w:kinsoku/>
              <w:overflowPunct w:val="0"/>
              <w:jc w:val="center"/>
              <w:rPr>
                <w:rFonts w:ascii="方正仿宋_GB2312" w:hAnsi="方正仿宋_GB2312" w:eastAsia="方正仿宋_GB2312" w:cs="方正仿宋_GB2312"/>
                <w:sz w:val="24"/>
                <w:szCs w:val="24"/>
              </w:rPr>
            </w:pPr>
          </w:p>
        </w:tc>
        <w:tc>
          <w:tcPr>
            <w:tcW w:w="420" w:type="pct"/>
            <w:vAlign w:val="center"/>
          </w:tcPr>
          <w:p w14:paraId="4D572871">
            <w:pPr>
              <w:kinsoku/>
              <w:overflowPunct w:val="0"/>
              <w:jc w:val="center"/>
              <w:rPr>
                <w:rFonts w:ascii="方正仿宋_GB2312" w:hAnsi="方正仿宋_GB2312" w:eastAsia="方正仿宋_GB2312" w:cs="方正仿宋_GB2312"/>
                <w:sz w:val="24"/>
                <w:szCs w:val="24"/>
              </w:rPr>
            </w:pPr>
          </w:p>
        </w:tc>
      </w:tr>
      <w:tr w14:paraId="74955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73802747">
            <w:pPr>
              <w:kinsoku/>
              <w:overflowPunct w:val="0"/>
              <w:jc w:val="center"/>
              <w:rPr>
                <w:rFonts w:ascii="方正仿宋_GB2312" w:hAnsi="方正仿宋_GB2312" w:eastAsia="方正仿宋_GB2312" w:cs="方正仿宋_GB2312"/>
                <w:sz w:val="24"/>
                <w:szCs w:val="24"/>
              </w:rPr>
            </w:pPr>
          </w:p>
        </w:tc>
        <w:tc>
          <w:tcPr>
            <w:tcW w:w="2959" w:type="pct"/>
            <w:vAlign w:val="center"/>
          </w:tcPr>
          <w:p w14:paraId="6E96CE56">
            <w:pPr>
              <w:kinsoku/>
              <w:overflowPunct w:val="0"/>
              <w:spacing w:before="34" w:line="243" w:lineRule="auto"/>
              <w:ind w:left="50" w:right="66"/>
              <w:jc w:val="center"/>
              <w:rPr>
                <w:rFonts w:ascii="方正仿宋_GB2312" w:hAnsi="方正仿宋_GB2312" w:eastAsia="方正仿宋_GB2312" w:cs="方正仿宋_GB2312"/>
                <w:spacing w:val="8"/>
                <w:sz w:val="24"/>
                <w:szCs w:val="24"/>
              </w:rPr>
            </w:pPr>
            <w:r>
              <w:rPr>
                <w:rFonts w:hint="eastAsia" w:ascii="方正仿宋_GB2312" w:hAnsi="方正仿宋_GB2312" w:eastAsia="方正仿宋_GB2312" w:cs="方正仿宋_GB2312"/>
                <w:spacing w:val="9"/>
                <w:sz w:val="24"/>
                <w:szCs w:val="24"/>
              </w:rPr>
              <w:t>4.树种挂牌。发现未有挂牌的每棵扣2分。</w:t>
            </w:r>
          </w:p>
        </w:tc>
        <w:tc>
          <w:tcPr>
            <w:tcW w:w="0" w:type="auto"/>
            <w:vAlign w:val="center"/>
          </w:tcPr>
          <w:p w14:paraId="15E0BD01">
            <w:pPr>
              <w:kinsoku/>
              <w:overflowPunct w:val="0"/>
              <w:jc w:val="center"/>
              <w:rPr>
                <w:rFonts w:ascii="方正仿宋_GB2312" w:hAnsi="方正仿宋_GB2312" w:eastAsia="方正仿宋_GB2312" w:cs="方正仿宋_GB2312"/>
                <w:sz w:val="24"/>
                <w:szCs w:val="24"/>
              </w:rPr>
            </w:pPr>
          </w:p>
        </w:tc>
        <w:tc>
          <w:tcPr>
            <w:tcW w:w="400" w:type="pct"/>
            <w:vAlign w:val="center"/>
          </w:tcPr>
          <w:p w14:paraId="7803FAFA">
            <w:pPr>
              <w:kinsoku/>
              <w:overflowPunct w:val="0"/>
              <w:jc w:val="center"/>
              <w:rPr>
                <w:rFonts w:ascii="方正仿宋_GB2312" w:hAnsi="方正仿宋_GB2312" w:eastAsia="方正仿宋_GB2312" w:cs="方正仿宋_GB2312"/>
                <w:sz w:val="24"/>
                <w:szCs w:val="24"/>
              </w:rPr>
            </w:pPr>
          </w:p>
        </w:tc>
        <w:tc>
          <w:tcPr>
            <w:tcW w:w="428" w:type="pct"/>
            <w:vAlign w:val="center"/>
          </w:tcPr>
          <w:p w14:paraId="26702ED5">
            <w:pPr>
              <w:kinsoku/>
              <w:overflowPunct w:val="0"/>
              <w:jc w:val="center"/>
              <w:rPr>
                <w:rFonts w:ascii="方正仿宋_GB2312" w:hAnsi="方正仿宋_GB2312" w:eastAsia="方正仿宋_GB2312" w:cs="方正仿宋_GB2312"/>
                <w:sz w:val="24"/>
                <w:szCs w:val="24"/>
              </w:rPr>
            </w:pPr>
          </w:p>
        </w:tc>
        <w:tc>
          <w:tcPr>
            <w:tcW w:w="420" w:type="pct"/>
            <w:vAlign w:val="center"/>
          </w:tcPr>
          <w:p w14:paraId="38BACFFD">
            <w:pPr>
              <w:kinsoku/>
              <w:overflowPunct w:val="0"/>
              <w:jc w:val="center"/>
              <w:rPr>
                <w:rFonts w:ascii="方正仿宋_GB2312" w:hAnsi="方正仿宋_GB2312" w:eastAsia="方正仿宋_GB2312" w:cs="方正仿宋_GB2312"/>
                <w:sz w:val="24"/>
                <w:szCs w:val="24"/>
              </w:rPr>
            </w:pPr>
          </w:p>
        </w:tc>
      </w:tr>
      <w:tr w14:paraId="1F6A1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restart"/>
            <w:vAlign w:val="center"/>
          </w:tcPr>
          <w:p w14:paraId="0CC1D8C5">
            <w:pPr>
              <w:kinsoku/>
              <w:overflowPunct w:val="0"/>
              <w:spacing w:before="39" w:line="300" w:lineRule="atLeas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position w:val="3"/>
                <w:sz w:val="24"/>
                <w:szCs w:val="24"/>
              </w:rPr>
              <w:t>设施</w:t>
            </w:r>
          </w:p>
          <w:p w14:paraId="657F4E5A">
            <w:pPr>
              <w:kinsoku/>
              <w:overflowPunct w:val="0"/>
              <w:spacing w:line="300" w:lineRule="atLeas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设备</w:t>
            </w:r>
          </w:p>
          <w:p w14:paraId="7444B30D">
            <w:pPr>
              <w:kinsoku/>
              <w:overflowPunct w:val="0"/>
              <w:spacing w:before="25" w:line="300" w:lineRule="atLeas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维修</w:t>
            </w:r>
          </w:p>
          <w:p w14:paraId="1C6CEC45">
            <w:pPr>
              <w:kinsoku/>
              <w:overflowPunct w:val="0"/>
              <w:spacing w:line="300" w:lineRule="atLeas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4"/>
                <w:sz w:val="24"/>
                <w:szCs w:val="24"/>
              </w:rPr>
              <w:t>管理</w:t>
            </w:r>
          </w:p>
        </w:tc>
        <w:tc>
          <w:tcPr>
            <w:tcW w:w="2959" w:type="pct"/>
            <w:vAlign w:val="center"/>
          </w:tcPr>
          <w:p w14:paraId="56AE878D">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7"/>
                <w:sz w:val="24"/>
                <w:szCs w:val="24"/>
              </w:rPr>
              <w:t>1.落实设备设施运行维护安全责任，明确设备设</w:t>
            </w:r>
            <w:r>
              <w:rPr>
                <w:rFonts w:hint="eastAsia" w:ascii="方正仿宋_GB2312" w:hAnsi="方正仿宋_GB2312" w:eastAsia="方正仿宋_GB2312" w:cs="方正仿宋_GB2312"/>
                <w:spacing w:val="8"/>
                <w:sz w:val="24"/>
                <w:szCs w:val="24"/>
              </w:rPr>
              <w:t>施负责人。出现故障或日常维护期间负责人工</w:t>
            </w:r>
            <w:r>
              <w:rPr>
                <w:rFonts w:hint="eastAsia" w:ascii="方正仿宋_GB2312" w:hAnsi="方正仿宋_GB2312" w:eastAsia="方正仿宋_GB2312" w:cs="方正仿宋_GB2312"/>
                <w:spacing w:val="7"/>
                <w:sz w:val="24"/>
                <w:szCs w:val="24"/>
              </w:rPr>
              <w:t>作</w:t>
            </w:r>
            <w:r>
              <w:rPr>
                <w:rFonts w:hint="eastAsia" w:ascii="方正仿宋_GB2312" w:hAnsi="方正仿宋_GB2312" w:eastAsia="方正仿宋_GB2312" w:cs="方正仿宋_GB2312"/>
                <w:spacing w:val="10"/>
                <w:sz w:val="24"/>
                <w:szCs w:val="24"/>
              </w:rPr>
              <w:t>不到位的，每次扣2分。</w:t>
            </w:r>
          </w:p>
        </w:tc>
        <w:tc>
          <w:tcPr>
            <w:tcW w:w="0" w:type="auto"/>
            <w:vAlign w:val="center"/>
          </w:tcPr>
          <w:p w14:paraId="400F7563">
            <w:pPr>
              <w:kinsoku/>
              <w:overflowPunct w:val="0"/>
              <w:jc w:val="center"/>
              <w:rPr>
                <w:rFonts w:ascii="方正仿宋_GB2312" w:hAnsi="方正仿宋_GB2312" w:eastAsia="方正仿宋_GB2312" w:cs="方正仿宋_GB2312"/>
                <w:sz w:val="24"/>
                <w:szCs w:val="24"/>
              </w:rPr>
            </w:pPr>
          </w:p>
        </w:tc>
        <w:tc>
          <w:tcPr>
            <w:tcW w:w="400" w:type="pct"/>
            <w:vAlign w:val="center"/>
          </w:tcPr>
          <w:p w14:paraId="6FB40848">
            <w:pPr>
              <w:kinsoku/>
              <w:overflowPunct w:val="0"/>
              <w:jc w:val="center"/>
              <w:rPr>
                <w:rFonts w:ascii="方正仿宋_GB2312" w:hAnsi="方正仿宋_GB2312" w:eastAsia="方正仿宋_GB2312" w:cs="方正仿宋_GB2312"/>
                <w:sz w:val="24"/>
                <w:szCs w:val="24"/>
              </w:rPr>
            </w:pPr>
          </w:p>
        </w:tc>
        <w:tc>
          <w:tcPr>
            <w:tcW w:w="428" w:type="pct"/>
            <w:vAlign w:val="center"/>
          </w:tcPr>
          <w:p w14:paraId="22DBBD4E">
            <w:pPr>
              <w:kinsoku/>
              <w:overflowPunct w:val="0"/>
              <w:jc w:val="center"/>
              <w:rPr>
                <w:rFonts w:ascii="方正仿宋_GB2312" w:hAnsi="方正仿宋_GB2312" w:eastAsia="方正仿宋_GB2312" w:cs="方正仿宋_GB2312"/>
                <w:sz w:val="24"/>
                <w:szCs w:val="24"/>
              </w:rPr>
            </w:pPr>
          </w:p>
        </w:tc>
        <w:tc>
          <w:tcPr>
            <w:tcW w:w="420" w:type="pct"/>
            <w:vAlign w:val="center"/>
          </w:tcPr>
          <w:p w14:paraId="62C48F44">
            <w:pPr>
              <w:kinsoku/>
              <w:overflowPunct w:val="0"/>
              <w:jc w:val="center"/>
              <w:rPr>
                <w:rFonts w:ascii="方正仿宋_GB2312" w:hAnsi="方正仿宋_GB2312" w:eastAsia="方正仿宋_GB2312" w:cs="方正仿宋_GB2312"/>
                <w:sz w:val="24"/>
                <w:szCs w:val="24"/>
              </w:rPr>
            </w:pPr>
          </w:p>
        </w:tc>
      </w:tr>
      <w:tr w14:paraId="004F3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6" w:hRule="atLeast"/>
          <w:jc w:val="center"/>
        </w:trPr>
        <w:tc>
          <w:tcPr>
            <w:tcW w:w="371" w:type="pct"/>
            <w:vMerge w:val="continue"/>
            <w:vAlign w:val="center"/>
          </w:tcPr>
          <w:p w14:paraId="1E0E9800">
            <w:pPr>
              <w:kinsoku/>
              <w:overflowPunct w:val="0"/>
              <w:jc w:val="center"/>
              <w:rPr>
                <w:rFonts w:ascii="方正仿宋_GB2312" w:hAnsi="方正仿宋_GB2312" w:eastAsia="方正仿宋_GB2312" w:cs="方正仿宋_GB2312"/>
                <w:sz w:val="24"/>
                <w:szCs w:val="24"/>
              </w:rPr>
            </w:pPr>
          </w:p>
        </w:tc>
        <w:tc>
          <w:tcPr>
            <w:tcW w:w="2959" w:type="pct"/>
            <w:vAlign w:val="center"/>
          </w:tcPr>
          <w:p w14:paraId="1C889F9E">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8"/>
                <w:sz w:val="24"/>
                <w:szCs w:val="24"/>
              </w:rPr>
              <w:t>2.工程人员需按规定巡视检查各种设施、设备运</w:t>
            </w:r>
            <w:r>
              <w:rPr>
                <w:rFonts w:hint="eastAsia" w:ascii="方正仿宋_GB2312" w:hAnsi="方正仿宋_GB2312" w:eastAsia="方正仿宋_GB2312" w:cs="方正仿宋_GB2312"/>
                <w:spacing w:val="7"/>
                <w:sz w:val="24"/>
                <w:szCs w:val="24"/>
              </w:rPr>
              <w:t>行状况，按时认真做好各种运行记录及报表，保</w:t>
            </w:r>
            <w:r>
              <w:rPr>
                <w:rFonts w:hint="eastAsia" w:ascii="方正仿宋_GB2312" w:hAnsi="方正仿宋_GB2312" w:eastAsia="方正仿宋_GB2312" w:cs="方正仿宋_GB2312"/>
                <w:spacing w:val="9"/>
                <w:sz w:val="24"/>
                <w:szCs w:val="24"/>
              </w:rPr>
              <w:t>管好各种技术资料。发现不符合者每次扣2分。</w:t>
            </w:r>
          </w:p>
        </w:tc>
        <w:tc>
          <w:tcPr>
            <w:tcW w:w="0" w:type="auto"/>
            <w:vAlign w:val="center"/>
          </w:tcPr>
          <w:p w14:paraId="0533E10C">
            <w:pPr>
              <w:kinsoku/>
              <w:overflowPunct w:val="0"/>
              <w:jc w:val="center"/>
              <w:rPr>
                <w:rFonts w:ascii="方正仿宋_GB2312" w:hAnsi="方正仿宋_GB2312" w:eastAsia="方正仿宋_GB2312" w:cs="方正仿宋_GB2312"/>
                <w:sz w:val="24"/>
                <w:szCs w:val="24"/>
              </w:rPr>
            </w:pPr>
          </w:p>
        </w:tc>
        <w:tc>
          <w:tcPr>
            <w:tcW w:w="400" w:type="pct"/>
            <w:vAlign w:val="center"/>
          </w:tcPr>
          <w:p w14:paraId="68629687">
            <w:pPr>
              <w:kinsoku/>
              <w:overflowPunct w:val="0"/>
              <w:jc w:val="center"/>
              <w:rPr>
                <w:rFonts w:ascii="方正仿宋_GB2312" w:hAnsi="方正仿宋_GB2312" w:eastAsia="方正仿宋_GB2312" w:cs="方正仿宋_GB2312"/>
                <w:sz w:val="24"/>
                <w:szCs w:val="24"/>
              </w:rPr>
            </w:pPr>
          </w:p>
        </w:tc>
        <w:tc>
          <w:tcPr>
            <w:tcW w:w="428" w:type="pct"/>
            <w:vAlign w:val="center"/>
          </w:tcPr>
          <w:p w14:paraId="68AB14F0">
            <w:pPr>
              <w:kinsoku/>
              <w:overflowPunct w:val="0"/>
              <w:jc w:val="center"/>
              <w:rPr>
                <w:rFonts w:ascii="方正仿宋_GB2312" w:hAnsi="方正仿宋_GB2312" w:eastAsia="方正仿宋_GB2312" w:cs="方正仿宋_GB2312"/>
                <w:sz w:val="24"/>
                <w:szCs w:val="24"/>
              </w:rPr>
            </w:pPr>
          </w:p>
        </w:tc>
        <w:tc>
          <w:tcPr>
            <w:tcW w:w="420" w:type="pct"/>
            <w:vAlign w:val="center"/>
          </w:tcPr>
          <w:p w14:paraId="51BEBA36">
            <w:pPr>
              <w:kinsoku/>
              <w:overflowPunct w:val="0"/>
              <w:jc w:val="center"/>
              <w:rPr>
                <w:rFonts w:ascii="方正仿宋_GB2312" w:hAnsi="方正仿宋_GB2312" w:eastAsia="方正仿宋_GB2312" w:cs="方正仿宋_GB2312"/>
                <w:sz w:val="24"/>
                <w:szCs w:val="24"/>
              </w:rPr>
            </w:pPr>
          </w:p>
        </w:tc>
      </w:tr>
      <w:tr w14:paraId="281F3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469B4524">
            <w:pPr>
              <w:kinsoku/>
              <w:overflowPunct w:val="0"/>
              <w:jc w:val="center"/>
              <w:rPr>
                <w:rFonts w:ascii="方正仿宋_GB2312" w:hAnsi="方正仿宋_GB2312" w:eastAsia="方正仿宋_GB2312" w:cs="方正仿宋_GB2312"/>
                <w:sz w:val="24"/>
                <w:szCs w:val="24"/>
              </w:rPr>
            </w:pPr>
          </w:p>
        </w:tc>
        <w:tc>
          <w:tcPr>
            <w:tcW w:w="2959" w:type="pct"/>
            <w:vAlign w:val="center"/>
          </w:tcPr>
          <w:p w14:paraId="0D151B2F">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9"/>
                <w:sz w:val="24"/>
                <w:szCs w:val="24"/>
              </w:rPr>
              <w:t>3.做好各机房和设施、设备间的卫生工作，达到</w:t>
            </w:r>
            <w:r>
              <w:rPr>
                <w:rFonts w:hint="eastAsia" w:ascii="方正仿宋_GB2312" w:hAnsi="方正仿宋_GB2312" w:eastAsia="方正仿宋_GB2312" w:cs="方正仿宋_GB2312"/>
                <w:spacing w:val="10"/>
                <w:sz w:val="24"/>
                <w:szCs w:val="24"/>
              </w:rPr>
              <w:t>整洁、无尘。发现不符合者每次扣2分。</w:t>
            </w:r>
          </w:p>
        </w:tc>
        <w:tc>
          <w:tcPr>
            <w:tcW w:w="0" w:type="auto"/>
            <w:vAlign w:val="center"/>
          </w:tcPr>
          <w:p w14:paraId="0635BAFC">
            <w:pPr>
              <w:kinsoku/>
              <w:overflowPunct w:val="0"/>
              <w:jc w:val="center"/>
              <w:rPr>
                <w:rFonts w:ascii="方正仿宋_GB2312" w:hAnsi="方正仿宋_GB2312" w:eastAsia="方正仿宋_GB2312" w:cs="方正仿宋_GB2312"/>
                <w:sz w:val="24"/>
                <w:szCs w:val="24"/>
              </w:rPr>
            </w:pPr>
          </w:p>
        </w:tc>
        <w:tc>
          <w:tcPr>
            <w:tcW w:w="400" w:type="pct"/>
            <w:vAlign w:val="center"/>
          </w:tcPr>
          <w:p w14:paraId="474CB7CC">
            <w:pPr>
              <w:kinsoku/>
              <w:overflowPunct w:val="0"/>
              <w:jc w:val="center"/>
              <w:rPr>
                <w:rFonts w:ascii="方正仿宋_GB2312" w:hAnsi="方正仿宋_GB2312" w:eastAsia="方正仿宋_GB2312" w:cs="方正仿宋_GB2312"/>
                <w:sz w:val="24"/>
                <w:szCs w:val="24"/>
              </w:rPr>
            </w:pPr>
          </w:p>
        </w:tc>
        <w:tc>
          <w:tcPr>
            <w:tcW w:w="428" w:type="pct"/>
            <w:vAlign w:val="center"/>
          </w:tcPr>
          <w:p w14:paraId="25D37D1D">
            <w:pPr>
              <w:kinsoku/>
              <w:overflowPunct w:val="0"/>
              <w:jc w:val="center"/>
              <w:rPr>
                <w:rFonts w:ascii="方正仿宋_GB2312" w:hAnsi="方正仿宋_GB2312" w:eastAsia="方正仿宋_GB2312" w:cs="方正仿宋_GB2312"/>
                <w:sz w:val="24"/>
                <w:szCs w:val="24"/>
              </w:rPr>
            </w:pPr>
          </w:p>
        </w:tc>
        <w:tc>
          <w:tcPr>
            <w:tcW w:w="420" w:type="pct"/>
            <w:vAlign w:val="center"/>
          </w:tcPr>
          <w:p w14:paraId="364CF67B">
            <w:pPr>
              <w:kinsoku/>
              <w:overflowPunct w:val="0"/>
              <w:jc w:val="center"/>
              <w:rPr>
                <w:rFonts w:ascii="方正仿宋_GB2312" w:hAnsi="方正仿宋_GB2312" w:eastAsia="方正仿宋_GB2312" w:cs="方正仿宋_GB2312"/>
                <w:sz w:val="24"/>
                <w:szCs w:val="24"/>
              </w:rPr>
            </w:pPr>
          </w:p>
        </w:tc>
      </w:tr>
      <w:tr w14:paraId="03AA8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143B4F14">
            <w:pPr>
              <w:kinsoku/>
              <w:overflowPunct w:val="0"/>
              <w:jc w:val="center"/>
              <w:rPr>
                <w:rFonts w:ascii="方正仿宋_GB2312" w:hAnsi="方正仿宋_GB2312" w:eastAsia="方正仿宋_GB2312" w:cs="方正仿宋_GB2312"/>
                <w:sz w:val="24"/>
                <w:szCs w:val="24"/>
              </w:rPr>
            </w:pPr>
          </w:p>
        </w:tc>
        <w:tc>
          <w:tcPr>
            <w:tcW w:w="2959" w:type="pct"/>
            <w:vAlign w:val="center"/>
          </w:tcPr>
          <w:p w14:paraId="04A2A681">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4"/>
                <w:sz w:val="24"/>
                <w:szCs w:val="24"/>
              </w:rPr>
              <w:t>4.工程人员需持证上岗，熟悉设施设备运行规定，</w:t>
            </w:r>
            <w:r>
              <w:rPr>
                <w:rFonts w:hint="eastAsia" w:ascii="方正仿宋_GB2312" w:hAnsi="方正仿宋_GB2312" w:eastAsia="方正仿宋_GB2312" w:cs="方正仿宋_GB2312"/>
                <w:spacing w:val="7"/>
                <w:sz w:val="24"/>
                <w:szCs w:val="24"/>
              </w:rPr>
              <w:t xml:space="preserve"> </w:t>
            </w:r>
            <w:r>
              <w:rPr>
                <w:rFonts w:hint="eastAsia" w:ascii="方正仿宋_GB2312" w:hAnsi="方正仿宋_GB2312" w:eastAsia="方正仿宋_GB2312" w:cs="方正仿宋_GB2312"/>
                <w:spacing w:val="8"/>
                <w:sz w:val="24"/>
                <w:szCs w:val="24"/>
              </w:rPr>
              <w:t>按操作规程实施操作；确保正常安全运行。按相</w:t>
            </w:r>
            <w:r>
              <w:rPr>
                <w:rFonts w:hint="eastAsia" w:ascii="方正仿宋_GB2312" w:hAnsi="方正仿宋_GB2312" w:eastAsia="方正仿宋_GB2312" w:cs="方正仿宋_GB2312"/>
                <w:spacing w:val="6"/>
                <w:sz w:val="24"/>
                <w:szCs w:val="24"/>
              </w:rPr>
              <w:t>关政策法规要求安排消防设施设备的值班人员。</w:t>
            </w:r>
            <w:r>
              <w:rPr>
                <w:rFonts w:hint="eastAsia" w:ascii="方正仿宋_GB2312" w:hAnsi="方正仿宋_GB2312" w:eastAsia="方正仿宋_GB2312" w:cs="方正仿宋_GB2312"/>
                <w:spacing w:val="9"/>
                <w:sz w:val="24"/>
                <w:szCs w:val="24"/>
              </w:rPr>
              <w:t>发现不符合者每次发2分。</w:t>
            </w:r>
          </w:p>
        </w:tc>
        <w:tc>
          <w:tcPr>
            <w:tcW w:w="0" w:type="auto"/>
            <w:vAlign w:val="center"/>
          </w:tcPr>
          <w:p w14:paraId="628EAE27">
            <w:pPr>
              <w:kinsoku/>
              <w:overflowPunct w:val="0"/>
              <w:jc w:val="center"/>
              <w:rPr>
                <w:rFonts w:ascii="方正仿宋_GB2312" w:hAnsi="方正仿宋_GB2312" w:eastAsia="方正仿宋_GB2312" w:cs="方正仿宋_GB2312"/>
                <w:sz w:val="24"/>
                <w:szCs w:val="24"/>
              </w:rPr>
            </w:pPr>
          </w:p>
        </w:tc>
        <w:tc>
          <w:tcPr>
            <w:tcW w:w="400" w:type="pct"/>
            <w:vAlign w:val="center"/>
          </w:tcPr>
          <w:p w14:paraId="19F5BDA8">
            <w:pPr>
              <w:kinsoku/>
              <w:overflowPunct w:val="0"/>
              <w:jc w:val="center"/>
              <w:rPr>
                <w:rFonts w:ascii="方正仿宋_GB2312" w:hAnsi="方正仿宋_GB2312" w:eastAsia="方正仿宋_GB2312" w:cs="方正仿宋_GB2312"/>
                <w:sz w:val="24"/>
                <w:szCs w:val="24"/>
              </w:rPr>
            </w:pPr>
          </w:p>
        </w:tc>
        <w:tc>
          <w:tcPr>
            <w:tcW w:w="428" w:type="pct"/>
            <w:vAlign w:val="center"/>
          </w:tcPr>
          <w:p w14:paraId="5C679275">
            <w:pPr>
              <w:kinsoku/>
              <w:overflowPunct w:val="0"/>
              <w:jc w:val="center"/>
              <w:rPr>
                <w:rFonts w:ascii="方正仿宋_GB2312" w:hAnsi="方正仿宋_GB2312" w:eastAsia="方正仿宋_GB2312" w:cs="方正仿宋_GB2312"/>
                <w:sz w:val="24"/>
                <w:szCs w:val="24"/>
              </w:rPr>
            </w:pPr>
          </w:p>
        </w:tc>
        <w:tc>
          <w:tcPr>
            <w:tcW w:w="420" w:type="pct"/>
            <w:vAlign w:val="center"/>
          </w:tcPr>
          <w:p w14:paraId="0BD0CFE2">
            <w:pPr>
              <w:kinsoku/>
              <w:overflowPunct w:val="0"/>
              <w:jc w:val="center"/>
              <w:rPr>
                <w:rFonts w:ascii="方正仿宋_GB2312" w:hAnsi="方正仿宋_GB2312" w:eastAsia="方正仿宋_GB2312" w:cs="方正仿宋_GB2312"/>
                <w:sz w:val="24"/>
                <w:szCs w:val="24"/>
              </w:rPr>
            </w:pPr>
          </w:p>
        </w:tc>
      </w:tr>
      <w:tr w14:paraId="47936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3878B08D">
            <w:pPr>
              <w:kinsoku/>
              <w:overflowPunct w:val="0"/>
              <w:jc w:val="center"/>
              <w:rPr>
                <w:rFonts w:ascii="方正仿宋_GB2312" w:hAnsi="方正仿宋_GB2312" w:eastAsia="方正仿宋_GB2312" w:cs="方正仿宋_GB2312"/>
                <w:sz w:val="24"/>
                <w:szCs w:val="24"/>
              </w:rPr>
            </w:pPr>
          </w:p>
        </w:tc>
        <w:tc>
          <w:tcPr>
            <w:tcW w:w="2959" w:type="pct"/>
            <w:vAlign w:val="center"/>
          </w:tcPr>
          <w:p w14:paraId="21A5B283">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4"/>
                <w:sz w:val="24"/>
                <w:szCs w:val="24"/>
              </w:rPr>
              <w:t>5.发现故障应及时汇报并及时复原，无安全隐患。</w:t>
            </w:r>
            <w:r>
              <w:rPr>
                <w:rFonts w:hint="eastAsia" w:ascii="方正仿宋_GB2312" w:hAnsi="方正仿宋_GB2312" w:eastAsia="方正仿宋_GB2312" w:cs="方正仿宋_GB2312"/>
                <w:spacing w:val="7"/>
                <w:sz w:val="24"/>
                <w:szCs w:val="24"/>
              </w:rPr>
              <w:t xml:space="preserve"> </w:t>
            </w:r>
            <w:r>
              <w:rPr>
                <w:rFonts w:hint="eastAsia" w:ascii="方正仿宋_GB2312" w:hAnsi="方正仿宋_GB2312" w:eastAsia="方正仿宋_GB2312" w:cs="方正仿宋_GB2312"/>
                <w:spacing w:val="11"/>
                <w:sz w:val="24"/>
                <w:szCs w:val="24"/>
              </w:rPr>
              <w:t>不符合者每次扣2分。</w:t>
            </w:r>
          </w:p>
        </w:tc>
        <w:tc>
          <w:tcPr>
            <w:tcW w:w="0" w:type="auto"/>
            <w:vAlign w:val="center"/>
          </w:tcPr>
          <w:p w14:paraId="7AAD326E">
            <w:pPr>
              <w:kinsoku/>
              <w:overflowPunct w:val="0"/>
              <w:jc w:val="center"/>
              <w:rPr>
                <w:rFonts w:ascii="方正仿宋_GB2312" w:hAnsi="方正仿宋_GB2312" w:eastAsia="方正仿宋_GB2312" w:cs="方正仿宋_GB2312"/>
                <w:sz w:val="24"/>
                <w:szCs w:val="24"/>
              </w:rPr>
            </w:pPr>
          </w:p>
        </w:tc>
        <w:tc>
          <w:tcPr>
            <w:tcW w:w="400" w:type="pct"/>
            <w:vAlign w:val="center"/>
          </w:tcPr>
          <w:p w14:paraId="1BCE1867">
            <w:pPr>
              <w:kinsoku/>
              <w:overflowPunct w:val="0"/>
              <w:jc w:val="center"/>
              <w:rPr>
                <w:rFonts w:ascii="方正仿宋_GB2312" w:hAnsi="方正仿宋_GB2312" w:eastAsia="方正仿宋_GB2312" w:cs="方正仿宋_GB2312"/>
                <w:sz w:val="24"/>
                <w:szCs w:val="24"/>
              </w:rPr>
            </w:pPr>
          </w:p>
        </w:tc>
        <w:tc>
          <w:tcPr>
            <w:tcW w:w="428" w:type="pct"/>
            <w:vAlign w:val="center"/>
          </w:tcPr>
          <w:p w14:paraId="2926BB15">
            <w:pPr>
              <w:kinsoku/>
              <w:overflowPunct w:val="0"/>
              <w:jc w:val="center"/>
              <w:rPr>
                <w:rFonts w:ascii="方正仿宋_GB2312" w:hAnsi="方正仿宋_GB2312" w:eastAsia="方正仿宋_GB2312" w:cs="方正仿宋_GB2312"/>
                <w:sz w:val="24"/>
                <w:szCs w:val="24"/>
              </w:rPr>
            </w:pPr>
          </w:p>
        </w:tc>
        <w:tc>
          <w:tcPr>
            <w:tcW w:w="420" w:type="pct"/>
            <w:vAlign w:val="center"/>
          </w:tcPr>
          <w:p w14:paraId="26D6986D">
            <w:pPr>
              <w:kinsoku/>
              <w:overflowPunct w:val="0"/>
              <w:jc w:val="center"/>
              <w:rPr>
                <w:rFonts w:ascii="方正仿宋_GB2312" w:hAnsi="方正仿宋_GB2312" w:eastAsia="方正仿宋_GB2312" w:cs="方正仿宋_GB2312"/>
                <w:sz w:val="24"/>
                <w:szCs w:val="24"/>
              </w:rPr>
            </w:pPr>
          </w:p>
        </w:tc>
      </w:tr>
      <w:tr w14:paraId="6847E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6" w:hRule="atLeast"/>
          <w:jc w:val="center"/>
        </w:trPr>
        <w:tc>
          <w:tcPr>
            <w:tcW w:w="371" w:type="pct"/>
            <w:vMerge w:val="continue"/>
            <w:vAlign w:val="center"/>
          </w:tcPr>
          <w:p w14:paraId="0B8542ED">
            <w:pPr>
              <w:kinsoku/>
              <w:overflowPunct w:val="0"/>
              <w:jc w:val="center"/>
              <w:rPr>
                <w:rFonts w:ascii="方正仿宋_GB2312" w:hAnsi="方正仿宋_GB2312" w:eastAsia="方正仿宋_GB2312" w:cs="方正仿宋_GB2312"/>
                <w:sz w:val="24"/>
                <w:szCs w:val="24"/>
              </w:rPr>
            </w:pPr>
          </w:p>
        </w:tc>
        <w:tc>
          <w:tcPr>
            <w:tcW w:w="2959" w:type="pct"/>
            <w:vAlign w:val="center"/>
          </w:tcPr>
          <w:p w14:paraId="00DE238F">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7"/>
                <w:sz w:val="24"/>
                <w:szCs w:val="24"/>
              </w:rPr>
              <w:t>6.按规定巡查电器设备、空调设备及系统、给排水系统的运行状况，并做好巡查记录，发现问题</w:t>
            </w:r>
            <w:r>
              <w:rPr>
                <w:rFonts w:hint="eastAsia" w:ascii="方正仿宋_GB2312" w:hAnsi="方正仿宋_GB2312" w:eastAsia="方正仿宋_GB2312" w:cs="方正仿宋_GB2312"/>
                <w:spacing w:val="9"/>
                <w:sz w:val="24"/>
                <w:szCs w:val="24"/>
              </w:rPr>
              <w:t>及时处理。确保照明灯具完好率达95%以上，其</w:t>
            </w:r>
            <w:r>
              <w:rPr>
                <w:rFonts w:hint="eastAsia" w:ascii="方正仿宋_GB2312" w:hAnsi="方正仿宋_GB2312" w:eastAsia="方正仿宋_GB2312" w:cs="方正仿宋_GB2312"/>
                <w:spacing w:val="5"/>
                <w:sz w:val="24"/>
                <w:szCs w:val="24"/>
              </w:rPr>
              <w:t>它设备完好率达98%以上，消防设施设备完好率</w:t>
            </w:r>
            <w:r>
              <w:rPr>
                <w:rFonts w:hint="eastAsia" w:ascii="方正仿宋_GB2312" w:hAnsi="方正仿宋_GB2312" w:eastAsia="方正仿宋_GB2312" w:cs="方正仿宋_GB2312"/>
                <w:spacing w:val="9"/>
                <w:sz w:val="24"/>
                <w:szCs w:val="24"/>
              </w:rPr>
              <w:t>100%。发现不符合每次扣2分。</w:t>
            </w:r>
          </w:p>
        </w:tc>
        <w:tc>
          <w:tcPr>
            <w:tcW w:w="0" w:type="auto"/>
            <w:vAlign w:val="center"/>
          </w:tcPr>
          <w:p w14:paraId="7A5CD159">
            <w:pPr>
              <w:kinsoku/>
              <w:overflowPunct w:val="0"/>
              <w:jc w:val="center"/>
              <w:rPr>
                <w:rFonts w:ascii="方正仿宋_GB2312" w:hAnsi="方正仿宋_GB2312" w:eastAsia="方正仿宋_GB2312" w:cs="方正仿宋_GB2312"/>
                <w:sz w:val="24"/>
                <w:szCs w:val="24"/>
              </w:rPr>
            </w:pPr>
          </w:p>
        </w:tc>
        <w:tc>
          <w:tcPr>
            <w:tcW w:w="400" w:type="pct"/>
            <w:vAlign w:val="center"/>
          </w:tcPr>
          <w:p w14:paraId="2999D9B7">
            <w:pPr>
              <w:kinsoku/>
              <w:overflowPunct w:val="0"/>
              <w:jc w:val="center"/>
              <w:rPr>
                <w:rFonts w:ascii="方正仿宋_GB2312" w:hAnsi="方正仿宋_GB2312" w:eastAsia="方正仿宋_GB2312" w:cs="方正仿宋_GB2312"/>
                <w:sz w:val="24"/>
                <w:szCs w:val="24"/>
              </w:rPr>
            </w:pPr>
          </w:p>
        </w:tc>
        <w:tc>
          <w:tcPr>
            <w:tcW w:w="428" w:type="pct"/>
            <w:vAlign w:val="center"/>
          </w:tcPr>
          <w:p w14:paraId="3ED0E5F3">
            <w:pPr>
              <w:kinsoku/>
              <w:overflowPunct w:val="0"/>
              <w:jc w:val="center"/>
              <w:rPr>
                <w:rFonts w:ascii="方正仿宋_GB2312" w:hAnsi="方正仿宋_GB2312" w:eastAsia="方正仿宋_GB2312" w:cs="方正仿宋_GB2312"/>
                <w:sz w:val="24"/>
                <w:szCs w:val="24"/>
              </w:rPr>
            </w:pPr>
          </w:p>
        </w:tc>
        <w:tc>
          <w:tcPr>
            <w:tcW w:w="420" w:type="pct"/>
            <w:vAlign w:val="center"/>
          </w:tcPr>
          <w:p w14:paraId="76F71693">
            <w:pPr>
              <w:kinsoku/>
              <w:overflowPunct w:val="0"/>
              <w:jc w:val="center"/>
              <w:rPr>
                <w:rFonts w:ascii="方正仿宋_GB2312" w:hAnsi="方正仿宋_GB2312" w:eastAsia="方正仿宋_GB2312" w:cs="方正仿宋_GB2312"/>
                <w:sz w:val="24"/>
                <w:szCs w:val="24"/>
              </w:rPr>
            </w:pPr>
          </w:p>
        </w:tc>
      </w:tr>
      <w:tr w14:paraId="29E6E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6" w:hRule="atLeast"/>
          <w:jc w:val="center"/>
        </w:trPr>
        <w:tc>
          <w:tcPr>
            <w:tcW w:w="371" w:type="pct"/>
            <w:vMerge w:val="continue"/>
            <w:vAlign w:val="center"/>
          </w:tcPr>
          <w:p w14:paraId="07CA08D0">
            <w:pPr>
              <w:kinsoku/>
              <w:overflowPunct w:val="0"/>
              <w:jc w:val="center"/>
              <w:rPr>
                <w:rFonts w:ascii="方正仿宋_GB2312" w:hAnsi="方正仿宋_GB2312" w:eastAsia="方正仿宋_GB2312" w:cs="方正仿宋_GB2312"/>
                <w:sz w:val="24"/>
                <w:szCs w:val="24"/>
              </w:rPr>
            </w:pPr>
          </w:p>
        </w:tc>
        <w:tc>
          <w:tcPr>
            <w:tcW w:w="2959" w:type="pct"/>
            <w:vAlign w:val="center"/>
          </w:tcPr>
          <w:p w14:paraId="3C2682C6">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13"/>
                <w:sz w:val="24"/>
                <w:szCs w:val="24"/>
              </w:rPr>
              <w:t>7.零星维修及时完成，维修工程质量合格率达</w:t>
            </w:r>
            <w:r>
              <w:rPr>
                <w:rFonts w:hint="eastAsia" w:ascii="方正仿宋_GB2312" w:hAnsi="方正仿宋_GB2312" w:eastAsia="方正仿宋_GB2312" w:cs="方正仿宋_GB2312"/>
                <w:spacing w:val="18"/>
                <w:sz w:val="24"/>
                <w:szCs w:val="24"/>
              </w:rPr>
              <w:t>99%。不符合者每次扣2分。</w:t>
            </w:r>
          </w:p>
        </w:tc>
        <w:tc>
          <w:tcPr>
            <w:tcW w:w="0" w:type="auto"/>
            <w:vAlign w:val="center"/>
          </w:tcPr>
          <w:p w14:paraId="48106DC5">
            <w:pPr>
              <w:kinsoku/>
              <w:overflowPunct w:val="0"/>
              <w:jc w:val="center"/>
              <w:rPr>
                <w:rFonts w:ascii="方正仿宋_GB2312" w:hAnsi="方正仿宋_GB2312" w:eastAsia="方正仿宋_GB2312" w:cs="方正仿宋_GB2312"/>
                <w:sz w:val="24"/>
                <w:szCs w:val="24"/>
              </w:rPr>
            </w:pPr>
          </w:p>
        </w:tc>
        <w:tc>
          <w:tcPr>
            <w:tcW w:w="400" w:type="pct"/>
            <w:vAlign w:val="center"/>
          </w:tcPr>
          <w:p w14:paraId="1CDAE554">
            <w:pPr>
              <w:kinsoku/>
              <w:overflowPunct w:val="0"/>
              <w:jc w:val="center"/>
              <w:rPr>
                <w:rFonts w:ascii="方正仿宋_GB2312" w:hAnsi="方正仿宋_GB2312" w:eastAsia="方正仿宋_GB2312" w:cs="方正仿宋_GB2312"/>
                <w:sz w:val="24"/>
                <w:szCs w:val="24"/>
              </w:rPr>
            </w:pPr>
          </w:p>
        </w:tc>
        <w:tc>
          <w:tcPr>
            <w:tcW w:w="428" w:type="pct"/>
            <w:vAlign w:val="center"/>
          </w:tcPr>
          <w:p w14:paraId="56A8861C">
            <w:pPr>
              <w:kinsoku/>
              <w:overflowPunct w:val="0"/>
              <w:jc w:val="center"/>
              <w:rPr>
                <w:rFonts w:ascii="方正仿宋_GB2312" w:hAnsi="方正仿宋_GB2312" w:eastAsia="方正仿宋_GB2312" w:cs="方正仿宋_GB2312"/>
                <w:sz w:val="24"/>
                <w:szCs w:val="24"/>
              </w:rPr>
            </w:pPr>
          </w:p>
        </w:tc>
        <w:tc>
          <w:tcPr>
            <w:tcW w:w="420" w:type="pct"/>
            <w:vAlign w:val="center"/>
          </w:tcPr>
          <w:p w14:paraId="581B2DB5">
            <w:pPr>
              <w:kinsoku/>
              <w:overflowPunct w:val="0"/>
              <w:jc w:val="center"/>
              <w:rPr>
                <w:rFonts w:ascii="方正仿宋_GB2312" w:hAnsi="方正仿宋_GB2312" w:eastAsia="方正仿宋_GB2312" w:cs="方正仿宋_GB2312"/>
                <w:sz w:val="24"/>
                <w:szCs w:val="24"/>
              </w:rPr>
            </w:pPr>
          </w:p>
        </w:tc>
      </w:tr>
      <w:tr w14:paraId="7705E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07093DF8">
            <w:pPr>
              <w:kinsoku/>
              <w:overflowPunct w:val="0"/>
              <w:jc w:val="center"/>
              <w:rPr>
                <w:rFonts w:ascii="方正仿宋_GB2312" w:hAnsi="方正仿宋_GB2312" w:eastAsia="方正仿宋_GB2312" w:cs="方正仿宋_GB2312"/>
                <w:sz w:val="24"/>
                <w:szCs w:val="24"/>
              </w:rPr>
            </w:pPr>
          </w:p>
        </w:tc>
        <w:tc>
          <w:tcPr>
            <w:tcW w:w="2959" w:type="pct"/>
            <w:vAlign w:val="center"/>
          </w:tcPr>
          <w:p w14:paraId="31631C3D">
            <w:pPr>
              <w:kinsoku/>
              <w:overflowPunct w:val="0"/>
              <w:spacing w:before="34" w:line="243" w:lineRule="auto"/>
              <w:ind w:left="50" w:right="66"/>
              <w:jc w:val="center"/>
              <w:rPr>
                <w:rFonts w:ascii="方正仿宋_GB2312" w:hAnsi="方正仿宋_GB2312" w:eastAsia="方正仿宋_GB2312" w:cs="方正仿宋_GB2312"/>
                <w:spacing w:val="9"/>
                <w:sz w:val="24"/>
                <w:szCs w:val="24"/>
              </w:rPr>
            </w:pPr>
            <w:r>
              <w:rPr>
                <w:rFonts w:hint="eastAsia" w:ascii="方正仿宋_GB2312" w:hAnsi="方正仿宋_GB2312" w:eastAsia="方正仿宋_GB2312" w:cs="方正仿宋_GB2312"/>
                <w:spacing w:val="7"/>
                <w:sz w:val="24"/>
                <w:szCs w:val="24"/>
              </w:rPr>
              <w:t>8.配合采购人做好会议接待及重要活动期间的设</w:t>
            </w:r>
            <w:r>
              <w:rPr>
                <w:rFonts w:hint="eastAsia" w:ascii="方正仿宋_GB2312" w:hAnsi="方正仿宋_GB2312" w:eastAsia="方正仿宋_GB2312" w:cs="方正仿宋_GB2312"/>
                <w:spacing w:val="10"/>
                <w:sz w:val="24"/>
                <w:szCs w:val="24"/>
              </w:rPr>
              <w:t>备安全运行。未做好服务者每次扣2分。</w:t>
            </w:r>
          </w:p>
        </w:tc>
        <w:tc>
          <w:tcPr>
            <w:tcW w:w="0" w:type="auto"/>
            <w:vAlign w:val="center"/>
          </w:tcPr>
          <w:p w14:paraId="2C1F11C3">
            <w:pPr>
              <w:kinsoku/>
              <w:overflowPunct w:val="0"/>
              <w:jc w:val="center"/>
              <w:rPr>
                <w:rFonts w:ascii="方正仿宋_GB2312" w:hAnsi="方正仿宋_GB2312" w:eastAsia="方正仿宋_GB2312" w:cs="方正仿宋_GB2312"/>
                <w:sz w:val="24"/>
                <w:szCs w:val="24"/>
              </w:rPr>
            </w:pPr>
          </w:p>
        </w:tc>
        <w:tc>
          <w:tcPr>
            <w:tcW w:w="400" w:type="pct"/>
            <w:vAlign w:val="center"/>
          </w:tcPr>
          <w:p w14:paraId="64A494BB">
            <w:pPr>
              <w:kinsoku/>
              <w:overflowPunct w:val="0"/>
              <w:jc w:val="center"/>
              <w:rPr>
                <w:rFonts w:ascii="方正仿宋_GB2312" w:hAnsi="方正仿宋_GB2312" w:eastAsia="方正仿宋_GB2312" w:cs="方正仿宋_GB2312"/>
                <w:sz w:val="24"/>
                <w:szCs w:val="24"/>
              </w:rPr>
            </w:pPr>
          </w:p>
        </w:tc>
        <w:tc>
          <w:tcPr>
            <w:tcW w:w="428" w:type="pct"/>
            <w:vAlign w:val="center"/>
          </w:tcPr>
          <w:p w14:paraId="69781F68">
            <w:pPr>
              <w:kinsoku/>
              <w:overflowPunct w:val="0"/>
              <w:jc w:val="center"/>
              <w:rPr>
                <w:rFonts w:ascii="方正仿宋_GB2312" w:hAnsi="方正仿宋_GB2312" w:eastAsia="方正仿宋_GB2312" w:cs="方正仿宋_GB2312"/>
                <w:sz w:val="24"/>
                <w:szCs w:val="24"/>
              </w:rPr>
            </w:pPr>
          </w:p>
        </w:tc>
        <w:tc>
          <w:tcPr>
            <w:tcW w:w="420" w:type="pct"/>
            <w:vAlign w:val="center"/>
          </w:tcPr>
          <w:p w14:paraId="24C847B3">
            <w:pPr>
              <w:kinsoku/>
              <w:overflowPunct w:val="0"/>
              <w:jc w:val="center"/>
              <w:rPr>
                <w:rFonts w:ascii="方正仿宋_GB2312" w:hAnsi="方正仿宋_GB2312" w:eastAsia="方正仿宋_GB2312" w:cs="方正仿宋_GB2312"/>
                <w:sz w:val="24"/>
                <w:szCs w:val="24"/>
              </w:rPr>
            </w:pPr>
          </w:p>
        </w:tc>
      </w:tr>
      <w:tr w14:paraId="596C8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6" w:hRule="atLeast"/>
          <w:jc w:val="center"/>
        </w:trPr>
        <w:tc>
          <w:tcPr>
            <w:tcW w:w="371" w:type="pct"/>
            <w:vMerge w:val="restart"/>
            <w:vAlign w:val="center"/>
          </w:tcPr>
          <w:p w14:paraId="19D8017A">
            <w:pPr>
              <w:kinsoku/>
              <w:overflowPunct w:val="0"/>
              <w:spacing w:before="39" w:line="300" w:lineRule="atLeast"/>
              <w:ind w:right="74"/>
              <w:jc w:val="both"/>
              <w:rPr>
                <w:rFonts w:ascii="方正仿宋_GB2312" w:hAnsi="方正仿宋_GB2312" w:eastAsia="方正仿宋_GB2312" w:cs="方正仿宋_GB2312"/>
                <w:b/>
                <w:bCs/>
                <w:spacing w:val="-4"/>
                <w:sz w:val="24"/>
                <w:szCs w:val="24"/>
              </w:rPr>
            </w:pPr>
            <w:r>
              <w:rPr>
                <w:rFonts w:hint="eastAsia" w:ascii="方正仿宋_GB2312" w:hAnsi="方正仿宋_GB2312" w:eastAsia="方正仿宋_GB2312" w:cs="方正仿宋_GB2312"/>
                <w:b/>
                <w:bCs/>
                <w:spacing w:val="-4"/>
                <w:sz w:val="24"/>
                <w:szCs w:val="24"/>
              </w:rPr>
              <w:t>其他</w:t>
            </w:r>
          </w:p>
          <w:p w14:paraId="23079B09">
            <w:pPr>
              <w:kinsoku/>
              <w:overflowPunct w:val="0"/>
              <w:spacing w:before="39" w:line="300" w:lineRule="atLeast"/>
              <w:ind w:right="74"/>
              <w:jc w:val="both"/>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日常</w:t>
            </w:r>
          </w:p>
          <w:p w14:paraId="45202AAD">
            <w:pPr>
              <w:kinsoku/>
              <w:overflowPunct w:val="0"/>
              <w:spacing w:line="300" w:lineRule="atLeas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4"/>
                <w:sz w:val="24"/>
                <w:szCs w:val="24"/>
              </w:rPr>
              <w:t>管理</w:t>
            </w:r>
          </w:p>
        </w:tc>
        <w:tc>
          <w:tcPr>
            <w:tcW w:w="2959" w:type="pct"/>
            <w:vAlign w:val="center"/>
          </w:tcPr>
          <w:p w14:paraId="08B443D2">
            <w:pPr>
              <w:kinsoku/>
              <w:overflowPunct w:val="0"/>
              <w:spacing w:before="34" w:line="243" w:lineRule="auto"/>
              <w:ind w:left="50" w:right="66"/>
              <w:jc w:val="center"/>
              <w:rPr>
                <w:rFonts w:ascii="方正仿宋_GB2312" w:hAnsi="方正仿宋_GB2312" w:eastAsia="方正仿宋_GB2312" w:cs="方正仿宋_GB2312"/>
                <w:spacing w:val="7"/>
                <w:sz w:val="24"/>
                <w:szCs w:val="24"/>
              </w:rPr>
            </w:pPr>
            <w:r>
              <w:rPr>
                <w:rFonts w:hint="eastAsia" w:ascii="方正仿宋_GB2312" w:hAnsi="方正仿宋_GB2312" w:eastAsia="方正仿宋_GB2312" w:cs="方正仿宋_GB2312"/>
                <w:spacing w:val="15"/>
                <w:sz w:val="24"/>
                <w:szCs w:val="24"/>
              </w:rPr>
              <w:t>1.按照采购人相关要求及时健全管理规章制度，</w:t>
            </w:r>
            <w:r>
              <w:rPr>
                <w:rFonts w:hint="eastAsia" w:ascii="方正仿宋_GB2312" w:hAnsi="方正仿宋_GB2312" w:eastAsia="方正仿宋_GB2312" w:cs="方正仿宋_GB2312"/>
                <w:spacing w:val="17"/>
                <w:sz w:val="24"/>
                <w:szCs w:val="24"/>
              </w:rPr>
              <w:t>人员岗位职责明确，有详尽的记录。不及时完善</w:t>
            </w:r>
            <w:r>
              <w:rPr>
                <w:rFonts w:hint="eastAsia" w:ascii="方正仿宋_GB2312" w:hAnsi="方正仿宋_GB2312" w:eastAsia="方正仿宋_GB2312" w:cs="方正仿宋_GB2312"/>
                <w:spacing w:val="22"/>
                <w:sz w:val="24"/>
                <w:szCs w:val="24"/>
              </w:rPr>
              <w:t>制度每季度扣5分。</w:t>
            </w:r>
          </w:p>
        </w:tc>
        <w:tc>
          <w:tcPr>
            <w:tcW w:w="0" w:type="auto"/>
            <w:vAlign w:val="center"/>
          </w:tcPr>
          <w:p w14:paraId="737761E6">
            <w:pPr>
              <w:kinsoku/>
              <w:overflowPunct w:val="0"/>
              <w:jc w:val="center"/>
              <w:rPr>
                <w:rFonts w:ascii="方正仿宋_GB2312" w:hAnsi="方正仿宋_GB2312" w:eastAsia="方正仿宋_GB2312" w:cs="方正仿宋_GB2312"/>
                <w:sz w:val="24"/>
                <w:szCs w:val="24"/>
              </w:rPr>
            </w:pPr>
          </w:p>
        </w:tc>
        <w:tc>
          <w:tcPr>
            <w:tcW w:w="400" w:type="pct"/>
            <w:vAlign w:val="center"/>
          </w:tcPr>
          <w:p w14:paraId="5353E5D9">
            <w:pPr>
              <w:kinsoku/>
              <w:overflowPunct w:val="0"/>
              <w:jc w:val="center"/>
              <w:rPr>
                <w:rFonts w:ascii="方正仿宋_GB2312" w:hAnsi="方正仿宋_GB2312" w:eastAsia="方正仿宋_GB2312" w:cs="方正仿宋_GB2312"/>
                <w:sz w:val="24"/>
                <w:szCs w:val="24"/>
              </w:rPr>
            </w:pPr>
          </w:p>
        </w:tc>
        <w:tc>
          <w:tcPr>
            <w:tcW w:w="428" w:type="pct"/>
            <w:vAlign w:val="center"/>
          </w:tcPr>
          <w:p w14:paraId="2DAC8276">
            <w:pPr>
              <w:kinsoku/>
              <w:overflowPunct w:val="0"/>
              <w:jc w:val="center"/>
              <w:rPr>
                <w:rFonts w:ascii="方正仿宋_GB2312" w:hAnsi="方正仿宋_GB2312" w:eastAsia="方正仿宋_GB2312" w:cs="方正仿宋_GB2312"/>
                <w:sz w:val="24"/>
                <w:szCs w:val="24"/>
              </w:rPr>
            </w:pPr>
          </w:p>
        </w:tc>
        <w:tc>
          <w:tcPr>
            <w:tcW w:w="420" w:type="pct"/>
            <w:vAlign w:val="center"/>
          </w:tcPr>
          <w:p w14:paraId="1454BF33">
            <w:pPr>
              <w:kinsoku/>
              <w:overflowPunct w:val="0"/>
              <w:jc w:val="center"/>
              <w:rPr>
                <w:rFonts w:ascii="方正仿宋_GB2312" w:hAnsi="方正仿宋_GB2312" w:eastAsia="方正仿宋_GB2312" w:cs="方正仿宋_GB2312"/>
                <w:sz w:val="24"/>
                <w:szCs w:val="24"/>
              </w:rPr>
            </w:pPr>
          </w:p>
        </w:tc>
      </w:tr>
      <w:tr w14:paraId="276FB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6B0E5711">
            <w:pPr>
              <w:kinsoku/>
              <w:overflowPunct w:val="0"/>
              <w:jc w:val="center"/>
              <w:rPr>
                <w:rFonts w:ascii="方正仿宋_GB2312" w:hAnsi="方正仿宋_GB2312" w:eastAsia="方正仿宋_GB2312" w:cs="方正仿宋_GB2312"/>
                <w:sz w:val="24"/>
                <w:szCs w:val="24"/>
              </w:rPr>
            </w:pPr>
          </w:p>
        </w:tc>
        <w:tc>
          <w:tcPr>
            <w:tcW w:w="2959" w:type="pct"/>
            <w:vAlign w:val="center"/>
          </w:tcPr>
          <w:p w14:paraId="4782237C">
            <w:pPr>
              <w:kinsoku/>
              <w:overflowPunct w:val="0"/>
              <w:spacing w:before="34" w:line="243" w:lineRule="auto"/>
              <w:ind w:left="50" w:right="66"/>
              <w:jc w:val="center"/>
              <w:rPr>
                <w:rFonts w:ascii="方正仿宋_GB2312" w:hAnsi="方正仿宋_GB2312" w:eastAsia="方正仿宋_GB2312" w:cs="方正仿宋_GB2312"/>
                <w:spacing w:val="7"/>
                <w:sz w:val="24"/>
                <w:szCs w:val="24"/>
              </w:rPr>
            </w:pPr>
            <w:r>
              <w:rPr>
                <w:rFonts w:hint="eastAsia" w:ascii="方正仿宋_GB2312" w:hAnsi="方正仿宋_GB2312" w:eastAsia="方正仿宋_GB2312" w:cs="方正仿宋_GB2312"/>
                <w:spacing w:val="8"/>
                <w:sz w:val="24"/>
                <w:szCs w:val="24"/>
              </w:rPr>
              <w:t>2.物业员工需统一着装，文明礼貌，热情为业主</w:t>
            </w:r>
            <w:r>
              <w:rPr>
                <w:rFonts w:hint="eastAsia" w:ascii="方正仿宋_GB2312" w:hAnsi="方正仿宋_GB2312" w:eastAsia="方正仿宋_GB2312" w:cs="方正仿宋_GB2312"/>
                <w:spacing w:val="9"/>
                <w:sz w:val="24"/>
                <w:szCs w:val="24"/>
              </w:rPr>
              <w:t>服务。发现不符合者每人每次扣2分。</w:t>
            </w:r>
          </w:p>
        </w:tc>
        <w:tc>
          <w:tcPr>
            <w:tcW w:w="0" w:type="auto"/>
            <w:vAlign w:val="center"/>
          </w:tcPr>
          <w:p w14:paraId="5B4072C7">
            <w:pPr>
              <w:kinsoku/>
              <w:overflowPunct w:val="0"/>
              <w:jc w:val="center"/>
              <w:rPr>
                <w:rFonts w:ascii="方正仿宋_GB2312" w:hAnsi="方正仿宋_GB2312" w:eastAsia="方正仿宋_GB2312" w:cs="方正仿宋_GB2312"/>
                <w:sz w:val="24"/>
                <w:szCs w:val="24"/>
              </w:rPr>
            </w:pPr>
          </w:p>
        </w:tc>
        <w:tc>
          <w:tcPr>
            <w:tcW w:w="400" w:type="pct"/>
            <w:vAlign w:val="center"/>
          </w:tcPr>
          <w:p w14:paraId="3A6C5375">
            <w:pPr>
              <w:kinsoku/>
              <w:overflowPunct w:val="0"/>
              <w:jc w:val="center"/>
              <w:rPr>
                <w:rFonts w:ascii="方正仿宋_GB2312" w:hAnsi="方正仿宋_GB2312" w:eastAsia="方正仿宋_GB2312" w:cs="方正仿宋_GB2312"/>
                <w:sz w:val="24"/>
                <w:szCs w:val="24"/>
              </w:rPr>
            </w:pPr>
          </w:p>
        </w:tc>
        <w:tc>
          <w:tcPr>
            <w:tcW w:w="428" w:type="pct"/>
            <w:vAlign w:val="center"/>
          </w:tcPr>
          <w:p w14:paraId="4A03FFBD">
            <w:pPr>
              <w:kinsoku/>
              <w:overflowPunct w:val="0"/>
              <w:jc w:val="center"/>
              <w:rPr>
                <w:rFonts w:ascii="方正仿宋_GB2312" w:hAnsi="方正仿宋_GB2312" w:eastAsia="方正仿宋_GB2312" w:cs="方正仿宋_GB2312"/>
                <w:sz w:val="24"/>
                <w:szCs w:val="24"/>
              </w:rPr>
            </w:pPr>
          </w:p>
        </w:tc>
        <w:tc>
          <w:tcPr>
            <w:tcW w:w="420" w:type="pct"/>
            <w:vAlign w:val="center"/>
          </w:tcPr>
          <w:p w14:paraId="08051C68">
            <w:pPr>
              <w:kinsoku/>
              <w:overflowPunct w:val="0"/>
              <w:jc w:val="center"/>
              <w:rPr>
                <w:rFonts w:ascii="方正仿宋_GB2312" w:hAnsi="方正仿宋_GB2312" w:eastAsia="方正仿宋_GB2312" w:cs="方正仿宋_GB2312"/>
                <w:sz w:val="24"/>
                <w:szCs w:val="24"/>
              </w:rPr>
            </w:pPr>
          </w:p>
        </w:tc>
      </w:tr>
      <w:tr w14:paraId="2F35B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31C23861">
            <w:pPr>
              <w:kinsoku/>
              <w:overflowPunct w:val="0"/>
              <w:jc w:val="center"/>
              <w:rPr>
                <w:rFonts w:ascii="方正仿宋_GB2312" w:hAnsi="方正仿宋_GB2312" w:eastAsia="方正仿宋_GB2312" w:cs="方正仿宋_GB2312"/>
                <w:sz w:val="24"/>
                <w:szCs w:val="24"/>
              </w:rPr>
            </w:pPr>
          </w:p>
        </w:tc>
        <w:tc>
          <w:tcPr>
            <w:tcW w:w="2959" w:type="pct"/>
            <w:vAlign w:val="center"/>
          </w:tcPr>
          <w:p w14:paraId="1EB430CF">
            <w:pPr>
              <w:kinsoku/>
              <w:overflowPunct w:val="0"/>
              <w:spacing w:before="34" w:line="243" w:lineRule="auto"/>
              <w:ind w:left="50" w:right="66"/>
              <w:jc w:val="center"/>
              <w:rPr>
                <w:rFonts w:ascii="方正仿宋_GB2312" w:hAnsi="方正仿宋_GB2312" w:eastAsia="方正仿宋_GB2312" w:cs="方正仿宋_GB2312"/>
                <w:spacing w:val="7"/>
                <w:sz w:val="24"/>
                <w:szCs w:val="24"/>
              </w:rPr>
            </w:pPr>
            <w:r>
              <w:rPr>
                <w:rFonts w:hint="eastAsia" w:ascii="方正仿宋_GB2312" w:hAnsi="方正仿宋_GB2312" w:eastAsia="方正仿宋_GB2312" w:cs="方正仿宋_GB2312"/>
                <w:spacing w:val="6"/>
                <w:sz w:val="24"/>
                <w:szCs w:val="24"/>
              </w:rPr>
              <w:t>3.物业员工需按合同规定配备齐全，严格考勤、</w:t>
            </w:r>
            <w:r>
              <w:rPr>
                <w:rFonts w:hint="eastAsia" w:ascii="方正仿宋_GB2312" w:hAnsi="方正仿宋_GB2312" w:eastAsia="方正仿宋_GB2312" w:cs="方正仿宋_GB2312"/>
                <w:spacing w:val="7"/>
                <w:sz w:val="24"/>
                <w:szCs w:val="24"/>
              </w:rPr>
              <w:t xml:space="preserve"> </w:t>
            </w:r>
            <w:r>
              <w:rPr>
                <w:rFonts w:hint="eastAsia" w:ascii="方正仿宋_GB2312" w:hAnsi="方正仿宋_GB2312" w:eastAsia="方正仿宋_GB2312" w:cs="方正仿宋_GB2312"/>
                <w:spacing w:val="10"/>
                <w:sz w:val="24"/>
                <w:szCs w:val="24"/>
              </w:rPr>
              <w:t>考核纪录。发现缺岗、脱岗，每岗每月扣2分。</w:t>
            </w:r>
          </w:p>
        </w:tc>
        <w:tc>
          <w:tcPr>
            <w:tcW w:w="0" w:type="auto"/>
            <w:vAlign w:val="center"/>
          </w:tcPr>
          <w:p w14:paraId="42AABABC">
            <w:pPr>
              <w:kinsoku/>
              <w:overflowPunct w:val="0"/>
              <w:jc w:val="center"/>
              <w:rPr>
                <w:rFonts w:ascii="方正仿宋_GB2312" w:hAnsi="方正仿宋_GB2312" w:eastAsia="方正仿宋_GB2312" w:cs="方正仿宋_GB2312"/>
                <w:sz w:val="24"/>
                <w:szCs w:val="24"/>
              </w:rPr>
            </w:pPr>
          </w:p>
        </w:tc>
        <w:tc>
          <w:tcPr>
            <w:tcW w:w="400" w:type="pct"/>
            <w:vAlign w:val="center"/>
          </w:tcPr>
          <w:p w14:paraId="14C63C47">
            <w:pPr>
              <w:kinsoku/>
              <w:overflowPunct w:val="0"/>
              <w:jc w:val="center"/>
              <w:rPr>
                <w:rFonts w:ascii="方正仿宋_GB2312" w:hAnsi="方正仿宋_GB2312" w:eastAsia="方正仿宋_GB2312" w:cs="方正仿宋_GB2312"/>
                <w:sz w:val="24"/>
                <w:szCs w:val="24"/>
              </w:rPr>
            </w:pPr>
          </w:p>
        </w:tc>
        <w:tc>
          <w:tcPr>
            <w:tcW w:w="428" w:type="pct"/>
            <w:vAlign w:val="center"/>
          </w:tcPr>
          <w:p w14:paraId="35A257D3">
            <w:pPr>
              <w:kinsoku/>
              <w:overflowPunct w:val="0"/>
              <w:jc w:val="center"/>
              <w:rPr>
                <w:rFonts w:ascii="方正仿宋_GB2312" w:hAnsi="方正仿宋_GB2312" w:eastAsia="方正仿宋_GB2312" w:cs="方正仿宋_GB2312"/>
                <w:sz w:val="24"/>
                <w:szCs w:val="24"/>
              </w:rPr>
            </w:pPr>
          </w:p>
        </w:tc>
        <w:tc>
          <w:tcPr>
            <w:tcW w:w="420" w:type="pct"/>
            <w:vAlign w:val="center"/>
          </w:tcPr>
          <w:p w14:paraId="5FBF28E6">
            <w:pPr>
              <w:kinsoku/>
              <w:overflowPunct w:val="0"/>
              <w:jc w:val="center"/>
              <w:rPr>
                <w:rFonts w:ascii="方正仿宋_GB2312" w:hAnsi="方正仿宋_GB2312" w:eastAsia="方正仿宋_GB2312" w:cs="方正仿宋_GB2312"/>
                <w:sz w:val="24"/>
                <w:szCs w:val="24"/>
              </w:rPr>
            </w:pPr>
          </w:p>
        </w:tc>
      </w:tr>
      <w:tr w14:paraId="1AE95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570B032E">
            <w:pPr>
              <w:kinsoku/>
              <w:overflowPunct w:val="0"/>
              <w:jc w:val="center"/>
              <w:rPr>
                <w:rFonts w:ascii="方正仿宋_GB2312" w:hAnsi="方正仿宋_GB2312" w:eastAsia="方正仿宋_GB2312" w:cs="方正仿宋_GB2312"/>
                <w:sz w:val="24"/>
                <w:szCs w:val="24"/>
              </w:rPr>
            </w:pPr>
          </w:p>
        </w:tc>
        <w:tc>
          <w:tcPr>
            <w:tcW w:w="2959" w:type="pct"/>
            <w:vAlign w:val="center"/>
          </w:tcPr>
          <w:p w14:paraId="0C27FF0C">
            <w:pPr>
              <w:kinsoku/>
              <w:overflowPunct w:val="0"/>
              <w:spacing w:before="34" w:line="243" w:lineRule="auto"/>
              <w:ind w:left="50" w:right="66"/>
              <w:jc w:val="center"/>
              <w:rPr>
                <w:rFonts w:ascii="方正仿宋_GB2312" w:hAnsi="方正仿宋_GB2312" w:eastAsia="方正仿宋_GB2312" w:cs="方正仿宋_GB2312"/>
                <w:spacing w:val="7"/>
                <w:sz w:val="24"/>
                <w:szCs w:val="24"/>
              </w:rPr>
            </w:pPr>
            <w:r>
              <w:rPr>
                <w:rFonts w:hint="eastAsia" w:ascii="方正仿宋_GB2312" w:hAnsi="方正仿宋_GB2312" w:eastAsia="方正仿宋_GB2312" w:cs="方正仿宋_GB2312"/>
                <w:spacing w:val="18"/>
                <w:sz w:val="24"/>
                <w:szCs w:val="24"/>
              </w:rPr>
              <w:t>4.前台工作人员认真做好报刊信件收发工作，对</w:t>
            </w:r>
            <w:r>
              <w:rPr>
                <w:rFonts w:hint="eastAsia" w:ascii="方正仿宋_GB2312" w:hAnsi="方正仿宋_GB2312" w:eastAsia="方正仿宋_GB2312" w:cs="方正仿宋_GB2312"/>
                <w:spacing w:val="16"/>
                <w:sz w:val="24"/>
                <w:szCs w:val="24"/>
              </w:rPr>
              <w:t>电汇、挂号信函、包裹等要及时登记并通知有关</w:t>
            </w:r>
            <w:r>
              <w:rPr>
                <w:rFonts w:hint="eastAsia" w:ascii="方正仿宋_GB2312" w:hAnsi="方正仿宋_GB2312" w:eastAsia="方正仿宋_GB2312" w:cs="方正仿宋_GB2312"/>
                <w:spacing w:val="19"/>
                <w:sz w:val="24"/>
                <w:szCs w:val="24"/>
              </w:rPr>
              <w:t>部门和人员。发现不符合者每次扣2分。</w:t>
            </w:r>
          </w:p>
        </w:tc>
        <w:tc>
          <w:tcPr>
            <w:tcW w:w="0" w:type="auto"/>
            <w:vAlign w:val="center"/>
          </w:tcPr>
          <w:p w14:paraId="571A79DA">
            <w:pPr>
              <w:kinsoku/>
              <w:overflowPunct w:val="0"/>
              <w:jc w:val="center"/>
              <w:rPr>
                <w:rFonts w:ascii="方正仿宋_GB2312" w:hAnsi="方正仿宋_GB2312" w:eastAsia="方正仿宋_GB2312" w:cs="方正仿宋_GB2312"/>
                <w:sz w:val="24"/>
                <w:szCs w:val="24"/>
              </w:rPr>
            </w:pPr>
          </w:p>
        </w:tc>
        <w:tc>
          <w:tcPr>
            <w:tcW w:w="400" w:type="pct"/>
            <w:vAlign w:val="center"/>
          </w:tcPr>
          <w:p w14:paraId="7B0754D1">
            <w:pPr>
              <w:kinsoku/>
              <w:overflowPunct w:val="0"/>
              <w:jc w:val="center"/>
              <w:rPr>
                <w:rFonts w:ascii="方正仿宋_GB2312" w:hAnsi="方正仿宋_GB2312" w:eastAsia="方正仿宋_GB2312" w:cs="方正仿宋_GB2312"/>
                <w:sz w:val="24"/>
                <w:szCs w:val="24"/>
              </w:rPr>
            </w:pPr>
          </w:p>
        </w:tc>
        <w:tc>
          <w:tcPr>
            <w:tcW w:w="428" w:type="pct"/>
            <w:vAlign w:val="center"/>
          </w:tcPr>
          <w:p w14:paraId="2F296A2D">
            <w:pPr>
              <w:kinsoku/>
              <w:overflowPunct w:val="0"/>
              <w:jc w:val="center"/>
              <w:rPr>
                <w:rFonts w:ascii="方正仿宋_GB2312" w:hAnsi="方正仿宋_GB2312" w:eastAsia="方正仿宋_GB2312" w:cs="方正仿宋_GB2312"/>
                <w:sz w:val="24"/>
                <w:szCs w:val="24"/>
              </w:rPr>
            </w:pPr>
          </w:p>
        </w:tc>
        <w:tc>
          <w:tcPr>
            <w:tcW w:w="420" w:type="pct"/>
            <w:vAlign w:val="center"/>
          </w:tcPr>
          <w:p w14:paraId="55AACE84">
            <w:pPr>
              <w:kinsoku/>
              <w:overflowPunct w:val="0"/>
              <w:jc w:val="center"/>
              <w:rPr>
                <w:rFonts w:ascii="方正仿宋_GB2312" w:hAnsi="方正仿宋_GB2312" w:eastAsia="方正仿宋_GB2312" w:cs="方正仿宋_GB2312"/>
                <w:sz w:val="24"/>
                <w:szCs w:val="24"/>
              </w:rPr>
            </w:pPr>
          </w:p>
        </w:tc>
      </w:tr>
      <w:tr w14:paraId="72093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77C6D723">
            <w:pPr>
              <w:kinsoku/>
              <w:overflowPunct w:val="0"/>
              <w:jc w:val="center"/>
              <w:rPr>
                <w:rFonts w:ascii="方正仿宋_GB2312" w:hAnsi="方正仿宋_GB2312" w:eastAsia="方正仿宋_GB2312" w:cs="方正仿宋_GB2312"/>
                <w:sz w:val="24"/>
                <w:szCs w:val="24"/>
              </w:rPr>
            </w:pPr>
          </w:p>
        </w:tc>
        <w:tc>
          <w:tcPr>
            <w:tcW w:w="2959" w:type="pct"/>
            <w:vAlign w:val="center"/>
          </w:tcPr>
          <w:p w14:paraId="420607B4">
            <w:pPr>
              <w:kinsoku/>
              <w:overflowPunct w:val="0"/>
              <w:spacing w:before="34" w:line="243" w:lineRule="auto"/>
              <w:ind w:left="50" w:right="66"/>
              <w:jc w:val="center"/>
              <w:rPr>
                <w:rFonts w:ascii="方正仿宋_GB2312" w:hAnsi="方正仿宋_GB2312" w:eastAsia="方正仿宋_GB2312" w:cs="方正仿宋_GB2312"/>
                <w:spacing w:val="7"/>
                <w:sz w:val="24"/>
                <w:szCs w:val="24"/>
              </w:rPr>
            </w:pPr>
            <w:r>
              <w:rPr>
                <w:rFonts w:hint="eastAsia" w:ascii="方正仿宋_GB2312" w:hAnsi="方正仿宋_GB2312" w:eastAsia="方正仿宋_GB2312" w:cs="方正仿宋_GB2312"/>
                <w:spacing w:val="7"/>
                <w:sz w:val="24"/>
                <w:szCs w:val="24"/>
              </w:rPr>
              <w:t>5.有接待会议和重大活动时，物业公司要做好配</w:t>
            </w:r>
            <w:r>
              <w:rPr>
                <w:rFonts w:hint="eastAsia" w:ascii="方正仿宋_GB2312" w:hAnsi="方正仿宋_GB2312" w:eastAsia="方正仿宋_GB2312" w:cs="方正仿宋_GB2312"/>
                <w:spacing w:val="10"/>
                <w:sz w:val="24"/>
                <w:szCs w:val="24"/>
              </w:rPr>
              <w:t>合服务工作。不符合者每次扣5分。</w:t>
            </w:r>
          </w:p>
        </w:tc>
        <w:tc>
          <w:tcPr>
            <w:tcW w:w="0" w:type="auto"/>
            <w:vAlign w:val="center"/>
          </w:tcPr>
          <w:p w14:paraId="653715A2">
            <w:pPr>
              <w:kinsoku/>
              <w:overflowPunct w:val="0"/>
              <w:jc w:val="center"/>
              <w:rPr>
                <w:rFonts w:ascii="方正仿宋_GB2312" w:hAnsi="方正仿宋_GB2312" w:eastAsia="方正仿宋_GB2312" w:cs="方正仿宋_GB2312"/>
                <w:sz w:val="24"/>
                <w:szCs w:val="24"/>
              </w:rPr>
            </w:pPr>
          </w:p>
        </w:tc>
        <w:tc>
          <w:tcPr>
            <w:tcW w:w="400" w:type="pct"/>
            <w:vAlign w:val="center"/>
          </w:tcPr>
          <w:p w14:paraId="532C46D6">
            <w:pPr>
              <w:kinsoku/>
              <w:overflowPunct w:val="0"/>
              <w:jc w:val="center"/>
              <w:rPr>
                <w:rFonts w:ascii="方正仿宋_GB2312" w:hAnsi="方正仿宋_GB2312" w:eastAsia="方正仿宋_GB2312" w:cs="方正仿宋_GB2312"/>
                <w:sz w:val="24"/>
                <w:szCs w:val="24"/>
              </w:rPr>
            </w:pPr>
          </w:p>
        </w:tc>
        <w:tc>
          <w:tcPr>
            <w:tcW w:w="428" w:type="pct"/>
            <w:vAlign w:val="center"/>
          </w:tcPr>
          <w:p w14:paraId="612A50E4">
            <w:pPr>
              <w:kinsoku/>
              <w:overflowPunct w:val="0"/>
              <w:jc w:val="center"/>
              <w:rPr>
                <w:rFonts w:ascii="方正仿宋_GB2312" w:hAnsi="方正仿宋_GB2312" w:eastAsia="方正仿宋_GB2312" w:cs="方正仿宋_GB2312"/>
                <w:sz w:val="24"/>
                <w:szCs w:val="24"/>
              </w:rPr>
            </w:pPr>
          </w:p>
        </w:tc>
        <w:tc>
          <w:tcPr>
            <w:tcW w:w="420" w:type="pct"/>
            <w:vAlign w:val="center"/>
          </w:tcPr>
          <w:p w14:paraId="62A58EDB">
            <w:pPr>
              <w:kinsoku/>
              <w:overflowPunct w:val="0"/>
              <w:jc w:val="center"/>
              <w:rPr>
                <w:rFonts w:ascii="方正仿宋_GB2312" w:hAnsi="方正仿宋_GB2312" w:eastAsia="方正仿宋_GB2312" w:cs="方正仿宋_GB2312"/>
                <w:sz w:val="24"/>
                <w:szCs w:val="24"/>
              </w:rPr>
            </w:pPr>
          </w:p>
        </w:tc>
      </w:tr>
      <w:tr w14:paraId="45B13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Align w:val="center"/>
          </w:tcPr>
          <w:p w14:paraId="5DF2C007">
            <w:pPr>
              <w:kinsoku/>
              <w:overflowPunct w:val="0"/>
              <w:spacing w:line="300" w:lineRule="atLeas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其他</w:t>
            </w:r>
          </w:p>
        </w:tc>
        <w:tc>
          <w:tcPr>
            <w:tcW w:w="2959" w:type="pct"/>
            <w:vAlign w:val="center"/>
          </w:tcPr>
          <w:p w14:paraId="5FE7A8B7">
            <w:pPr>
              <w:kinsoku/>
              <w:overflowPunct w:val="0"/>
              <w:spacing w:before="34" w:line="243" w:lineRule="auto"/>
              <w:ind w:left="50" w:right="66"/>
              <w:jc w:val="center"/>
              <w:rPr>
                <w:rFonts w:ascii="方正仿宋_GB2312" w:hAnsi="方正仿宋_GB2312" w:eastAsia="方正仿宋_GB2312" w:cs="方正仿宋_GB2312"/>
                <w:spacing w:val="7"/>
                <w:sz w:val="24"/>
                <w:szCs w:val="24"/>
              </w:rPr>
            </w:pPr>
            <w:r>
              <w:rPr>
                <w:rFonts w:hint="eastAsia" w:ascii="方正仿宋_GB2312" w:hAnsi="方正仿宋_GB2312" w:eastAsia="方正仿宋_GB2312" w:cs="方正仿宋_GB2312"/>
                <w:spacing w:val="6"/>
                <w:sz w:val="24"/>
                <w:szCs w:val="24"/>
              </w:rPr>
              <w:t>表中未涵盖的其他扣分情况，需注明扣分原因，</w:t>
            </w:r>
            <w:r>
              <w:rPr>
                <w:rFonts w:hint="eastAsia" w:ascii="方正仿宋_GB2312" w:hAnsi="方正仿宋_GB2312" w:eastAsia="方正仿宋_GB2312" w:cs="方正仿宋_GB2312"/>
                <w:spacing w:val="13"/>
                <w:sz w:val="24"/>
                <w:szCs w:val="24"/>
              </w:rPr>
              <w:t>每次扣2分。</w:t>
            </w:r>
          </w:p>
        </w:tc>
        <w:tc>
          <w:tcPr>
            <w:tcW w:w="0" w:type="auto"/>
            <w:vAlign w:val="center"/>
          </w:tcPr>
          <w:p w14:paraId="7812CFE0">
            <w:pPr>
              <w:kinsoku/>
              <w:overflowPunct w:val="0"/>
              <w:jc w:val="center"/>
              <w:rPr>
                <w:rFonts w:ascii="方正仿宋_GB2312" w:hAnsi="方正仿宋_GB2312" w:eastAsia="方正仿宋_GB2312" w:cs="方正仿宋_GB2312"/>
                <w:sz w:val="24"/>
                <w:szCs w:val="24"/>
              </w:rPr>
            </w:pPr>
          </w:p>
        </w:tc>
        <w:tc>
          <w:tcPr>
            <w:tcW w:w="400" w:type="pct"/>
            <w:vAlign w:val="center"/>
          </w:tcPr>
          <w:p w14:paraId="66B22D21">
            <w:pPr>
              <w:kinsoku/>
              <w:overflowPunct w:val="0"/>
              <w:jc w:val="center"/>
              <w:rPr>
                <w:rFonts w:ascii="方正仿宋_GB2312" w:hAnsi="方正仿宋_GB2312" w:eastAsia="方正仿宋_GB2312" w:cs="方正仿宋_GB2312"/>
                <w:sz w:val="24"/>
                <w:szCs w:val="24"/>
              </w:rPr>
            </w:pPr>
          </w:p>
        </w:tc>
        <w:tc>
          <w:tcPr>
            <w:tcW w:w="428" w:type="pct"/>
            <w:vAlign w:val="center"/>
          </w:tcPr>
          <w:p w14:paraId="3A861E98">
            <w:pPr>
              <w:kinsoku/>
              <w:overflowPunct w:val="0"/>
              <w:jc w:val="center"/>
              <w:rPr>
                <w:rFonts w:ascii="方正仿宋_GB2312" w:hAnsi="方正仿宋_GB2312" w:eastAsia="方正仿宋_GB2312" w:cs="方正仿宋_GB2312"/>
                <w:sz w:val="24"/>
                <w:szCs w:val="24"/>
              </w:rPr>
            </w:pPr>
          </w:p>
        </w:tc>
        <w:tc>
          <w:tcPr>
            <w:tcW w:w="420" w:type="pct"/>
            <w:vAlign w:val="center"/>
          </w:tcPr>
          <w:p w14:paraId="31CE39A7">
            <w:pPr>
              <w:kinsoku/>
              <w:overflowPunct w:val="0"/>
              <w:jc w:val="center"/>
              <w:rPr>
                <w:rFonts w:ascii="方正仿宋_GB2312" w:hAnsi="方正仿宋_GB2312" w:eastAsia="方正仿宋_GB2312" w:cs="方正仿宋_GB2312"/>
                <w:sz w:val="24"/>
                <w:szCs w:val="24"/>
              </w:rPr>
            </w:pPr>
          </w:p>
        </w:tc>
      </w:tr>
      <w:tr w14:paraId="002E1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restart"/>
            <w:vAlign w:val="center"/>
          </w:tcPr>
          <w:p w14:paraId="30A46058">
            <w:pPr>
              <w:kinsoku/>
              <w:overflowPunct w:val="0"/>
              <w:spacing w:before="39" w:line="300" w:lineRule="atLeas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position w:val="3"/>
                <w:sz w:val="24"/>
                <w:szCs w:val="24"/>
              </w:rPr>
              <w:t>加分</w:t>
            </w:r>
          </w:p>
          <w:p w14:paraId="14BD9AAC">
            <w:pPr>
              <w:kinsoku/>
              <w:overflowPunct w:val="0"/>
              <w:spacing w:line="300" w:lineRule="atLeas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奖励</w:t>
            </w:r>
          </w:p>
        </w:tc>
        <w:tc>
          <w:tcPr>
            <w:tcW w:w="2959" w:type="pct"/>
            <w:vAlign w:val="center"/>
          </w:tcPr>
          <w:p w14:paraId="002759CD">
            <w:pPr>
              <w:kinsoku/>
              <w:overflowPunct w:val="0"/>
              <w:spacing w:before="34" w:line="243" w:lineRule="auto"/>
              <w:ind w:left="50" w:right="66"/>
              <w:jc w:val="center"/>
              <w:rPr>
                <w:rFonts w:ascii="方正仿宋_GB2312" w:hAnsi="方正仿宋_GB2312" w:eastAsia="方正仿宋_GB2312" w:cs="方正仿宋_GB2312"/>
                <w:spacing w:val="6"/>
                <w:sz w:val="24"/>
                <w:szCs w:val="24"/>
              </w:rPr>
            </w:pPr>
            <w:r>
              <w:rPr>
                <w:rFonts w:hint="eastAsia" w:ascii="方正仿宋_GB2312" w:hAnsi="方正仿宋_GB2312" w:eastAsia="方正仿宋_GB2312" w:cs="方正仿宋_GB2312"/>
                <w:spacing w:val="7"/>
                <w:sz w:val="24"/>
                <w:szCs w:val="24"/>
              </w:rPr>
              <w:t>1.拾金不昧，及时返还失主者，奖2-5分/次，数</w:t>
            </w:r>
            <w:r>
              <w:rPr>
                <w:rFonts w:hint="eastAsia" w:ascii="方正仿宋_GB2312" w:hAnsi="方正仿宋_GB2312" w:eastAsia="方正仿宋_GB2312" w:cs="方正仿宋_GB2312"/>
                <w:spacing w:val="6"/>
                <w:sz w:val="24"/>
                <w:szCs w:val="24"/>
              </w:rPr>
              <w:t>额巨大，加倍奖励。</w:t>
            </w:r>
          </w:p>
        </w:tc>
        <w:tc>
          <w:tcPr>
            <w:tcW w:w="0" w:type="auto"/>
            <w:vAlign w:val="center"/>
          </w:tcPr>
          <w:p w14:paraId="05EB11BB">
            <w:pPr>
              <w:kinsoku/>
              <w:overflowPunct w:val="0"/>
              <w:jc w:val="center"/>
              <w:rPr>
                <w:rFonts w:ascii="方正仿宋_GB2312" w:hAnsi="方正仿宋_GB2312" w:eastAsia="方正仿宋_GB2312" w:cs="方正仿宋_GB2312"/>
                <w:sz w:val="24"/>
                <w:szCs w:val="24"/>
              </w:rPr>
            </w:pPr>
          </w:p>
        </w:tc>
        <w:tc>
          <w:tcPr>
            <w:tcW w:w="400" w:type="pct"/>
            <w:vAlign w:val="center"/>
          </w:tcPr>
          <w:p w14:paraId="1B51F935">
            <w:pPr>
              <w:kinsoku/>
              <w:overflowPunct w:val="0"/>
              <w:jc w:val="center"/>
              <w:rPr>
                <w:rFonts w:ascii="方正仿宋_GB2312" w:hAnsi="方正仿宋_GB2312" w:eastAsia="方正仿宋_GB2312" w:cs="方正仿宋_GB2312"/>
                <w:sz w:val="24"/>
                <w:szCs w:val="24"/>
              </w:rPr>
            </w:pPr>
          </w:p>
        </w:tc>
        <w:tc>
          <w:tcPr>
            <w:tcW w:w="428" w:type="pct"/>
            <w:vAlign w:val="center"/>
          </w:tcPr>
          <w:p w14:paraId="4BAFF587">
            <w:pPr>
              <w:kinsoku/>
              <w:overflowPunct w:val="0"/>
              <w:jc w:val="center"/>
              <w:rPr>
                <w:rFonts w:ascii="方正仿宋_GB2312" w:hAnsi="方正仿宋_GB2312" w:eastAsia="方正仿宋_GB2312" w:cs="方正仿宋_GB2312"/>
                <w:sz w:val="24"/>
                <w:szCs w:val="24"/>
              </w:rPr>
            </w:pPr>
          </w:p>
        </w:tc>
        <w:tc>
          <w:tcPr>
            <w:tcW w:w="420" w:type="pct"/>
            <w:vAlign w:val="center"/>
          </w:tcPr>
          <w:p w14:paraId="0094018F">
            <w:pPr>
              <w:kinsoku/>
              <w:overflowPunct w:val="0"/>
              <w:jc w:val="center"/>
              <w:rPr>
                <w:rFonts w:ascii="方正仿宋_GB2312" w:hAnsi="方正仿宋_GB2312" w:eastAsia="方正仿宋_GB2312" w:cs="方正仿宋_GB2312"/>
                <w:sz w:val="24"/>
                <w:szCs w:val="24"/>
              </w:rPr>
            </w:pPr>
          </w:p>
        </w:tc>
      </w:tr>
      <w:tr w14:paraId="37FBD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371" w:type="pct"/>
            <w:vMerge w:val="continue"/>
            <w:vAlign w:val="center"/>
          </w:tcPr>
          <w:p w14:paraId="4836B53D">
            <w:pPr>
              <w:kinsoku/>
              <w:overflowPunct w:val="0"/>
              <w:jc w:val="center"/>
              <w:rPr>
                <w:rFonts w:ascii="方正仿宋_GB2312" w:hAnsi="方正仿宋_GB2312" w:eastAsia="方正仿宋_GB2312" w:cs="方正仿宋_GB2312"/>
                <w:sz w:val="24"/>
                <w:szCs w:val="24"/>
              </w:rPr>
            </w:pPr>
          </w:p>
        </w:tc>
        <w:tc>
          <w:tcPr>
            <w:tcW w:w="2959" w:type="pct"/>
            <w:vAlign w:val="center"/>
          </w:tcPr>
          <w:p w14:paraId="03FA824F">
            <w:pPr>
              <w:kinsoku/>
              <w:overflowPunct w:val="0"/>
              <w:spacing w:before="34" w:line="243" w:lineRule="auto"/>
              <w:ind w:left="50" w:right="66"/>
              <w:jc w:val="center"/>
              <w:rPr>
                <w:rFonts w:ascii="方正仿宋_GB2312" w:hAnsi="方正仿宋_GB2312" w:eastAsia="方正仿宋_GB2312" w:cs="方正仿宋_GB2312"/>
                <w:spacing w:val="6"/>
                <w:sz w:val="24"/>
                <w:szCs w:val="24"/>
              </w:rPr>
            </w:pPr>
            <w:r>
              <w:rPr>
                <w:rFonts w:hint="eastAsia" w:ascii="方正仿宋_GB2312" w:hAnsi="方正仿宋_GB2312" w:eastAsia="方正仿宋_GB2312" w:cs="方正仿宋_GB2312"/>
                <w:spacing w:val="6"/>
                <w:sz w:val="24"/>
                <w:szCs w:val="24"/>
              </w:rPr>
              <w:t>2.见义勇为，事迹突出者，给予通报表扬，奖2-5</w:t>
            </w:r>
            <w:r>
              <w:rPr>
                <w:rFonts w:hint="eastAsia" w:ascii="方正仿宋_GB2312" w:hAnsi="方正仿宋_GB2312" w:eastAsia="方正仿宋_GB2312" w:cs="方正仿宋_GB2312"/>
                <w:spacing w:val="2"/>
                <w:sz w:val="24"/>
                <w:szCs w:val="24"/>
              </w:rPr>
              <w:t xml:space="preserve"> </w:t>
            </w:r>
            <w:r>
              <w:rPr>
                <w:rFonts w:hint="eastAsia" w:ascii="方正仿宋_GB2312" w:hAnsi="方正仿宋_GB2312" w:eastAsia="方正仿宋_GB2312" w:cs="方正仿宋_GB2312"/>
                <w:spacing w:val="6"/>
                <w:sz w:val="24"/>
                <w:szCs w:val="24"/>
              </w:rPr>
              <w:t>分/次，特别突出者，加倍奖励。</w:t>
            </w:r>
          </w:p>
        </w:tc>
        <w:tc>
          <w:tcPr>
            <w:tcW w:w="0" w:type="auto"/>
            <w:vAlign w:val="center"/>
          </w:tcPr>
          <w:p w14:paraId="7048689B">
            <w:pPr>
              <w:kinsoku/>
              <w:overflowPunct w:val="0"/>
              <w:jc w:val="center"/>
              <w:rPr>
                <w:rFonts w:ascii="方正仿宋_GB2312" w:hAnsi="方正仿宋_GB2312" w:eastAsia="方正仿宋_GB2312" w:cs="方正仿宋_GB2312"/>
                <w:sz w:val="24"/>
                <w:szCs w:val="24"/>
              </w:rPr>
            </w:pPr>
          </w:p>
        </w:tc>
        <w:tc>
          <w:tcPr>
            <w:tcW w:w="400" w:type="pct"/>
            <w:vAlign w:val="center"/>
          </w:tcPr>
          <w:p w14:paraId="2CA10BB0">
            <w:pPr>
              <w:kinsoku/>
              <w:overflowPunct w:val="0"/>
              <w:jc w:val="center"/>
              <w:rPr>
                <w:rFonts w:ascii="方正仿宋_GB2312" w:hAnsi="方正仿宋_GB2312" w:eastAsia="方正仿宋_GB2312" w:cs="方正仿宋_GB2312"/>
                <w:sz w:val="24"/>
                <w:szCs w:val="24"/>
              </w:rPr>
            </w:pPr>
          </w:p>
        </w:tc>
        <w:tc>
          <w:tcPr>
            <w:tcW w:w="428" w:type="pct"/>
            <w:vAlign w:val="center"/>
          </w:tcPr>
          <w:p w14:paraId="71D3BECA">
            <w:pPr>
              <w:kinsoku/>
              <w:overflowPunct w:val="0"/>
              <w:jc w:val="center"/>
              <w:rPr>
                <w:rFonts w:ascii="方正仿宋_GB2312" w:hAnsi="方正仿宋_GB2312" w:eastAsia="方正仿宋_GB2312" w:cs="方正仿宋_GB2312"/>
                <w:sz w:val="24"/>
                <w:szCs w:val="24"/>
              </w:rPr>
            </w:pPr>
          </w:p>
        </w:tc>
        <w:tc>
          <w:tcPr>
            <w:tcW w:w="420" w:type="pct"/>
            <w:vAlign w:val="center"/>
          </w:tcPr>
          <w:p w14:paraId="23004E1C">
            <w:pPr>
              <w:kinsoku/>
              <w:overflowPunct w:val="0"/>
              <w:jc w:val="center"/>
              <w:rPr>
                <w:rFonts w:ascii="方正仿宋_GB2312" w:hAnsi="方正仿宋_GB2312" w:eastAsia="方正仿宋_GB2312" w:cs="方正仿宋_GB2312"/>
                <w:sz w:val="24"/>
                <w:szCs w:val="24"/>
              </w:rPr>
            </w:pPr>
          </w:p>
        </w:tc>
      </w:tr>
      <w:tr w14:paraId="7885D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6" w:hRule="atLeast"/>
          <w:jc w:val="center"/>
        </w:trPr>
        <w:tc>
          <w:tcPr>
            <w:tcW w:w="371" w:type="pct"/>
            <w:vMerge w:val="continue"/>
            <w:vAlign w:val="center"/>
          </w:tcPr>
          <w:p w14:paraId="3B0D0697">
            <w:pPr>
              <w:kinsoku/>
              <w:overflowPunct w:val="0"/>
              <w:jc w:val="center"/>
              <w:rPr>
                <w:rFonts w:ascii="方正仿宋_GB2312" w:hAnsi="方正仿宋_GB2312" w:eastAsia="方正仿宋_GB2312" w:cs="方正仿宋_GB2312"/>
                <w:sz w:val="24"/>
                <w:szCs w:val="24"/>
              </w:rPr>
            </w:pPr>
          </w:p>
        </w:tc>
        <w:tc>
          <w:tcPr>
            <w:tcW w:w="2959" w:type="pct"/>
            <w:vAlign w:val="center"/>
          </w:tcPr>
          <w:p w14:paraId="4B082E25">
            <w:pPr>
              <w:kinsoku/>
              <w:overflowPunct w:val="0"/>
              <w:spacing w:before="34" w:line="243" w:lineRule="auto"/>
              <w:ind w:left="50" w:right="66"/>
              <w:jc w:val="center"/>
              <w:rPr>
                <w:rFonts w:ascii="方正仿宋_GB2312" w:hAnsi="方正仿宋_GB2312" w:eastAsia="方正仿宋_GB2312" w:cs="方正仿宋_GB2312"/>
                <w:spacing w:val="6"/>
                <w:sz w:val="24"/>
                <w:szCs w:val="24"/>
              </w:rPr>
            </w:pPr>
            <w:r>
              <w:rPr>
                <w:rFonts w:hint="eastAsia" w:ascii="方正仿宋_GB2312" w:hAnsi="方正仿宋_GB2312" w:eastAsia="方正仿宋_GB2312" w:cs="方正仿宋_GB2312"/>
                <w:spacing w:val="17"/>
                <w:sz w:val="24"/>
                <w:szCs w:val="24"/>
              </w:rPr>
              <w:t>3.及时制止治安、消防及其它突发事件，保护了</w:t>
            </w:r>
            <w:r>
              <w:rPr>
                <w:rFonts w:hint="eastAsia" w:ascii="方正仿宋_GB2312" w:hAnsi="方正仿宋_GB2312" w:eastAsia="方正仿宋_GB2312" w:cs="方正仿宋_GB2312"/>
                <w:spacing w:val="11"/>
                <w:sz w:val="24"/>
                <w:szCs w:val="24"/>
              </w:rPr>
              <w:t xml:space="preserve"> </w:t>
            </w:r>
            <w:r>
              <w:rPr>
                <w:rFonts w:hint="eastAsia" w:ascii="方正仿宋_GB2312" w:hAnsi="方正仿宋_GB2312" w:eastAsia="方正仿宋_GB2312" w:cs="方正仿宋_GB2312"/>
                <w:spacing w:val="17"/>
                <w:sz w:val="24"/>
                <w:szCs w:val="24"/>
              </w:rPr>
              <w:t>生命财产安全，减少经济损失，奖2-10分/次。</w:t>
            </w:r>
          </w:p>
        </w:tc>
        <w:tc>
          <w:tcPr>
            <w:tcW w:w="0" w:type="auto"/>
            <w:vAlign w:val="center"/>
          </w:tcPr>
          <w:p w14:paraId="3053C702">
            <w:pPr>
              <w:kinsoku/>
              <w:overflowPunct w:val="0"/>
              <w:jc w:val="center"/>
              <w:rPr>
                <w:rFonts w:ascii="方正仿宋_GB2312" w:hAnsi="方正仿宋_GB2312" w:eastAsia="方正仿宋_GB2312" w:cs="方正仿宋_GB2312"/>
                <w:sz w:val="24"/>
                <w:szCs w:val="24"/>
              </w:rPr>
            </w:pPr>
          </w:p>
        </w:tc>
        <w:tc>
          <w:tcPr>
            <w:tcW w:w="400" w:type="pct"/>
            <w:vAlign w:val="center"/>
          </w:tcPr>
          <w:p w14:paraId="1A0FB58D">
            <w:pPr>
              <w:kinsoku/>
              <w:overflowPunct w:val="0"/>
              <w:jc w:val="center"/>
              <w:rPr>
                <w:rFonts w:ascii="方正仿宋_GB2312" w:hAnsi="方正仿宋_GB2312" w:eastAsia="方正仿宋_GB2312" w:cs="方正仿宋_GB2312"/>
                <w:sz w:val="24"/>
                <w:szCs w:val="24"/>
              </w:rPr>
            </w:pPr>
          </w:p>
        </w:tc>
        <w:tc>
          <w:tcPr>
            <w:tcW w:w="428" w:type="pct"/>
            <w:vAlign w:val="center"/>
          </w:tcPr>
          <w:p w14:paraId="441F740C">
            <w:pPr>
              <w:kinsoku/>
              <w:overflowPunct w:val="0"/>
              <w:jc w:val="center"/>
              <w:rPr>
                <w:rFonts w:ascii="方正仿宋_GB2312" w:hAnsi="方正仿宋_GB2312" w:eastAsia="方正仿宋_GB2312" w:cs="方正仿宋_GB2312"/>
                <w:sz w:val="24"/>
                <w:szCs w:val="24"/>
              </w:rPr>
            </w:pPr>
          </w:p>
        </w:tc>
        <w:tc>
          <w:tcPr>
            <w:tcW w:w="420" w:type="pct"/>
            <w:vAlign w:val="center"/>
          </w:tcPr>
          <w:p w14:paraId="2790DD94">
            <w:pPr>
              <w:kinsoku/>
              <w:overflowPunct w:val="0"/>
              <w:jc w:val="center"/>
              <w:rPr>
                <w:rFonts w:ascii="方正仿宋_GB2312" w:hAnsi="方正仿宋_GB2312" w:eastAsia="方正仿宋_GB2312" w:cs="方正仿宋_GB2312"/>
                <w:sz w:val="24"/>
                <w:szCs w:val="24"/>
              </w:rPr>
            </w:pPr>
          </w:p>
        </w:tc>
      </w:tr>
      <w:tr w14:paraId="79B03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9" w:hRule="atLeast"/>
          <w:jc w:val="center"/>
        </w:trPr>
        <w:tc>
          <w:tcPr>
            <w:tcW w:w="371" w:type="pct"/>
            <w:vAlign w:val="center"/>
          </w:tcPr>
          <w:p w14:paraId="15A295F2">
            <w:pPr>
              <w:kinsoku/>
              <w:overflowPunct w:val="0"/>
              <w:jc w:val="center"/>
              <w:rPr>
                <w:rFonts w:ascii="方正仿宋_GB2312" w:hAnsi="方正仿宋_GB2312" w:eastAsia="方正仿宋_GB2312" w:cs="方正仿宋_GB2312"/>
                <w:sz w:val="24"/>
                <w:szCs w:val="24"/>
              </w:rPr>
            </w:pPr>
          </w:p>
        </w:tc>
        <w:tc>
          <w:tcPr>
            <w:tcW w:w="2959" w:type="pct"/>
            <w:vAlign w:val="center"/>
          </w:tcPr>
          <w:p w14:paraId="1B7A98F7">
            <w:pPr>
              <w:kinsoku/>
              <w:overflowPunct w:val="0"/>
              <w:spacing w:before="34" w:line="243" w:lineRule="auto"/>
              <w:ind w:left="50" w:right="66"/>
              <w:jc w:val="center"/>
              <w:rPr>
                <w:rFonts w:ascii="方正仿宋_GB2312" w:hAnsi="方正仿宋_GB2312" w:eastAsia="方正仿宋_GB2312" w:cs="方正仿宋_GB2312"/>
                <w:spacing w:val="17"/>
                <w:sz w:val="24"/>
                <w:szCs w:val="24"/>
              </w:rPr>
            </w:pPr>
          </w:p>
        </w:tc>
        <w:tc>
          <w:tcPr>
            <w:tcW w:w="0" w:type="auto"/>
            <w:vAlign w:val="center"/>
          </w:tcPr>
          <w:p w14:paraId="19EFC7A3">
            <w:pPr>
              <w:kinsoku/>
              <w:overflowPunct w:val="0"/>
              <w:jc w:val="center"/>
              <w:rPr>
                <w:rFonts w:ascii="方正仿宋_GB2312" w:hAnsi="方正仿宋_GB2312" w:eastAsia="方正仿宋_GB2312" w:cs="方正仿宋_GB2312"/>
                <w:sz w:val="24"/>
                <w:szCs w:val="24"/>
              </w:rPr>
            </w:pPr>
          </w:p>
        </w:tc>
        <w:tc>
          <w:tcPr>
            <w:tcW w:w="400" w:type="pct"/>
            <w:vAlign w:val="center"/>
          </w:tcPr>
          <w:p w14:paraId="555931BD">
            <w:pPr>
              <w:kinsoku/>
              <w:overflowPunct w:val="0"/>
              <w:jc w:val="center"/>
              <w:rPr>
                <w:rFonts w:ascii="方正仿宋_GB2312" w:hAnsi="方正仿宋_GB2312" w:eastAsia="方正仿宋_GB2312" w:cs="方正仿宋_GB2312"/>
                <w:sz w:val="24"/>
                <w:szCs w:val="24"/>
              </w:rPr>
            </w:pPr>
          </w:p>
        </w:tc>
        <w:tc>
          <w:tcPr>
            <w:tcW w:w="428" w:type="pct"/>
            <w:vAlign w:val="center"/>
          </w:tcPr>
          <w:p w14:paraId="19881786">
            <w:pPr>
              <w:kinsoku/>
              <w:overflowPunct w:val="0"/>
              <w:jc w:val="center"/>
              <w:rPr>
                <w:rFonts w:ascii="方正仿宋_GB2312" w:hAnsi="方正仿宋_GB2312" w:eastAsia="方正仿宋_GB2312" w:cs="方正仿宋_GB2312"/>
                <w:sz w:val="24"/>
                <w:szCs w:val="24"/>
              </w:rPr>
            </w:pPr>
          </w:p>
        </w:tc>
        <w:tc>
          <w:tcPr>
            <w:tcW w:w="420" w:type="pct"/>
            <w:vAlign w:val="center"/>
          </w:tcPr>
          <w:p w14:paraId="73EED34B">
            <w:pPr>
              <w:kinsoku/>
              <w:overflowPunct w:val="0"/>
              <w:jc w:val="center"/>
              <w:rPr>
                <w:rFonts w:ascii="方正仿宋_GB2312" w:hAnsi="方正仿宋_GB2312" w:eastAsia="方正仿宋_GB2312" w:cs="方正仿宋_GB2312"/>
                <w:sz w:val="24"/>
                <w:szCs w:val="24"/>
              </w:rPr>
            </w:pPr>
          </w:p>
        </w:tc>
      </w:tr>
      <w:tr w14:paraId="48CFF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jc w:val="center"/>
        </w:trPr>
        <w:tc>
          <w:tcPr>
            <w:tcW w:w="0" w:type="auto"/>
            <w:gridSpan w:val="6"/>
            <w:vAlign w:val="center"/>
          </w:tcPr>
          <w:p w14:paraId="2B4C7852">
            <w:pPr>
              <w:kinsoku/>
              <w:overflowPunct w:val="0"/>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b/>
                <w:bCs/>
                <w:spacing w:val="-3"/>
                <w:sz w:val="24"/>
                <w:szCs w:val="24"/>
              </w:rPr>
              <w:t>考核人</w:t>
            </w:r>
            <w:r>
              <w:rPr>
                <w:rFonts w:hint="eastAsia" w:ascii="方正仿宋_GB2312" w:hAnsi="方正仿宋_GB2312" w:eastAsia="方正仿宋_GB2312" w:cs="方正仿宋_GB2312"/>
                <w:spacing w:val="-16"/>
                <w:sz w:val="24"/>
                <w:szCs w:val="24"/>
              </w:rPr>
              <w:t xml:space="preserve"> </w:t>
            </w:r>
            <w:r>
              <w:rPr>
                <w:rFonts w:hint="eastAsia" w:ascii="方正仿宋_GB2312" w:hAnsi="方正仿宋_GB2312" w:eastAsia="方正仿宋_GB2312" w:cs="方正仿宋_GB2312"/>
                <w:b/>
                <w:bCs/>
                <w:spacing w:val="-3"/>
                <w:sz w:val="24"/>
                <w:szCs w:val="24"/>
              </w:rPr>
              <w:t>：</w:t>
            </w:r>
            <w:r>
              <w:rPr>
                <w:rFonts w:hint="eastAsia" w:ascii="方正仿宋_GB2312" w:hAnsi="方正仿宋_GB2312" w:eastAsia="方正仿宋_GB2312" w:cs="方正仿宋_GB2312"/>
                <w:spacing w:val="1"/>
                <w:sz w:val="24"/>
                <w:szCs w:val="24"/>
              </w:rPr>
              <w:t xml:space="preserve">                  </w:t>
            </w:r>
            <w:r>
              <w:rPr>
                <w:rFonts w:hint="eastAsia" w:ascii="方正仿宋_GB2312" w:hAnsi="方正仿宋_GB2312" w:eastAsia="方正仿宋_GB2312" w:cs="方正仿宋_GB2312"/>
                <w:b/>
                <w:bCs/>
                <w:spacing w:val="-3"/>
                <w:sz w:val="24"/>
                <w:szCs w:val="24"/>
              </w:rPr>
              <w:t>审批人</w:t>
            </w:r>
            <w:r>
              <w:rPr>
                <w:rFonts w:hint="eastAsia" w:ascii="方正仿宋_GB2312" w:hAnsi="方正仿宋_GB2312" w:eastAsia="方正仿宋_GB2312" w:cs="方正仿宋_GB2312"/>
                <w:spacing w:val="-13"/>
                <w:sz w:val="24"/>
                <w:szCs w:val="24"/>
              </w:rPr>
              <w:t xml:space="preserve"> </w:t>
            </w:r>
            <w:r>
              <w:rPr>
                <w:rFonts w:hint="eastAsia" w:ascii="方正仿宋_GB2312" w:hAnsi="方正仿宋_GB2312" w:eastAsia="方正仿宋_GB2312" w:cs="方正仿宋_GB2312"/>
                <w:b/>
                <w:bCs/>
                <w:spacing w:val="-3"/>
                <w:sz w:val="24"/>
                <w:szCs w:val="24"/>
              </w:rPr>
              <w:t>：</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b/>
                <w:bCs/>
                <w:spacing w:val="-3"/>
                <w:sz w:val="24"/>
                <w:szCs w:val="24"/>
              </w:rPr>
              <w:t>考核日期：</w:t>
            </w:r>
          </w:p>
        </w:tc>
      </w:tr>
    </w:tbl>
    <w:p w14:paraId="57BBE0B0">
      <w:pPr>
        <w:tabs>
          <w:tab w:val="left" w:pos="1440"/>
        </w:tabs>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表二：物业管理服务监督管理满意情况调查表</w:t>
      </w:r>
    </w:p>
    <w:tbl>
      <w:tblPr>
        <w:tblStyle w:val="12"/>
        <w:tblW w:w="92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0"/>
        <w:gridCol w:w="2600"/>
        <w:gridCol w:w="5833"/>
      </w:tblGrid>
      <w:tr w14:paraId="35D38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jc w:val="center"/>
        </w:trPr>
        <w:tc>
          <w:tcPr>
            <w:tcW w:w="3450" w:type="dxa"/>
            <w:gridSpan w:val="2"/>
          </w:tcPr>
          <w:p w14:paraId="53FDB822">
            <w:pPr>
              <w:kinsoku/>
              <w:overflowPunct w:val="0"/>
              <w:spacing w:before="200" w:line="360" w:lineRule="exact"/>
              <w:ind w:left="54"/>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3"/>
                <w:sz w:val="24"/>
                <w:szCs w:val="24"/>
              </w:rPr>
              <w:t>单位(部门):</w:t>
            </w:r>
          </w:p>
        </w:tc>
        <w:tc>
          <w:tcPr>
            <w:tcW w:w="5833" w:type="dxa"/>
          </w:tcPr>
          <w:p w14:paraId="20D9D8A5">
            <w:pPr>
              <w:kinsoku/>
              <w:overflowPunct w:val="0"/>
              <w:spacing w:before="200" w:line="360" w:lineRule="exact"/>
              <w:ind w:right="43"/>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5"/>
                <w:sz w:val="24"/>
                <w:szCs w:val="24"/>
              </w:rPr>
              <w:t>年</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pacing w:val="-5"/>
                <w:sz w:val="24"/>
                <w:szCs w:val="24"/>
              </w:rPr>
              <w:t>月</w:t>
            </w:r>
            <w:r>
              <w:rPr>
                <w:rFonts w:hint="eastAsia" w:ascii="方正仿宋_GB2312" w:hAnsi="方正仿宋_GB2312" w:eastAsia="方正仿宋_GB2312" w:cs="方正仿宋_GB2312"/>
                <w:spacing w:val="13"/>
                <w:sz w:val="24"/>
                <w:szCs w:val="24"/>
              </w:rPr>
              <w:t xml:space="preserve">  </w:t>
            </w:r>
            <w:r>
              <w:rPr>
                <w:rFonts w:hint="eastAsia" w:ascii="方正仿宋_GB2312" w:hAnsi="方正仿宋_GB2312" w:eastAsia="方正仿宋_GB2312" w:cs="方正仿宋_GB2312"/>
                <w:spacing w:val="-5"/>
                <w:sz w:val="24"/>
                <w:szCs w:val="24"/>
              </w:rPr>
              <w:t>日</w:t>
            </w:r>
          </w:p>
        </w:tc>
      </w:tr>
      <w:tr w14:paraId="4D361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jc w:val="center"/>
        </w:trPr>
        <w:tc>
          <w:tcPr>
            <w:tcW w:w="850" w:type="dxa"/>
          </w:tcPr>
          <w:p w14:paraId="3ECE2BE0">
            <w:pPr>
              <w:kinsoku/>
              <w:overflowPunct w:val="0"/>
              <w:spacing w:before="196" w:line="360" w:lineRule="exact"/>
              <w:ind w:left="104"/>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序号</w:t>
            </w:r>
          </w:p>
        </w:tc>
        <w:tc>
          <w:tcPr>
            <w:tcW w:w="2600" w:type="dxa"/>
          </w:tcPr>
          <w:p w14:paraId="52BC8FC7">
            <w:pPr>
              <w:kinsoku/>
              <w:overflowPunct w:val="0"/>
              <w:spacing w:before="195"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1"/>
                <w:sz w:val="24"/>
                <w:szCs w:val="24"/>
              </w:rPr>
              <w:t>内</w:t>
            </w:r>
            <w:r>
              <w:rPr>
                <w:rFonts w:hint="eastAsia" w:ascii="方正仿宋_GB2312" w:hAnsi="方正仿宋_GB2312" w:eastAsia="方正仿宋_GB2312" w:cs="方正仿宋_GB2312"/>
                <w:spacing w:val="5"/>
                <w:sz w:val="24"/>
                <w:szCs w:val="24"/>
              </w:rPr>
              <w:t xml:space="preserve">     </w:t>
            </w:r>
            <w:r>
              <w:rPr>
                <w:rFonts w:hint="eastAsia" w:ascii="方正仿宋_GB2312" w:hAnsi="方正仿宋_GB2312" w:eastAsia="方正仿宋_GB2312" w:cs="方正仿宋_GB2312"/>
                <w:spacing w:val="-11"/>
                <w:sz w:val="24"/>
                <w:szCs w:val="24"/>
              </w:rPr>
              <w:t>容</w:t>
            </w:r>
          </w:p>
        </w:tc>
        <w:tc>
          <w:tcPr>
            <w:tcW w:w="5833" w:type="dxa"/>
          </w:tcPr>
          <w:p w14:paraId="1B6E08B0">
            <w:pPr>
              <w:kinsoku/>
              <w:overflowPunct w:val="0"/>
              <w:spacing w:before="195"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满 意 程 度</w:t>
            </w:r>
          </w:p>
        </w:tc>
      </w:tr>
      <w:tr w14:paraId="1453C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jc w:val="center"/>
        </w:trPr>
        <w:tc>
          <w:tcPr>
            <w:tcW w:w="850" w:type="dxa"/>
          </w:tcPr>
          <w:p w14:paraId="7ACAD6D1">
            <w:pPr>
              <w:kinsoku/>
              <w:overflowPunct w:val="0"/>
              <w:spacing w:before="229"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2600" w:type="dxa"/>
          </w:tcPr>
          <w:p w14:paraId="6CCCED13">
            <w:pPr>
              <w:kinsoku/>
              <w:overflowPunct w:val="0"/>
              <w:spacing w:before="115" w:line="360" w:lineRule="exact"/>
              <w:ind w:left="41" w:right="61"/>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物业人员的仪表，文明</w:t>
            </w:r>
            <w:r>
              <w:rPr>
                <w:rFonts w:hint="eastAsia" w:ascii="方正仿宋_GB2312" w:hAnsi="方正仿宋_GB2312" w:eastAsia="方正仿宋_GB2312" w:cs="方正仿宋_GB2312"/>
                <w:spacing w:val="-2"/>
                <w:sz w:val="24"/>
                <w:szCs w:val="24"/>
              </w:rPr>
              <w:t>举止</w:t>
            </w:r>
          </w:p>
        </w:tc>
        <w:tc>
          <w:tcPr>
            <w:tcW w:w="5833" w:type="dxa"/>
          </w:tcPr>
          <w:p w14:paraId="2F844651">
            <w:pPr>
              <w:kinsoku/>
              <w:overflowPunct w:val="0"/>
              <w:spacing w:before="196"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0AC68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850" w:type="dxa"/>
          </w:tcPr>
          <w:p w14:paraId="30D342B2">
            <w:pPr>
              <w:kinsoku/>
              <w:overflowPunct w:val="0"/>
              <w:spacing w:before="230"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p>
        </w:tc>
        <w:tc>
          <w:tcPr>
            <w:tcW w:w="2600" w:type="dxa"/>
          </w:tcPr>
          <w:p w14:paraId="52838A8F">
            <w:pPr>
              <w:kinsoku/>
              <w:overflowPunct w:val="0"/>
              <w:spacing w:before="117" w:line="360" w:lineRule="exact"/>
              <w:ind w:left="41" w:right="38"/>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物业人员能够热情为员</w:t>
            </w:r>
            <w:r>
              <w:rPr>
                <w:rFonts w:hint="eastAsia" w:ascii="方正仿宋_GB2312" w:hAnsi="方正仿宋_GB2312" w:eastAsia="方正仿宋_GB2312" w:cs="方正仿宋_GB2312"/>
                <w:spacing w:val="-2"/>
                <w:sz w:val="24"/>
                <w:szCs w:val="24"/>
              </w:rPr>
              <w:t>工服务</w:t>
            </w:r>
          </w:p>
        </w:tc>
        <w:tc>
          <w:tcPr>
            <w:tcW w:w="5833" w:type="dxa"/>
          </w:tcPr>
          <w:p w14:paraId="679E9C45">
            <w:pPr>
              <w:kinsoku/>
              <w:overflowPunct w:val="0"/>
              <w:spacing w:before="196"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2B7D6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850" w:type="dxa"/>
          </w:tcPr>
          <w:p w14:paraId="220A5DF6">
            <w:pPr>
              <w:kinsoku/>
              <w:overflowPunct w:val="0"/>
              <w:spacing w:before="231"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p>
        </w:tc>
        <w:tc>
          <w:tcPr>
            <w:tcW w:w="2600" w:type="dxa"/>
          </w:tcPr>
          <w:p w14:paraId="5EA7E3A4">
            <w:pPr>
              <w:kinsoku/>
              <w:overflowPunct w:val="0"/>
              <w:spacing w:before="198" w:line="360" w:lineRule="exact"/>
              <w:ind w:left="41"/>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物业人员在岗情况</w:t>
            </w:r>
          </w:p>
        </w:tc>
        <w:tc>
          <w:tcPr>
            <w:tcW w:w="5833" w:type="dxa"/>
          </w:tcPr>
          <w:p w14:paraId="0DA854BB">
            <w:pPr>
              <w:kinsoku/>
              <w:overflowPunct w:val="0"/>
              <w:spacing w:before="198"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2E1B2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850" w:type="dxa"/>
          </w:tcPr>
          <w:p w14:paraId="17F4060D">
            <w:pPr>
              <w:kinsoku/>
              <w:overflowPunct w:val="0"/>
              <w:spacing w:before="222"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p>
        </w:tc>
        <w:tc>
          <w:tcPr>
            <w:tcW w:w="2600" w:type="dxa"/>
          </w:tcPr>
          <w:p w14:paraId="7680D845">
            <w:pPr>
              <w:kinsoku/>
              <w:overflowPunct w:val="0"/>
              <w:spacing w:before="109" w:line="360" w:lineRule="exact"/>
              <w:ind w:left="41" w:right="61"/>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物业服务管理区域内卫生保洁状况</w:t>
            </w:r>
          </w:p>
        </w:tc>
        <w:tc>
          <w:tcPr>
            <w:tcW w:w="5833" w:type="dxa"/>
            <w:vAlign w:val="center"/>
          </w:tcPr>
          <w:p w14:paraId="1B698EE0">
            <w:pPr>
              <w:kinsoku/>
              <w:overflowPunct w:val="0"/>
              <w:spacing w:before="179"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0E943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jc w:val="center"/>
        </w:trPr>
        <w:tc>
          <w:tcPr>
            <w:tcW w:w="850" w:type="dxa"/>
          </w:tcPr>
          <w:p w14:paraId="4AE1677C">
            <w:pPr>
              <w:kinsoku/>
              <w:overflowPunct w:val="0"/>
              <w:spacing w:before="243"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w:t>
            </w:r>
          </w:p>
        </w:tc>
        <w:tc>
          <w:tcPr>
            <w:tcW w:w="2600" w:type="dxa"/>
          </w:tcPr>
          <w:p w14:paraId="6573DC5D">
            <w:pPr>
              <w:kinsoku/>
              <w:overflowPunct w:val="0"/>
              <w:spacing w:before="39" w:line="360" w:lineRule="exact"/>
              <w:ind w:left="41" w:right="61"/>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物业服务管理区域安全状况(如无保安服务此</w:t>
            </w:r>
            <w:r>
              <w:rPr>
                <w:rFonts w:hint="eastAsia" w:ascii="方正仿宋_GB2312" w:hAnsi="方正仿宋_GB2312" w:eastAsia="方正仿宋_GB2312" w:cs="方正仿宋_GB2312"/>
                <w:spacing w:val="4"/>
                <w:sz w:val="24"/>
                <w:szCs w:val="24"/>
              </w:rPr>
              <w:t>项可不填)</w:t>
            </w:r>
          </w:p>
        </w:tc>
        <w:tc>
          <w:tcPr>
            <w:tcW w:w="5833" w:type="dxa"/>
            <w:vAlign w:val="center"/>
          </w:tcPr>
          <w:p w14:paraId="573059FE">
            <w:pPr>
              <w:kinsoku/>
              <w:overflowPunct w:val="0"/>
              <w:spacing w:before="209"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32C2C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850" w:type="dxa"/>
          </w:tcPr>
          <w:p w14:paraId="3A8B4D63">
            <w:pPr>
              <w:kinsoku/>
              <w:overflowPunct w:val="0"/>
              <w:spacing w:before="243"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w:t>
            </w:r>
          </w:p>
        </w:tc>
        <w:tc>
          <w:tcPr>
            <w:tcW w:w="2600" w:type="dxa"/>
          </w:tcPr>
          <w:p w14:paraId="2013F55D">
            <w:pPr>
              <w:kinsoku/>
              <w:overflowPunct w:val="0"/>
              <w:spacing w:before="40" w:line="360" w:lineRule="exact"/>
              <w:ind w:left="41" w:right="61"/>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物业服务管理区域内绿</w:t>
            </w:r>
            <w:r>
              <w:rPr>
                <w:rFonts w:hint="eastAsia" w:ascii="方正仿宋_GB2312" w:hAnsi="方正仿宋_GB2312" w:eastAsia="方正仿宋_GB2312" w:cs="方正仿宋_GB2312"/>
                <w:spacing w:val="3"/>
                <w:sz w:val="24"/>
                <w:szCs w:val="24"/>
              </w:rPr>
              <w:t xml:space="preserve"> </w:t>
            </w:r>
            <w:r>
              <w:rPr>
                <w:rFonts w:hint="eastAsia" w:ascii="方正仿宋_GB2312" w:hAnsi="方正仿宋_GB2312" w:eastAsia="方正仿宋_GB2312" w:cs="方正仿宋_GB2312"/>
                <w:spacing w:val="-1"/>
                <w:sz w:val="24"/>
                <w:szCs w:val="24"/>
              </w:rPr>
              <w:t>化环境情况(如无花工</w:t>
            </w:r>
            <w:r>
              <w:rPr>
                <w:rFonts w:hint="eastAsia" w:ascii="方正仿宋_GB2312" w:hAnsi="方正仿宋_GB2312" w:eastAsia="方正仿宋_GB2312" w:cs="方正仿宋_GB2312"/>
                <w:spacing w:val="2"/>
                <w:sz w:val="24"/>
                <w:szCs w:val="24"/>
              </w:rPr>
              <w:t>服务此项可不填)</w:t>
            </w:r>
          </w:p>
        </w:tc>
        <w:tc>
          <w:tcPr>
            <w:tcW w:w="5833" w:type="dxa"/>
            <w:vAlign w:val="center"/>
          </w:tcPr>
          <w:p w14:paraId="214EA10F">
            <w:pPr>
              <w:kinsoku/>
              <w:overflowPunct w:val="0"/>
              <w:spacing w:before="200"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436A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850" w:type="dxa"/>
          </w:tcPr>
          <w:p w14:paraId="3306F47A">
            <w:pPr>
              <w:kinsoku/>
              <w:overflowPunct w:val="0"/>
              <w:spacing w:before="245"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w:t>
            </w:r>
          </w:p>
        </w:tc>
        <w:tc>
          <w:tcPr>
            <w:tcW w:w="2600" w:type="dxa"/>
          </w:tcPr>
          <w:p w14:paraId="7E9F19BE">
            <w:pPr>
              <w:kinsoku/>
              <w:overflowPunct w:val="0"/>
              <w:spacing w:before="40" w:line="360" w:lineRule="exact"/>
              <w:ind w:left="41" w:right="63"/>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设施设备维护，维修工作(如无工程服务，此</w:t>
            </w:r>
            <w:r>
              <w:rPr>
                <w:rFonts w:hint="eastAsia" w:ascii="方正仿宋_GB2312" w:hAnsi="方正仿宋_GB2312" w:eastAsia="方正仿宋_GB2312" w:cs="方正仿宋_GB2312"/>
                <w:spacing w:val="4"/>
                <w:sz w:val="24"/>
                <w:szCs w:val="24"/>
              </w:rPr>
              <w:t>项可不填)</w:t>
            </w:r>
          </w:p>
        </w:tc>
        <w:tc>
          <w:tcPr>
            <w:tcW w:w="5833" w:type="dxa"/>
            <w:vAlign w:val="center"/>
          </w:tcPr>
          <w:p w14:paraId="0D0C17E2">
            <w:pPr>
              <w:kinsoku/>
              <w:overflowPunct w:val="0"/>
              <w:spacing w:before="211"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52C94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850" w:type="dxa"/>
          </w:tcPr>
          <w:p w14:paraId="3FC911E9">
            <w:pPr>
              <w:kinsoku/>
              <w:overflowPunct w:val="0"/>
              <w:spacing w:before="245"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w:t>
            </w:r>
          </w:p>
        </w:tc>
        <w:tc>
          <w:tcPr>
            <w:tcW w:w="2600" w:type="dxa"/>
          </w:tcPr>
          <w:p w14:paraId="0FE86C66">
            <w:pPr>
              <w:kinsoku/>
              <w:overflowPunct w:val="0"/>
              <w:spacing w:before="42" w:line="360" w:lineRule="exact"/>
              <w:ind w:left="41"/>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零星维修、急修情况(如无工程服务，此项可不填)</w:t>
            </w:r>
          </w:p>
        </w:tc>
        <w:tc>
          <w:tcPr>
            <w:tcW w:w="5833" w:type="dxa"/>
            <w:vAlign w:val="center"/>
          </w:tcPr>
          <w:p w14:paraId="68CEE10F">
            <w:pPr>
              <w:kinsoku/>
              <w:overflowPunct w:val="0"/>
              <w:spacing w:before="201"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53DBC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850" w:type="dxa"/>
          </w:tcPr>
          <w:p w14:paraId="63CDD010">
            <w:pPr>
              <w:kinsoku/>
              <w:overflowPunct w:val="0"/>
              <w:spacing w:before="236"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w:t>
            </w:r>
          </w:p>
        </w:tc>
        <w:tc>
          <w:tcPr>
            <w:tcW w:w="2600" w:type="dxa"/>
          </w:tcPr>
          <w:p w14:paraId="71F26A3F">
            <w:pPr>
              <w:kinsoku/>
              <w:overflowPunct w:val="0"/>
              <w:spacing w:before="112" w:line="360" w:lineRule="exact"/>
              <w:ind w:left="41" w:right="6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采购人接待会议及其他重要活动的配合工作</w:t>
            </w:r>
          </w:p>
        </w:tc>
        <w:tc>
          <w:tcPr>
            <w:tcW w:w="5833" w:type="dxa"/>
            <w:vAlign w:val="center"/>
          </w:tcPr>
          <w:p w14:paraId="653415C1">
            <w:pPr>
              <w:kinsoku/>
              <w:overflowPunct w:val="0"/>
              <w:spacing w:before="193" w:line="360" w:lineRule="exact"/>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满意(   </w:t>
            </w:r>
            <w:r>
              <w:rPr>
                <w:rFonts w:hint="eastAsia" w:ascii="方正仿宋_GB2312" w:hAnsi="方正仿宋_GB2312" w:eastAsia="方正仿宋_GB2312" w:cs="方正仿宋_GB2312"/>
                <w:spacing w:val="30"/>
                <w:sz w:val="24"/>
                <w:szCs w:val="24"/>
              </w:rPr>
              <w:t xml:space="preserve">  </w:t>
            </w:r>
            <w:r>
              <w:rPr>
                <w:rFonts w:hint="eastAsia" w:ascii="方正仿宋_GB2312" w:hAnsi="方正仿宋_GB2312" w:eastAsia="方正仿宋_GB2312" w:cs="方正仿宋_GB2312"/>
                <w:sz w:val="24"/>
                <w:szCs w:val="24"/>
              </w:rPr>
              <w:t>) 基本满意(</w:t>
            </w:r>
            <w:r>
              <w:rPr>
                <w:rFonts w:hint="eastAsia" w:ascii="方正仿宋_GB2312" w:hAnsi="方正仿宋_GB2312" w:eastAsia="方正仿宋_GB2312" w:cs="方正仿宋_GB2312"/>
                <w:spacing w:val="9"/>
                <w:sz w:val="24"/>
                <w:szCs w:val="24"/>
              </w:rPr>
              <w:t xml:space="preserve">     </w:t>
            </w:r>
            <w:r>
              <w:rPr>
                <w:rFonts w:hint="eastAsia" w:ascii="方正仿宋_GB2312" w:hAnsi="方正仿宋_GB2312" w:eastAsia="方正仿宋_GB2312" w:cs="方正仿宋_GB2312"/>
                <w:sz w:val="24"/>
                <w:szCs w:val="24"/>
              </w:rPr>
              <w:t xml:space="preserve">) 不满意(  </w:t>
            </w:r>
            <w:r>
              <w:rPr>
                <w:rFonts w:hint="eastAsia" w:ascii="方正仿宋_GB2312" w:hAnsi="方正仿宋_GB2312" w:eastAsia="方正仿宋_GB2312" w:cs="方正仿宋_GB2312"/>
                <w:spacing w:val="8"/>
                <w:sz w:val="24"/>
                <w:szCs w:val="24"/>
              </w:rPr>
              <w:t xml:space="preserve">   </w:t>
            </w:r>
            <w:r>
              <w:rPr>
                <w:rFonts w:hint="eastAsia" w:ascii="方正仿宋_GB2312" w:hAnsi="方正仿宋_GB2312" w:eastAsia="方正仿宋_GB2312" w:cs="方正仿宋_GB2312"/>
                <w:sz w:val="24"/>
                <w:szCs w:val="24"/>
              </w:rPr>
              <w:t>)</w:t>
            </w:r>
          </w:p>
        </w:tc>
      </w:tr>
      <w:tr w14:paraId="2B495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jc w:val="center"/>
        </w:trPr>
        <w:tc>
          <w:tcPr>
            <w:tcW w:w="850" w:type="dxa"/>
          </w:tcPr>
          <w:p w14:paraId="275A3C6C">
            <w:pPr>
              <w:kinsoku/>
              <w:overflowPunct w:val="0"/>
              <w:spacing w:line="360" w:lineRule="exact"/>
              <w:jc w:val="center"/>
              <w:rPr>
                <w:rFonts w:ascii="方正仿宋_GB2312" w:hAnsi="方正仿宋_GB2312" w:eastAsia="方正仿宋_GB2312" w:cs="方正仿宋_GB2312"/>
                <w:sz w:val="24"/>
                <w:szCs w:val="24"/>
              </w:rPr>
            </w:pPr>
          </w:p>
        </w:tc>
        <w:tc>
          <w:tcPr>
            <w:tcW w:w="2600" w:type="dxa"/>
          </w:tcPr>
          <w:p w14:paraId="3A06E864">
            <w:pPr>
              <w:kinsoku/>
              <w:overflowPunct w:val="0"/>
              <w:spacing w:line="360" w:lineRule="exact"/>
              <w:rPr>
                <w:rFonts w:ascii="方正仿宋_GB2312" w:hAnsi="方正仿宋_GB2312" w:eastAsia="方正仿宋_GB2312" w:cs="方正仿宋_GB2312"/>
                <w:sz w:val="24"/>
                <w:szCs w:val="24"/>
              </w:rPr>
            </w:pPr>
          </w:p>
        </w:tc>
        <w:tc>
          <w:tcPr>
            <w:tcW w:w="5833" w:type="dxa"/>
          </w:tcPr>
          <w:p w14:paraId="5A69B20B">
            <w:pPr>
              <w:kinsoku/>
              <w:overflowPunct w:val="0"/>
              <w:spacing w:line="360" w:lineRule="exact"/>
              <w:rPr>
                <w:rFonts w:ascii="方正仿宋_GB2312" w:hAnsi="方正仿宋_GB2312" w:eastAsia="方正仿宋_GB2312" w:cs="方正仿宋_GB2312"/>
                <w:sz w:val="24"/>
                <w:szCs w:val="24"/>
              </w:rPr>
            </w:pPr>
          </w:p>
        </w:tc>
      </w:tr>
      <w:tr w14:paraId="0C704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jc w:val="center"/>
        </w:trPr>
        <w:tc>
          <w:tcPr>
            <w:tcW w:w="850" w:type="dxa"/>
          </w:tcPr>
          <w:p w14:paraId="06DD6210">
            <w:pPr>
              <w:kinsoku/>
              <w:overflowPunct w:val="0"/>
              <w:spacing w:before="35" w:line="360" w:lineRule="exact"/>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其它意见与建</w:t>
            </w:r>
            <w:r>
              <w:rPr>
                <w:rFonts w:hint="eastAsia" w:ascii="方正仿宋_GB2312" w:hAnsi="方正仿宋_GB2312" w:eastAsia="方正仿宋_GB2312" w:cs="方正仿宋_GB2312"/>
                <w:sz w:val="24"/>
                <w:szCs w:val="24"/>
              </w:rPr>
              <w:t>议</w:t>
            </w:r>
          </w:p>
        </w:tc>
        <w:tc>
          <w:tcPr>
            <w:tcW w:w="8433" w:type="dxa"/>
            <w:gridSpan w:val="2"/>
          </w:tcPr>
          <w:p w14:paraId="19A56580">
            <w:pPr>
              <w:kinsoku/>
              <w:overflowPunct w:val="0"/>
              <w:spacing w:line="360" w:lineRule="exact"/>
              <w:rPr>
                <w:rFonts w:ascii="方正仿宋_GB2312" w:hAnsi="方正仿宋_GB2312" w:eastAsia="方正仿宋_GB2312" w:cs="方正仿宋_GB2312"/>
                <w:sz w:val="24"/>
                <w:szCs w:val="24"/>
              </w:rPr>
            </w:pPr>
          </w:p>
        </w:tc>
      </w:tr>
    </w:tbl>
    <w:p w14:paraId="652FF2E5">
      <w:pPr>
        <w:tabs>
          <w:tab w:val="left" w:pos="1440"/>
        </w:tabs>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表三：物业管理服务监督管理日常考核记录表</w:t>
      </w:r>
    </w:p>
    <w:tbl>
      <w:tblPr>
        <w:tblStyle w:val="12"/>
        <w:tblpPr w:leftFromText="180" w:rightFromText="180" w:vertAnchor="text" w:horzAnchor="page" w:tblpX="1283" w:tblpY="416"/>
        <w:tblOverlap w:val="never"/>
        <w:tblW w:w="93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20"/>
        <w:gridCol w:w="1633"/>
        <w:gridCol w:w="1567"/>
        <w:gridCol w:w="1316"/>
        <w:gridCol w:w="1434"/>
        <w:gridCol w:w="1450"/>
        <w:gridCol w:w="986"/>
      </w:tblGrid>
      <w:tr w14:paraId="2E972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920" w:type="dxa"/>
            <w:vAlign w:val="center"/>
          </w:tcPr>
          <w:p w14:paraId="36CD1A73">
            <w:pPr>
              <w:kinsoku/>
              <w:overflowPunct w:val="0"/>
              <w:spacing w:before="98" w:line="234"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序号</w:t>
            </w:r>
          </w:p>
        </w:tc>
        <w:tc>
          <w:tcPr>
            <w:tcW w:w="1633" w:type="dxa"/>
            <w:vAlign w:val="center"/>
          </w:tcPr>
          <w:p w14:paraId="64ADA6E9">
            <w:pPr>
              <w:kinsoku/>
              <w:overflowPunct w:val="0"/>
              <w:spacing w:before="119"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5"/>
                <w:sz w:val="24"/>
                <w:szCs w:val="24"/>
              </w:rPr>
              <w:t>考核项目</w:t>
            </w:r>
          </w:p>
        </w:tc>
        <w:tc>
          <w:tcPr>
            <w:tcW w:w="1567" w:type="dxa"/>
            <w:vAlign w:val="center"/>
          </w:tcPr>
          <w:p w14:paraId="0BD9AFAE">
            <w:pPr>
              <w:kinsoku/>
              <w:overflowPunct w:val="0"/>
              <w:spacing w:before="119"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检查情况</w:t>
            </w:r>
          </w:p>
        </w:tc>
        <w:tc>
          <w:tcPr>
            <w:tcW w:w="1316" w:type="dxa"/>
            <w:vAlign w:val="center"/>
          </w:tcPr>
          <w:p w14:paraId="16E6A23B">
            <w:pPr>
              <w:kinsoku/>
              <w:overflowPunct w:val="0"/>
              <w:spacing w:before="40" w:line="220"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物业岗位责任人签名</w:t>
            </w:r>
          </w:p>
        </w:tc>
        <w:tc>
          <w:tcPr>
            <w:tcW w:w="1434" w:type="dxa"/>
            <w:vAlign w:val="center"/>
          </w:tcPr>
          <w:p w14:paraId="0A39A698">
            <w:pPr>
              <w:kinsoku/>
              <w:overflowPunct w:val="0"/>
              <w:spacing w:before="119" w:line="219" w:lineRule="auto"/>
              <w:ind w:left="86"/>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整改情况</w:t>
            </w:r>
          </w:p>
        </w:tc>
        <w:tc>
          <w:tcPr>
            <w:tcW w:w="1450" w:type="dxa"/>
            <w:vAlign w:val="center"/>
          </w:tcPr>
          <w:p w14:paraId="037C2CF8">
            <w:pPr>
              <w:kinsoku/>
              <w:overflowPunct w:val="0"/>
              <w:spacing w:before="40" w:line="249" w:lineRule="auto"/>
              <w:ind w:left="107" w:right="114"/>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整改落实跟</w:t>
            </w:r>
            <w:r>
              <w:rPr>
                <w:rFonts w:hint="eastAsia" w:ascii="方正仿宋_GB2312" w:hAnsi="方正仿宋_GB2312" w:eastAsia="方正仿宋_GB2312" w:cs="方正仿宋_GB2312"/>
                <w:spacing w:val="-1"/>
                <w:sz w:val="24"/>
                <w:szCs w:val="24"/>
              </w:rPr>
              <w:t>进人员签名</w:t>
            </w:r>
          </w:p>
        </w:tc>
        <w:tc>
          <w:tcPr>
            <w:tcW w:w="986" w:type="dxa"/>
            <w:vAlign w:val="center"/>
          </w:tcPr>
          <w:p w14:paraId="7D785706">
            <w:pPr>
              <w:kinsoku/>
              <w:overflowPunct w:val="0"/>
              <w:spacing w:before="95" w:line="217" w:lineRule="auto"/>
              <w:ind w:left="49"/>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备注</w:t>
            </w:r>
          </w:p>
        </w:tc>
      </w:tr>
      <w:tr w14:paraId="753EC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atLeast"/>
        </w:trPr>
        <w:tc>
          <w:tcPr>
            <w:tcW w:w="920" w:type="dxa"/>
            <w:vAlign w:val="center"/>
          </w:tcPr>
          <w:p w14:paraId="211AA420">
            <w:pPr>
              <w:kinsoku/>
              <w:overflowPunct w:val="0"/>
              <w:spacing w:before="246" w:line="184"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1633" w:type="dxa"/>
            <w:vAlign w:val="center"/>
          </w:tcPr>
          <w:p w14:paraId="0F405CBE">
            <w:pPr>
              <w:kinsoku/>
              <w:overflowPunct w:val="0"/>
              <w:spacing w:before="216"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卫生保洁管理</w:t>
            </w:r>
          </w:p>
        </w:tc>
        <w:tc>
          <w:tcPr>
            <w:tcW w:w="1567" w:type="dxa"/>
            <w:vAlign w:val="center"/>
          </w:tcPr>
          <w:p w14:paraId="4F06C8F1">
            <w:pPr>
              <w:kinsoku/>
              <w:overflowPunct w:val="0"/>
              <w:jc w:val="center"/>
              <w:rPr>
                <w:rFonts w:ascii="方正仿宋_GB2312" w:hAnsi="方正仿宋_GB2312" w:eastAsia="方正仿宋_GB2312" w:cs="方正仿宋_GB2312"/>
                <w:sz w:val="24"/>
                <w:szCs w:val="24"/>
              </w:rPr>
            </w:pPr>
          </w:p>
        </w:tc>
        <w:tc>
          <w:tcPr>
            <w:tcW w:w="1316" w:type="dxa"/>
            <w:vAlign w:val="center"/>
          </w:tcPr>
          <w:p w14:paraId="305CFE94">
            <w:pPr>
              <w:kinsoku/>
              <w:overflowPunct w:val="0"/>
              <w:jc w:val="center"/>
              <w:rPr>
                <w:rFonts w:ascii="方正仿宋_GB2312" w:hAnsi="方正仿宋_GB2312" w:eastAsia="方正仿宋_GB2312" w:cs="方正仿宋_GB2312"/>
                <w:sz w:val="24"/>
                <w:szCs w:val="24"/>
              </w:rPr>
            </w:pPr>
          </w:p>
        </w:tc>
        <w:tc>
          <w:tcPr>
            <w:tcW w:w="1434" w:type="dxa"/>
            <w:vAlign w:val="center"/>
          </w:tcPr>
          <w:p w14:paraId="28822157">
            <w:pPr>
              <w:kinsoku/>
              <w:overflowPunct w:val="0"/>
              <w:jc w:val="center"/>
              <w:rPr>
                <w:rFonts w:ascii="方正仿宋_GB2312" w:hAnsi="方正仿宋_GB2312" w:eastAsia="方正仿宋_GB2312" w:cs="方正仿宋_GB2312"/>
                <w:sz w:val="24"/>
                <w:szCs w:val="24"/>
              </w:rPr>
            </w:pPr>
          </w:p>
        </w:tc>
        <w:tc>
          <w:tcPr>
            <w:tcW w:w="1450" w:type="dxa"/>
            <w:vAlign w:val="center"/>
          </w:tcPr>
          <w:p w14:paraId="1BEC77D4">
            <w:pPr>
              <w:kinsoku/>
              <w:overflowPunct w:val="0"/>
              <w:jc w:val="center"/>
              <w:rPr>
                <w:rFonts w:ascii="方正仿宋_GB2312" w:hAnsi="方正仿宋_GB2312" w:eastAsia="方正仿宋_GB2312" w:cs="方正仿宋_GB2312"/>
                <w:sz w:val="24"/>
                <w:szCs w:val="24"/>
              </w:rPr>
            </w:pPr>
          </w:p>
        </w:tc>
        <w:tc>
          <w:tcPr>
            <w:tcW w:w="986" w:type="dxa"/>
            <w:vAlign w:val="center"/>
          </w:tcPr>
          <w:p w14:paraId="207B729D">
            <w:pPr>
              <w:kinsoku/>
              <w:overflowPunct w:val="0"/>
              <w:jc w:val="center"/>
              <w:rPr>
                <w:rFonts w:ascii="方正仿宋_GB2312" w:hAnsi="方正仿宋_GB2312" w:eastAsia="方正仿宋_GB2312" w:cs="方正仿宋_GB2312"/>
                <w:sz w:val="24"/>
                <w:szCs w:val="24"/>
              </w:rPr>
            </w:pPr>
          </w:p>
        </w:tc>
      </w:tr>
      <w:tr w14:paraId="6C288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5" w:hRule="atLeast"/>
        </w:trPr>
        <w:tc>
          <w:tcPr>
            <w:tcW w:w="920" w:type="dxa"/>
            <w:vAlign w:val="center"/>
          </w:tcPr>
          <w:p w14:paraId="4A49924D">
            <w:pPr>
              <w:kinsoku/>
              <w:overflowPunct w:val="0"/>
              <w:spacing w:before="247" w:line="183"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p>
        </w:tc>
        <w:tc>
          <w:tcPr>
            <w:tcW w:w="1633" w:type="dxa"/>
            <w:vAlign w:val="center"/>
          </w:tcPr>
          <w:p w14:paraId="225F4B69">
            <w:pPr>
              <w:kinsoku/>
              <w:overflowPunct w:val="0"/>
              <w:spacing w:before="216"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安全防范管理</w:t>
            </w:r>
          </w:p>
        </w:tc>
        <w:tc>
          <w:tcPr>
            <w:tcW w:w="1567" w:type="dxa"/>
            <w:vAlign w:val="center"/>
          </w:tcPr>
          <w:p w14:paraId="7B3DDA15">
            <w:pPr>
              <w:kinsoku/>
              <w:overflowPunct w:val="0"/>
              <w:jc w:val="center"/>
              <w:rPr>
                <w:rFonts w:ascii="方正仿宋_GB2312" w:hAnsi="方正仿宋_GB2312" w:eastAsia="方正仿宋_GB2312" w:cs="方正仿宋_GB2312"/>
                <w:sz w:val="24"/>
                <w:szCs w:val="24"/>
              </w:rPr>
            </w:pPr>
          </w:p>
        </w:tc>
        <w:tc>
          <w:tcPr>
            <w:tcW w:w="1316" w:type="dxa"/>
            <w:vAlign w:val="center"/>
          </w:tcPr>
          <w:p w14:paraId="21A6B353">
            <w:pPr>
              <w:kinsoku/>
              <w:overflowPunct w:val="0"/>
              <w:jc w:val="center"/>
              <w:rPr>
                <w:rFonts w:ascii="方正仿宋_GB2312" w:hAnsi="方正仿宋_GB2312" w:eastAsia="方正仿宋_GB2312" w:cs="方正仿宋_GB2312"/>
                <w:sz w:val="24"/>
                <w:szCs w:val="24"/>
              </w:rPr>
            </w:pPr>
          </w:p>
        </w:tc>
        <w:tc>
          <w:tcPr>
            <w:tcW w:w="1434" w:type="dxa"/>
            <w:vAlign w:val="center"/>
          </w:tcPr>
          <w:p w14:paraId="5A92E633">
            <w:pPr>
              <w:kinsoku/>
              <w:overflowPunct w:val="0"/>
              <w:jc w:val="center"/>
              <w:rPr>
                <w:rFonts w:ascii="方正仿宋_GB2312" w:hAnsi="方正仿宋_GB2312" w:eastAsia="方正仿宋_GB2312" w:cs="方正仿宋_GB2312"/>
                <w:sz w:val="24"/>
                <w:szCs w:val="24"/>
              </w:rPr>
            </w:pPr>
          </w:p>
        </w:tc>
        <w:tc>
          <w:tcPr>
            <w:tcW w:w="1450" w:type="dxa"/>
            <w:vAlign w:val="center"/>
          </w:tcPr>
          <w:p w14:paraId="1BEB2E45">
            <w:pPr>
              <w:kinsoku/>
              <w:overflowPunct w:val="0"/>
              <w:jc w:val="center"/>
              <w:rPr>
                <w:rFonts w:ascii="方正仿宋_GB2312" w:hAnsi="方正仿宋_GB2312" w:eastAsia="方正仿宋_GB2312" w:cs="方正仿宋_GB2312"/>
                <w:sz w:val="24"/>
                <w:szCs w:val="24"/>
              </w:rPr>
            </w:pPr>
          </w:p>
        </w:tc>
        <w:tc>
          <w:tcPr>
            <w:tcW w:w="986" w:type="dxa"/>
            <w:vAlign w:val="center"/>
          </w:tcPr>
          <w:p w14:paraId="7180E77F">
            <w:pPr>
              <w:kinsoku/>
              <w:overflowPunct w:val="0"/>
              <w:jc w:val="center"/>
              <w:rPr>
                <w:rFonts w:ascii="方正仿宋_GB2312" w:hAnsi="方正仿宋_GB2312" w:eastAsia="方正仿宋_GB2312" w:cs="方正仿宋_GB2312"/>
                <w:sz w:val="24"/>
                <w:szCs w:val="24"/>
              </w:rPr>
            </w:pPr>
          </w:p>
        </w:tc>
      </w:tr>
      <w:tr w14:paraId="69E8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7" w:hRule="atLeast"/>
        </w:trPr>
        <w:tc>
          <w:tcPr>
            <w:tcW w:w="920" w:type="dxa"/>
            <w:vAlign w:val="center"/>
          </w:tcPr>
          <w:p w14:paraId="7BD200D5">
            <w:pPr>
              <w:kinsoku/>
              <w:overflowPunct w:val="0"/>
              <w:spacing w:before="248" w:line="183"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p>
        </w:tc>
        <w:tc>
          <w:tcPr>
            <w:tcW w:w="1633" w:type="dxa"/>
            <w:vAlign w:val="center"/>
          </w:tcPr>
          <w:p w14:paraId="150B6E6D">
            <w:pPr>
              <w:kinsoku/>
              <w:overflowPunct w:val="0"/>
              <w:spacing w:before="218"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绿化养护</w:t>
            </w:r>
          </w:p>
        </w:tc>
        <w:tc>
          <w:tcPr>
            <w:tcW w:w="1567" w:type="dxa"/>
            <w:vAlign w:val="center"/>
          </w:tcPr>
          <w:p w14:paraId="1E518819">
            <w:pPr>
              <w:kinsoku/>
              <w:overflowPunct w:val="0"/>
              <w:jc w:val="center"/>
              <w:rPr>
                <w:rFonts w:ascii="方正仿宋_GB2312" w:hAnsi="方正仿宋_GB2312" w:eastAsia="方正仿宋_GB2312" w:cs="方正仿宋_GB2312"/>
                <w:sz w:val="24"/>
                <w:szCs w:val="24"/>
              </w:rPr>
            </w:pPr>
          </w:p>
        </w:tc>
        <w:tc>
          <w:tcPr>
            <w:tcW w:w="1316" w:type="dxa"/>
            <w:vAlign w:val="center"/>
          </w:tcPr>
          <w:p w14:paraId="275F3F87">
            <w:pPr>
              <w:kinsoku/>
              <w:overflowPunct w:val="0"/>
              <w:jc w:val="center"/>
              <w:rPr>
                <w:rFonts w:ascii="方正仿宋_GB2312" w:hAnsi="方正仿宋_GB2312" w:eastAsia="方正仿宋_GB2312" w:cs="方正仿宋_GB2312"/>
                <w:sz w:val="24"/>
                <w:szCs w:val="24"/>
              </w:rPr>
            </w:pPr>
          </w:p>
        </w:tc>
        <w:tc>
          <w:tcPr>
            <w:tcW w:w="1434" w:type="dxa"/>
            <w:vAlign w:val="center"/>
          </w:tcPr>
          <w:p w14:paraId="376E4603">
            <w:pPr>
              <w:kinsoku/>
              <w:overflowPunct w:val="0"/>
              <w:jc w:val="center"/>
              <w:rPr>
                <w:rFonts w:ascii="方正仿宋_GB2312" w:hAnsi="方正仿宋_GB2312" w:eastAsia="方正仿宋_GB2312" w:cs="方正仿宋_GB2312"/>
                <w:sz w:val="24"/>
                <w:szCs w:val="24"/>
              </w:rPr>
            </w:pPr>
          </w:p>
        </w:tc>
        <w:tc>
          <w:tcPr>
            <w:tcW w:w="1450" w:type="dxa"/>
            <w:vAlign w:val="center"/>
          </w:tcPr>
          <w:p w14:paraId="7BDC001A">
            <w:pPr>
              <w:kinsoku/>
              <w:overflowPunct w:val="0"/>
              <w:jc w:val="center"/>
              <w:rPr>
                <w:rFonts w:ascii="方正仿宋_GB2312" w:hAnsi="方正仿宋_GB2312" w:eastAsia="方正仿宋_GB2312" w:cs="方正仿宋_GB2312"/>
                <w:sz w:val="24"/>
                <w:szCs w:val="24"/>
              </w:rPr>
            </w:pPr>
          </w:p>
        </w:tc>
        <w:tc>
          <w:tcPr>
            <w:tcW w:w="986" w:type="dxa"/>
            <w:vAlign w:val="center"/>
          </w:tcPr>
          <w:p w14:paraId="20EF8D5A">
            <w:pPr>
              <w:kinsoku/>
              <w:overflowPunct w:val="0"/>
              <w:jc w:val="center"/>
              <w:rPr>
                <w:rFonts w:ascii="方正仿宋_GB2312" w:hAnsi="方正仿宋_GB2312" w:eastAsia="方正仿宋_GB2312" w:cs="方正仿宋_GB2312"/>
                <w:sz w:val="24"/>
                <w:szCs w:val="24"/>
              </w:rPr>
            </w:pPr>
          </w:p>
        </w:tc>
      </w:tr>
      <w:tr w14:paraId="1262D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7" w:hRule="atLeast"/>
        </w:trPr>
        <w:tc>
          <w:tcPr>
            <w:tcW w:w="920" w:type="dxa"/>
            <w:vAlign w:val="center"/>
          </w:tcPr>
          <w:p w14:paraId="10731C00">
            <w:pPr>
              <w:kinsoku/>
              <w:overflowPunct w:val="0"/>
              <w:spacing w:before="249" w:line="183"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p>
        </w:tc>
        <w:tc>
          <w:tcPr>
            <w:tcW w:w="1633" w:type="dxa"/>
            <w:vAlign w:val="center"/>
          </w:tcPr>
          <w:p w14:paraId="76AFE0C9">
            <w:pPr>
              <w:kinsoku/>
              <w:overflowPunct w:val="0"/>
              <w:spacing w:before="128" w:line="248" w:lineRule="auto"/>
              <w:ind w:right="133"/>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设施设备维护管理</w:t>
            </w:r>
          </w:p>
        </w:tc>
        <w:tc>
          <w:tcPr>
            <w:tcW w:w="1567" w:type="dxa"/>
            <w:vAlign w:val="center"/>
          </w:tcPr>
          <w:p w14:paraId="745A2591">
            <w:pPr>
              <w:kinsoku/>
              <w:overflowPunct w:val="0"/>
              <w:jc w:val="center"/>
              <w:rPr>
                <w:rFonts w:ascii="方正仿宋_GB2312" w:hAnsi="方正仿宋_GB2312" w:eastAsia="方正仿宋_GB2312" w:cs="方正仿宋_GB2312"/>
                <w:sz w:val="24"/>
                <w:szCs w:val="24"/>
              </w:rPr>
            </w:pPr>
          </w:p>
        </w:tc>
        <w:tc>
          <w:tcPr>
            <w:tcW w:w="1316" w:type="dxa"/>
            <w:vAlign w:val="center"/>
          </w:tcPr>
          <w:p w14:paraId="59BD8BC1">
            <w:pPr>
              <w:kinsoku/>
              <w:overflowPunct w:val="0"/>
              <w:jc w:val="center"/>
              <w:rPr>
                <w:rFonts w:ascii="方正仿宋_GB2312" w:hAnsi="方正仿宋_GB2312" w:eastAsia="方正仿宋_GB2312" w:cs="方正仿宋_GB2312"/>
                <w:sz w:val="24"/>
                <w:szCs w:val="24"/>
              </w:rPr>
            </w:pPr>
          </w:p>
        </w:tc>
        <w:tc>
          <w:tcPr>
            <w:tcW w:w="1434" w:type="dxa"/>
            <w:vAlign w:val="center"/>
          </w:tcPr>
          <w:p w14:paraId="3262EC29">
            <w:pPr>
              <w:kinsoku/>
              <w:overflowPunct w:val="0"/>
              <w:jc w:val="center"/>
              <w:rPr>
                <w:rFonts w:ascii="方正仿宋_GB2312" w:hAnsi="方正仿宋_GB2312" w:eastAsia="方正仿宋_GB2312" w:cs="方正仿宋_GB2312"/>
                <w:sz w:val="24"/>
                <w:szCs w:val="24"/>
              </w:rPr>
            </w:pPr>
          </w:p>
        </w:tc>
        <w:tc>
          <w:tcPr>
            <w:tcW w:w="1450" w:type="dxa"/>
            <w:vAlign w:val="center"/>
          </w:tcPr>
          <w:p w14:paraId="46F2B9A2">
            <w:pPr>
              <w:kinsoku/>
              <w:overflowPunct w:val="0"/>
              <w:jc w:val="center"/>
              <w:rPr>
                <w:rFonts w:ascii="方正仿宋_GB2312" w:hAnsi="方正仿宋_GB2312" w:eastAsia="方正仿宋_GB2312" w:cs="方正仿宋_GB2312"/>
                <w:sz w:val="24"/>
                <w:szCs w:val="24"/>
              </w:rPr>
            </w:pPr>
          </w:p>
        </w:tc>
        <w:tc>
          <w:tcPr>
            <w:tcW w:w="986" w:type="dxa"/>
            <w:vAlign w:val="center"/>
          </w:tcPr>
          <w:p w14:paraId="1E61EB14">
            <w:pPr>
              <w:kinsoku/>
              <w:overflowPunct w:val="0"/>
              <w:jc w:val="center"/>
              <w:rPr>
                <w:rFonts w:ascii="方正仿宋_GB2312" w:hAnsi="方正仿宋_GB2312" w:eastAsia="方正仿宋_GB2312" w:cs="方正仿宋_GB2312"/>
                <w:sz w:val="24"/>
                <w:szCs w:val="24"/>
              </w:rPr>
            </w:pPr>
          </w:p>
        </w:tc>
      </w:tr>
      <w:tr w14:paraId="4CD30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920" w:type="dxa"/>
            <w:vAlign w:val="center"/>
          </w:tcPr>
          <w:p w14:paraId="5FC1EB16">
            <w:pPr>
              <w:kinsoku/>
              <w:overflowPunct w:val="0"/>
              <w:spacing w:before="241" w:line="182"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w:t>
            </w:r>
          </w:p>
        </w:tc>
        <w:tc>
          <w:tcPr>
            <w:tcW w:w="1633" w:type="dxa"/>
            <w:vAlign w:val="center"/>
          </w:tcPr>
          <w:p w14:paraId="3C5F699B">
            <w:pPr>
              <w:kinsoku/>
              <w:overflowPunct w:val="0"/>
              <w:spacing w:before="210"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
                <w:sz w:val="24"/>
                <w:szCs w:val="24"/>
              </w:rPr>
              <w:t>日常管理</w:t>
            </w:r>
          </w:p>
        </w:tc>
        <w:tc>
          <w:tcPr>
            <w:tcW w:w="1567" w:type="dxa"/>
            <w:vAlign w:val="center"/>
          </w:tcPr>
          <w:p w14:paraId="462D78CD">
            <w:pPr>
              <w:kinsoku/>
              <w:overflowPunct w:val="0"/>
              <w:jc w:val="center"/>
              <w:rPr>
                <w:rFonts w:ascii="方正仿宋_GB2312" w:hAnsi="方正仿宋_GB2312" w:eastAsia="方正仿宋_GB2312" w:cs="方正仿宋_GB2312"/>
                <w:sz w:val="24"/>
                <w:szCs w:val="24"/>
              </w:rPr>
            </w:pPr>
          </w:p>
        </w:tc>
        <w:tc>
          <w:tcPr>
            <w:tcW w:w="1316" w:type="dxa"/>
            <w:vAlign w:val="center"/>
          </w:tcPr>
          <w:p w14:paraId="132677EA">
            <w:pPr>
              <w:kinsoku/>
              <w:overflowPunct w:val="0"/>
              <w:jc w:val="center"/>
              <w:rPr>
                <w:rFonts w:ascii="方正仿宋_GB2312" w:hAnsi="方正仿宋_GB2312" w:eastAsia="方正仿宋_GB2312" w:cs="方正仿宋_GB2312"/>
                <w:sz w:val="24"/>
                <w:szCs w:val="24"/>
              </w:rPr>
            </w:pPr>
          </w:p>
        </w:tc>
        <w:tc>
          <w:tcPr>
            <w:tcW w:w="1434" w:type="dxa"/>
            <w:vAlign w:val="center"/>
          </w:tcPr>
          <w:p w14:paraId="45E6C84D">
            <w:pPr>
              <w:kinsoku/>
              <w:overflowPunct w:val="0"/>
              <w:jc w:val="center"/>
              <w:rPr>
                <w:rFonts w:ascii="方正仿宋_GB2312" w:hAnsi="方正仿宋_GB2312" w:eastAsia="方正仿宋_GB2312" w:cs="方正仿宋_GB2312"/>
                <w:sz w:val="24"/>
                <w:szCs w:val="24"/>
              </w:rPr>
            </w:pPr>
          </w:p>
        </w:tc>
        <w:tc>
          <w:tcPr>
            <w:tcW w:w="1450" w:type="dxa"/>
            <w:vAlign w:val="center"/>
          </w:tcPr>
          <w:p w14:paraId="05DA209D">
            <w:pPr>
              <w:kinsoku/>
              <w:overflowPunct w:val="0"/>
              <w:jc w:val="center"/>
              <w:rPr>
                <w:rFonts w:ascii="方正仿宋_GB2312" w:hAnsi="方正仿宋_GB2312" w:eastAsia="方正仿宋_GB2312" w:cs="方正仿宋_GB2312"/>
                <w:sz w:val="24"/>
                <w:szCs w:val="24"/>
              </w:rPr>
            </w:pPr>
          </w:p>
        </w:tc>
        <w:tc>
          <w:tcPr>
            <w:tcW w:w="986" w:type="dxa"/>
            <w:vAlign w:val="center"/>
          </w:tcPr>
          <w:p w14:paraId="070CFD86">
            <w:pPr>
              <w:kinsoku/>
              <w:overflowPunct w:val="0"/>
              <w:jc w:val="center"/>
              <w:rPr>
                <w:rFonts w:ascii="方正仿宋_GB2312" w:hAnsi="方正仿宋_GB2312" w:eastAsia="方正仿宋_GB2312" w:cs="方正仿宋_GB2312"/>
                <w:sz w:val="24"/>
                <w:szCs w:val="24"/>
              </w:rPr>
            </w:pPr>
          </w:p>
        </w:tc>
      </w:tr>
      <w:tr w14:paraId="1D79D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6" w:hRule="atLeast"/>
        </w:trPr>
        <w:tc>
          <w:tcPr>
            <w:tcW w:w="920" w:type="dxa"/>
            <w:vAlign w:val="center"/>
          </w:tcPr>
          <w:p w14:paraId="7EE1BABD">
            <w:pPr>
              <w:kinsoku/>
              <w:overflowPunct w:val="0"/>
              <w:spacing w:before="261" w:line="183"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w:t>
            </w:r>
          </w:p>
        </w:tc>
        <w:tc>
          <w:tcPr>
            <w:tcW w:w="1633" w:type="dxa"/>
            <w:vAlign w:val="center"/>
          </w:tcPr>
          <w:p w14:paraId="6A5097BD">
            <w:pPr>
              <w:kinsoku/>
              <w:overflowPunct w:val="0"/>
              <w:spacing w:before="231" w:line="220"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其他</w:t>
            </w:r>
          </w:p>
        </w:tc>
        <w:tc>
          <w:tcPr>
            <w:tcW w:w="1567" w:type="dxa"/>
            <w:vAlign w:val="center"/>
          </w:tcPr>
          <w:p w14:paraId="774BDAC9">
            <w:pPr>
              <w:kinsoku/>
              <w:overflowPunct w:val="0"/>
              <w:jc w:val="center"/>
              <w:rPr>
                <w:rFonts w:ascii="方正仿宋_GB2312" w:hAnsi="方正仿宋_GB2312" w:eastAsia="方正仿宋_GB2312" w:cs="方正仿宋_GB2312"/>
                <w:sz w:val="24"/>
                <w:szCs w:val="24"/>
              </w:rPr>
            </w:pPr>
          </w:p>
        </w:tc>
        <w:tc>
          <w:tcPr>
            <w:tcW w:w="1316" w:type="dxa"/>
            <w:vAlign w:val="center"/>
          </w:tcPr>
          <w:p w14:paraId="1A90A0AD">
            <w:pPr>
              <w:kinsoku/>
              <w:overflowPunct w:val="0"/>
              <w:jc w:val="center"/>
              <w:rPr>
                <w:rFonts w:ascii="方正仿宋_GB2312" w:hAnsi="方正仿宋_GB2312" w:eastAsia="方正仿宋_GB2312" w:cs="方正仿宋_GB2312"/>
                <w:sz w:val="24"/>
                <w:szCs w:val="24"/>
              </w:rPr>
            </w:pPr>
          </w:p>
        </w:tc>
        <w:tc>
          <w:tcPr>
            <w:tcW w:w="1434" w:type="dxa"/>
            <w:vAlign w:val="center"/>
          </w:tcPr>
          <w:p w14:paraId="2338FBCC">
            <w:pPr>
              <w:kinsoku/>
              <w:overflowPunct w:val="0"/>
              <w:jc w:val="center"/>
              <w:rPr>
                <w:rFonts w:ascii="方正仿宋_GB2312" w:hAnsi="方正仿宋_GB2312" w:eastAsia="方正仿宋_GB2312" w:cs="方正仿宋_GB2312"/>
                <w:sz w:val="24"/>
                <w:szCs w:val="24"/>
              </w:rPr>
            </w:pPr>
          </w:p>
        </w:tc>
        <w:tc>
          <w:tcPr>
            <w:tcW w:w="1450" w:type="dxa"/>
            <w:vAlign w:val="center"/>
          </w:tcPr>
          <w:p w14:paraId="6B662389">
            <w:pPr>
              <w:kinsoku/>
              <w:overflowPunct w:val="0"/>
              <w:jc w:val="center"/>
              <w:rPr>
                <w:rFonts w:ascii="方正仿宋_GB2312" w:hAnsi="方正仿宋_GB2312" w:eastAsia="方正仿宋_GB2312" w:cs="方正仿宋_GB2312"/>
                <w:sz w:val="24"/>
                <w:szCs w:val="24"/>
              </w:rPr>
            </w:pPr>
          </w:p>
        </w:tc>
        <w:tc>
          <w:tcPr>
            <w:tcW w:w="986" w:type="dxa"/>
            <w:vAlign w:val="center"/>
          </w:tcPr>
          <w:p w14:paraId="6AFB9F88">
            <w:pPr>
              <w:kinsoku/>
              <w:overflowPunct w:val="0"/>
              <w:jc w:val="center"/>
              <w:rPr>
                <w:rFonts w:ascii="方正仿宋_GB2312" w:hAnsi="方正仿宋_GB2312" w:eastAsia="方正仿宋_GB2312" w:cs="方正仿宋_GB2312"/>
                <w:sz w:val="24"/>
                <w:szCs w:val="24"/>
              </w:rPr>
            </w:pPr>
          </w:p>
        </w:tc>
      </w:tr>
      <w:tr w14:paraId="46B55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5" w:hRule="atLeast"/>
        </w:trPr>
        <w:tc>
          <w:tcPr>
            <w:tcW w:w="920" w:type="dxa"/>
            <w:vAlign w:val="center"/>
          </w:tcPr>
          <w:p w14:paraId="07BC1122">
            <w:pPr>
              <w:kinsoku/>
              <w:overflowPunct w:val="0"/>
              <w:spacing w:before="254" w:line="182"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w:t>
            </w:r>
          </w:p>
        </w:tc>
        <w:tc>
          <w:tcPr>
            <w:tcW w:w="1633" w:type="dxa"/>
            <w:vAlign w:val="center"/>
          </w:tcPr>
          <w:p w14:paraId="713ED1B7">
            <w:pPr>
              <w:kinsoku/>
              <w:overflowPunct w:val="0"/>
              <w:spacing w:before="222" w:line="219" w:lineRule="auto"/>
              <w:jc w:val="center"/>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奖励加分</w:t>
            </w:r>
          </w:p>
        </w:tc>
        <w:tc>
          <w:tcPr>
            <w:tcW w:w="1567" w:type="dxa"/>
            <w:vAlign w:val="center"/>
          </w:tcPr>
          <w:p w14:paraId="78F6CB9B">
            <w:pPr>
              <w:kinsoku/>
              <w:overflowPunct w:val="0"/>
              <w:jc w:val="center"/>
              <w:rPr>
                <w:rFonts w:ascii="方正仿宋_GB2312" w:hAnsi="方正仿宋_GB2312" w:eastAsia="方正仿宋_GB2312" w:cs="方正仿宋_GB2312"/>
                <w:sz w:val="24"/>
                <w:szCs w:val="24"/>
              </w:rPr>
            </w:pPr>
          </w:p>
        </w:tc>
        <w:tc>
          <w:tcPr>
            <w:tcW w:w="1316" w:type="dxa"/>
            <w:vAlign w:val="center"/>
          </w:tcPr>
          <w:p w14:paraId="681E1935">
            <w:pPr>
              <w:kinsoku/>
              <w:overflowPunct w:val="0"/>
              <w:jc w:val="center"/>
              <w:rPr>
                <w:rFonts w:ascii="方正仿宋_GB2312" w:hAnsi="方正仿宋_GB2312" w:eastAsia="方正仿宋_GB2312" w:cs="方正仿宋_GB2312"/>
                <w:sz w:val="24"/>
                <w:szCs w:val="24"/>
              </w:rPr>
            </w:pPr>
          </w:p>
        </w:tc>
        <w:tc>
          <w:tcPr>
            <w:tcW w:w="1434" w:type="dxa"/>
            <w:vAlign w:val="center"/>
          </w:tcPr>
          <w:p w14:paraId="2A6D8933">
            <w:pPr>
              <w:kinsoku/>
              <w:overflowPunct w:val="0"/>
              <w:jc w:val="center"/>
              <w:rPr>
                <w:rFonts w:ascii="方正仿宋_GB2312" w:hAnsi="方正仿宋_GB2312" w:eastAsia="方正仿宋_GB2312" w:cs="方正仿宋_GB2312"/>
                <w:sz w:val="24"/>
                <w:szCs w:val="24"/>
              </w:rPr>
            </w:pPr>
          </w:p>
        </w:tc>
        <w:tc>
          <w:tcPr>
            <w:tcW w:w="1450" w:type="dxa"/>
            <w:vAlign w:val="center"/>
          </w:tcPr>
          <w:p w14:paraId="209A7E3A">
            <w:pPr>
              <w:kinsoku/>
              <w:overflowPunct w:val="0"/>
              <w:jc w:val="center"/>
              <w:rPr>
                <w:rFonts w:ascii="方正仿宋_GB2312" w:hAnsi="方正仿宋_GB2312" w:eastAsia="方正仿宋_GB2312" w:cs="方正仿宋_GB2312"/>
                <w:sz w:val="24"/>
                <w:szCs w:val="24"/>
              </w:rPr>
            </w:pPr>
          </w:p>
        </w:tc>
        <w:tc>
          <w:tcPr>
            <w:tcW w:w="986" w:type="dxa"/>
            <w:vAlign w:val="center"/>
          </w:tcPr>
          <w:p w14:paraId="3C665258">
            <w:pPr>
              <w:kinsoku/>
              <w:overflowPunct w:val="0"/>
              <w:jc w:val="center"/>
              <w:rPr>
                <w:rFonts w:ascii="方正仿宋_GB2312" w:hAnsi="方正仿宋_GB2312" w:eastAsia="方正仿宋_GB2312" w:cs="方正仿宋_GB2312"/>
                <w:sz w:val="24"/>
                <w:szCs w:val="24"/>
              </w:rPr>
            </w:pPr>
          </w:p>
        </w:tc>
      </w:tr>
      <w:tr w14:paraId="3E27D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920" w:type="dxa"/>
            <w:vAlign w:val="center"/>
          </w:tcPr>
          <w:p w14:paraId="65BBE18B">
            <w:pPr>
              <w:kinsoku/>
              <w:overflowPunct w:val="0"/>
              <w:spacing w:line="169" w:lineRule="exact"/>
              <w:jc w:val="center"/>
              <w:rPr>
                <w:rFonts w:ascii="方正仿宋_GB2312" w:hAnsi="方正仿宋_GB2312" w:eastAsia="方正仿宋_GB2312" w:cs="方正仿宋_GB2312"/>
                <w:sz w:val="24"/>
                <w:szCs w:val="24"/>
              </w:rPr>
            </w:pPr>
          </w:p>
        </w:tc>
        <w:tc>
          <w:tcPr>
            <w:tcW w:w="1633" w:type="dxa"/>
            <w:vAlign w:val="center"/>
          </w:tcPr>
          <w:p w14:paraId="373B521B">
            <w:pPr>
              <w:kinsoku/>
              <w:overflowPunct w:val="0"/>
              <w:spacing w:line="169" w:lineRule="exact"/>
              <w:jc w:val="center"/>
              <w:rPr>
                <w:rFonts w:ascii="方正仿宋_GB2312" w:hAnsi="方正仿宋_GB2312" w:eastAsia="方正仿宋_GB2312" w:cs="方正仿宋_GB2312"/>
                <w:sz w:val="24"/>
                <w:szCs w:val="24"/>
              </w:rPr>
            </w:pPr>
          </w:p>
        </w:tc>
        <w:tc>
          <w:tcPr>
            <w:tcW w:w="1567" w:type="dxa"/>
            <w:vAlign w:val="center"/>
          </w:tcPr>
          <w:p w14:paraId="578C0115">
            <w:pPr>
              <w:kinsoku/>
              <w:overflowPunct w:val="0"/>
              <w:spacing w:line="169" w:lineRule="exact"/>
              <w:jc w:val="center"/>
              <w:rPr>
                <w:rFonts w:ascii="方正仿宋_GB2312" w:hAnsi="方正仿宋_GB2312" w:eastAsia="方正仿宋_GB2312" w:cs="方正仿宋_GB2312"/>
                <w:sz w:val="24"/>
                <w:szCs w:val="24"/>
              </w:rPr>
            </w:pPr>
          </w:p>
        </w:tc>
        <w:tc>
          <w:tcPr>
            <w:tcW w:w="1316" w:type="dxa"/>
            <w:vAlign w:val="center"/>
          </w:tcPr>
          <w:p w14:paraId="213C6738">
            <w:pPr>
              <w:kinsoku/>
              <w:overflowPunct w:val="0"/>
              <w:spacing w:line="169" w:lineRule="exact"/>
              <w:jc w:val="center"/>
              <w:rPr>
                <w:rFonts w:ascii="方正仿宋_GB2312" w:hAnsi="方正仿宋_GB2312" w:eastAsia="方正仿宋_GB2312" w:cs="方正仿宋_GB2312"/>
                <w:sz w:val="24"/>
                <w:szCs w:val="24"/>
              </w:rPr>
            </w:pPr>
          </w:p>
        </w:tc>
        <w:tc>
          <w:tcPr>
            <w:tcW w:w="1434" w:type="dxa"/>
            <w:vAlign w:val="center"/>
          </w:tcPr>
          <w:p w14:paraId="4968F7F1">
            <w:pPr>
              <w:kinsoku/>
              <w:overflowPunct w:val="0"/>
              <w:spacing w:line="169" w:lineRule="exact"/>
              <w:jc w:val="center"/>
              <w:rPr>
                <w:rFonts w:ascii="方正仿宋_GB2312" w:hAnsi="方正仿宋_GB2312" w:eastAsia="方正仿宋_GB2312" w:cs="方正仿宋_GB2312"/>
                <w:sz w:val="24"/>
                <w:szCs w:val="24"/>
              </w:rPr>
            </w:pPr>
          </w:p>
        </w:tc>
        <w:tc>
          <w:tcPr>
            <w:tcW w:w="1450" w:type="dxa"/>
            <w:vAlign w:val="center"/>
          </w:tcPr>
          <w:p w14:paraId="2ECDAF49">
            <w:pPr>
              <w:kinsoku/>
              <w:overflowPunct w:val="0"/>
              <w:spacing w:line="169" w:lineRule="exact"/>
              <w:jc w:val="center"/>
              <w:rPr>
                <w:rFonts w:ascii="方正仿宋_GB2312" w:hAnsi="方正仿宋_GB2312" w:eastAsia="方正仿宋_GB2312" w:cs="方正仿宋_GB2312"/>
                <w:sz w:val="24"/>
                <w:szCs w:val="24"/>
              </w:rPr>
            </w:pPr>
          </w:p>
        </w:tc>
        <w:tc>
          <w:tcPr>
            <w:tcW w:w="986" w:type="dxa"/>
            <w:vAlign w:val="center"/>
          </w:tcPr>
          <w:p w14:paraId="2C2ABBA7">
            <w:pPr>
              <w:kinsoku/>
              <w:overflowPunct w:val="0"/>
              <w:spacing w:line="169" w:lineRule="exact"/>
              <w:jc w:val="center"/>
              <w:rPr>
                <w:rFonts w:ascii="方正仿宋_GB2312" w:hAnsi="方正仿宋_GB2312" w:eastAsia="方正仿宋_GB2312" w:cs="方正仿宋_GB2312"/>
                <w:sz w:val="24"/>
                <w:szCs w:val="24"/>
              </w:rPr>
            </w:pPr>
          </w:p>
        </w:tc>
      </w:tr>
      <w:tr w14:paraId="26257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9306" w:type="dxa"/>
            <w:gridSpan w:val="7"/>
            <w:vAlign w:val="center"/>
          </w:tcPr>
          <w:p w14:paraId="143760F8">
            <w:pPr>
              <w:kinsoku/>
              <w:overflowPunct w:val="0"/>
              <w:spacing w:before="35" w:line="360" w:lineRule="auto"/>
              <w:ind w:left="45" w:firstLine="528"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2"/>
                <w:position w:val="1"/>
                <w:sz w:val="24"/>
                <w:szCs w:val="24"/>
              </w:rPr>
              <w:t>考核人</w:t>
            </w:r>
            <w:r>
              <w:rPr>
                <w:rFonts w:hint="eastAsia" w:ascii="方正仿宋_GB2312" w:hAnsi="方正仿宋_GB2312" w:eastAsia="方正仿宋_GB2312" w:cs="方正仿宋_GB2312"/>
                <w:spacing w:val="-15"/>
                <w:position w:val="1"/>
                <w:sz w:val="24"/>
                <w:szCs w:val="24"/>
              </w:rPr>
              <w:t xml:space="preserve"> </w:t>
            </w:r>
            <w:r>
              <w:rPr>
                <w:rFonts w:hint="eastAsia" w:ascii="方正仿宋_GB2312" w:hAnsi="方正仿宋_GB2312" w:eastAsia="方正仿宋_GB2312" w:cs="方正仿宋_GB2312"/>
                <w:spacing w:val="12"/>
                <w:position w:val="1"/>
                <w:sz w:val="24"/>
                <w:szCs w:val="24"/>
              </w:rPr>
              <w:t>：</w:t>
            </w:r>
            <w:r>
              <w:rPr>
                <w:rFonts w:hint="eastAsia" w:ascii="方正仿宋_GB2312" w:hAnsi="方正仿宋_GB2312" w:eastAsia="方正仿宋_GB2312" w:cs="方正仿宋_GB2312"/>
                <w:spacing w:val="1"/>
                <w:position w:val="1"/>
                <w:sz w:val="24"/>
                <w:szCs w:val="24"/>
              </w:rPr>
              <w:t xml:space="preserve">                           </w:t>
            </w:r>
            <w:r>
              <w:rPr>
                <w:rFonts w:hint="eastAsia" w:ascii="方正仿宋_GB2312" w:hAnsi="方正仿宋_GB2312" w:eastAsia="方正仿宋_GB2312" w:cs="方正仿宋_GB2312"/>
                <w:spacing w:val="12"/>
                <w:position w:val="1"/>
                <w:sz w:val="24"/>
                <w:szCs w:val="24"/>
              </w:rPr>
              <w:t>审批人</w:t>
            </w:r>
            <w:r>
              <w:rPr>
                <w:rFonts w:hint="eastAsia" w:ascii="方正仿宋_GB2312" w:hAnsi="方正仿宋_GB2312" w:eastAsia="方正仿宋_GB2312" w:cs="方正仿宋_GB2312"/>
                <w:spacing w:val="-22"/>
                <w:position w:val="1"/>
                <w:sz w:val="24"/>
                <w:szCs w:val="24"/>
              </w:rPr>
              <w:t xml:space="preserve"> </w:t>
            </w:r>
            <w:r>
              <w:rPr>
                <w:rFonts w:hint="eastAsia" w:ascii="方正仿宋_GB2312" w:hAnsi="方正仿宋_GB2312" w:eastAsia="方正仿宋_GB2312" w:cs="方正仿宋_GB2312"/>
                <w:spacing w:val="12"/>
                <w:position w:val="1"/>
                <w:sz w:val="24"/>
                <w:szCs w:val="24"/>
              </w:rPr>
              <w:t>：</w:t>
            </w:r>
          </w:p>
          <w:p w14:paraId="2C4AF150">
            <w:pPr>
              <w:kinsoku/>
              <w:overflowPunct w:val="0"/>
              <w:spacing w:before="17" w:line="360" w:lineRule="auto"/>
              <w:ind w:left="45" w:firstLine="528"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2"/>
                <w:sz w:val="24"/>
                <w:szCs w:val="24"/>
              </w:rPr>
              <w:t>考核日期：</w:t>
            </w:r>
          </w:p>
        </w:tc>
      </w:tr>
    </w:tbl>
    <w:p w14:paraId="04EC1344">
      <w:pPr>
        <w:pStyle w:val="3"/>
        <w:overflowPunct w:val="0"/>
        <w:autoSpaceDE w:val="0"/>
        <w:autoSpaceDN w:val="0"/>
        <w:spacing w:beforeLines="0" w:afterLines="0"/>
        <w:ind w:firstLine="482" w:firstLineChars="200"/>
        <w:jc w:val="left"/>
        <w:rPr>
          <w:rFonts w:ascii="方正仿宋_GB2312" w:hAnsi="方正仿宋_GB2312" w:eastAsia="方正仿宋_GB2312" w:cs="方正仿宋_GB2312"/>
          <w:kern w:val="2"/>
        </w:rPr>
      </w:pPr>
      <w:r>
        <w:rPr>
          <w:rFonts w:hint="eastAsia" w:ascii="方正仿宋_GB2312" w:hAnsi="方正仿宋_GB2312" w:eastAsia="方正仿宋_GB2312" w:cs="方正仿宋_GB2312"/>
        </w:rPr>
        <w:t>第六条 物业服务期限</w:t>
      </w:r>
    </w:p>
    <w:p w14:paraId="3577AEB9">
      <w:pPr>
        <w:pStyle w:val="3"/>
        <w:overflowPunct w:val="0"/>
        <w:autoSpaceDE w:val="0"/>
        <w:autoSpaceDN w:val="0"/>
        <w:spacing w:beforeLines="0" w:afterLines="0"/>
        <w:ind w:firstLine="480" w:firstLineChars="200"/>
        <w:jc w:val="left"/>
        <w:rPr>
          <w:rFonts w:ascii="方正仿宋_GB2312" w:hAnsi="方正仿宋_GB2312" w:eastAsia="方正仿宋_GB2312" w:cs="方正仿宋_GB2312"/>
          <w:b w:val="0"/>
          <w:bCs w:val="0"/>
        </w:rPr>
      </w:pPr>
      <w:r>
        <w:rPr>
          <w:rFonts w:hint="eastAsia" w:ascii="方正仿宋_GB2312" w:hAnsi="方正仿宋_GB2312" w:eastAsia="方正仿宋_GB2312" w:cs="方正仿宋_GB2312"/>
          <w:b w:val="0"/>
          <w:bCs w:val="0"/>
        </w:rPr>
        <w:t>本合同服务期限为一年，自</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年</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月</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日起至</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年</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月</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日止。该项目为长期服务项目，合同期满可以续签，但合同履行总期限最长不得超过三十六个月。如甲方对履约情况不满意，甲方不再续约。</w:t>
      </w:r>
    </w:p>
    <w:p w14:paraId="4045D4DA">
      <w:pPr>
        <w:spacing w:line="360" w:lineRule="auto"/>
        <w:ind w:firstLine="482" w:firstLineChars="200"/>
        <w:rPr>
          <w:rFonts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第七条 物业装备、耗材的使用</w:t>
      </w:r>
    </w:p>
    <w:p w14:paraId="7CD05562">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甲方根据场地情况提供物业服务的办公场地，场地情况如下：</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。但办公用品（指办公桌、电脑、打印机、对讲机、文件柜等自身使用的等办公用品）由乙方自行解决。</w:t>
      </w:r>
    </w:p>
    <w:p w14:paraId="0DF3F3AC">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乙方提供用于物业服务的器械、设备、用品清单：</w:t>
      </w:r>
    </w:p>
    <w:p w14:paraId="652E89B6">
      <w:pPr>
        <w:pStyle w:val="3"/>
        <w:overflowPunct w:val="0"/>
        <w:autoSpaceDE w:val="0"/>
        <w:autoSpaceDN w:val="0"/>
        <w:spacing w:beforeLines="0" w:afterLines="0"/>
        <w:ind w:firstLine="482" w:firstLineChars="200"/>
        <w:jc w:val="left"/>
        <w:rPr>
          <w:rFonts w:ascii="方正仿宋_GB2312" w:hAnsi="方正仿宋_GB2312" w:eastAsia="方正仿宋_GB2312" w:cs="方正仿宋_GB2312"/>
        </w:rPr>
      </w:pPr>
      <w:r>
        <w:rPr>
          <w:rFonts w:hint="eastAsia" w:ascii="方正仿宋_GB2312" w:hAnsi="方正仿宋_GB2312" w:eastAsia="方正仿宋_GB2312" w:cs="方正仿宋_GB2312"/>
        </w:rPr>
        <w:t>第八条 服务费用</w:t>
      </w:r>
    </w:p>
    <w:p w14:paraId="5F996680">
      <w:pPr>
        <w:pStyle w:val="3"/>
        <w:overflowPunct w:val="0"/>
        <w:spacing w:beforeLines="0" w:afterLines="0"/>
        <w:ind w:firstLine="480" w:firstLineChars="200"/>
        <w:jc w:val="left"/>
        <w:rPr>
          <w:rFonts w:ascii="方正仿宋_GB2312" w:hAnsi="方正仿宋_GB2312" w:eastAsia="方正仿宋_GB2312" w:cs="方正仿宋_GB2312"/>
          <w:b w:val="0"/>
          <w:bCs w:val="0"/>
        </w:rPr>
      </w:pPr>
      <w:r>
        <w:rPr>
          <w:rFonts w:hint="eastAsia" w:ascii="方正仿宋_GB2312" w:hAnsi="方正仿宋_GB2312" w:eastAsia="方正仿宋_GB2312" w:cs="方正仿宋_GB2312"/>
          <w:b w:val="0"/>
          <w:bCs w:val="0"/>
        </w:rPr>
        <w:t>本合同期内含税物业管理服务费总额为人民币</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元(大写：</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)（下称“合同总价”），每月服务费为人民币</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元(大写：</w:t>
      </w:r>
      <w:r>
        <w:rPr>
          <w:rFonts w:hint="eastAsia" w:ascii="方正仿宋_GB2312" w:hAnsi="方正仿宋_GB2312" w:eastAsia="方正仿宋_GB2312" w:cs="方正仿宋_GB2312"/>
          <w:b w:val="0"/>
          <w:bCs w:val="0"/>
          <w:u w:val="single"/>
        </w:rPr>
        <w:t xml:space="preserve">       </w:t>
      </w:r>
      <w:r>
        <w:rPr>
          <w:rFonts w:hint="eastAsia" w:ascii="方正仿宋_GB2312" w:hAnsi="方正仿宋_GB2312" w:eastAsia="方正仿宋_GB2312" w:cs="方正仿宋_GB2312"/>
          <w:b w:val="0"/>
          <w:bCs w:val="0"/>
        </w:rPr>
        <w:t>)。采用包干制，除本合同明确约定可以另行收取费用外，所有相关费用均包括在内，乙方不得另行向甲方或使用人收取任何用，合同期限内物业服务费不予调整。包括但不限于乙方人员的报酬、税费、社保、配合政府消防检查费用、清洁卫生(含卫生间用纸、水箱水池清洗、玻璃墙清洗)、消杀(含白蚁防治)、垃圾清运、木地板保养(抛光打蜡)、室内扶手油漆翻新、卫生许可证年检、压力容器检测、设备设施维护保养及单价1000元以下维修材料(含照明灯具及线路)等成本计入物业服务费中。本项目文件在物业管理专项要求中，一些具体事项已经明确其费用成本由乙方承担，其中电梯的维护保养、保险、专业检测、年审、维修及维修材料(不限单价)成本全部计入物业服务费中。电梯的维护保养、保险、专业检测、年审、维修及维修材料(不限单价)涉及的费用全部由乙方承担，即电梯的维保实行乙方全包(含年检费用)。</w:t>
      </w:r>
    </w:p>
    <w:p w14:paraId="160BD455">
      <w:pPr>
        <w:pStyle w:val="3"/>
        <w:overflowPunct w:val="0"/>
        <w:spacing w:beforeLines="0" w:afterLines="0"/>
        <w:ind w:firstLine="480" w:firstLineChars="200"/>
        <w:jc w:val="left"/>
        <w:rPr>
          <w:rFonts w:ascii="方正仿宋_GB2312" w:hAnsi="方正仿宋_GB2312" w:eastAsia="方正仿宋_GB2312" w:cs="方正仿宋_GB2312"/>
          <w:b w:val="0"/>
        </w:rPr>
      </w:pPr>
      <w:r>
        <w:rPr>
          <w:rFonts w:hint="eastAsia" w:ascii="方正仿宋_GB2312" w:hAnsi="方正仿宋_GB2312" w:eastAsia="方正仿宋_GB2312" w:cs="方正仿宋_GB2312"/>
          <w:b w:val="0"/>
        </w:rPr>
        <w:t>物业服务费用成本监审：</w:t>
      </w:r>
    </w:p>
    <w:p w14:paraId="174F3D27">
      <w:pPr>
        <w:pStyle w:val="3"/>
        <w:overflowPunct w:val="0"/>
        <w:spacing w:beforeLines="0" w:afterLines="0"/>
        <w:ind w:firstLine="480" w:firstLineChars="200"/>
        <w:jc w:val="left"/>
        <w:rPr>
          <w:rFonts w:ascii="方正仿宋_GB2312" w:hAnsi="方正仿宋_GB2312" w:eastAsia="方正仿宋_GB2312" w:cs="方正仿宋_GB2312"/>
          <w:b w:val="0"/>
        </w:rPr>
      </w:pPr>
      <w:r>
        <w:rPr>
          <w:rFonts w:hint="eastAsia" w:ascii="方正仿宋_GB2312" w:hAnsi="方正仿宋_GB2312" w:eastAsia="方正仿宋_GB2312" w:cs="方正仿宋_GB2312"/>
          <w:b w:val="0"/>
        </w:rPr>
        <w:t>1.乙方承诺，接受甲方主管部门实施的物业服务费用成本监审，并遵守以下原则：</w:t>
      </w:r>
    </w:p>
    <w:p w14:paraId="4BB2A829">
      <w:pPr>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 合法性原则。计入定价成本的费用符合有关法律、行政法律和国家统一会计制度的规定；</w:t>
      </w:r>
    </w:p>
    <w:p w14:paraId="6F8333C0">
      <w:pPr>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 相关性原则。计入定价成本的费用为与物业服务直接相关或间接相关的费用；</w:t>
      </w:r>
    </w:p>
    <w:p w14:paraId="33EF4E49">
      <w:pPr>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 对应性原则。计入定价成本的费用与物业服务内及服务标准相对应；</w:t>
      </w:r>
    </w:p>
    <w:p w14:paraId="038DF7A0">
      <w:pPr>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 合理性原则。与服务定价成本各项费用的主要技术、经济指标均符合行业标准或者社会公允水平。</w:t>
      </w:r>
    </w:p>
    <w:p w14:paraId="3225176A">
      <w:pPr>
        <w:pStyle w:val="3"/>
        <w:overflowPunct w:val="0"/>
        <w:autoSpaceDE w:val="0"/>
        <w:autoSpaceDN w:val="0"/>
        <w:spacing w:beforeLines="0" w:afterLines="0"/>
        <w:ind w:firstLine="482" w:firstLineChars="200"/>
        <w:jc w:val="left"/>
        <w:rPr>
          <w:rFonts w:ascii="方正仿宋_GB2312" w:hAnsi="方正仿宋_GB2312" w:eastAsia="方正仿宋_GB2312" w:cs="方正仿宋_GB2312"/>
          <w:kern w:val="2"/>
        </w:rPr>
      </w:pPr>
      <w:r>
        <w:rPr>
          <w:rFonts w:hint="eastAsia" w:ascii="方正仿宋_GB2312" w:hAnsi="方正仿宋_GB2312" w:eastAsia="方正仿宋_GB2312" w:cs="方正仿宋_GB2312"/>
        </w:rPr>
        <w:t>第九条 费用结算方式</w:t>
      </w:r>
    </w:p>
    <w:p w14:paraId="067AAAD0">
      <w:pPr>
        <w:pStyle w:val="3"/>
        <w:overflowPunct w:val="0"/>
        <w:autoSpaceDE w:val="0"/>
        <w:autoSpaceDN w:val="0"/>
        <w:spacing w:beforeLines="0" w:afterLines="0"/>
        <w:ind w:firstLine="480" w:firstLineChars="200"/>
        <w:jc w:val="left"/>
        <w:rPr>
          <w:rFonts w:ascii="方正仿宋_GB2312" w:hAnsi="方正仿宋_GB2312" w:eastAsia="方正仿宋_GB2312" w:cs="方正仿宋_GB2312"/>
          <w:b w:val="0"/>
          <w:bCs w:val="0"/>
        </w:rPr>
      </w:pPr>
      <w:r>
        <w:rPr>
          <w:rFonts w:hint="eastAsia" w:ascii="方正仿宋_GB2312" w:hAnsi="方正仿宋_GB2312" w:eastAsia="方正仿宋_GB2312" w:cs="方正仿宋_GB2312"/>
          <w:b w:val="0"/>
          <w:bCs w:val="0"/>
        </w:rPr>
        <w:t>1.结算方式：</w:t>
      </w:r>
    </w:p>
    <w:p w14:paraId="7563D911">
      <w:pPr>
        <w:pStyle w:val="3"/>
        <w:overflowPunct w:val="0"/>
        <w:autoSpaceDE w:val="0"/>
        <w:autoSpaceDN w:val="0"/>
        <w:spacing w:beforeLines="0" w:afterLines="0"/>
        <w:ind w:firstLine="480" w:firstLineChars="200"/>
        <w:jc w:val="left"/>
        <w:rPr>
          <w:rFonts w:ascii="方正仿宋_GB2312" w:hAnsi="方正仿宋_GB2312" w:eastAsia="方正仿宋_GB2312" w:cs="方正仿宋_GB2312"/>
          <w:b w:val="0"/>
          <w:bCs w:val="0"/>
        </w:rPr>
      </w:pPr>
      <w:r>
        <w:rPr>
          <w:rFonts w:hint="eastAsia" w:ascii="方正仿宋_GB2312" w:hAnsi="方正仿宋_GB2312" w:eastAsia="方正仿宋_GB2312" w:cs="方正仿宋_GB2312"/>
          <w:b w:val="0"/>
          <w:bCs w:val="0"/>
        </w:rPr>
        <w:t>按月支付，每月5日为上月服务费结算日。乙方应在每月5日前（法定节假日顺延）向甲方提供完税发票，由甲方签署付款凭证，办理付款手续（如履约验收考核产生扣费情况，则由当月应付服务费减去履约验收考核扣费后为当月实付服务费），付款手续办妥后，甲方安排支付。12月份服务费在12月20日办理完毕付款手续并支付，如履约验收考核产生扣费，则延至下个月的应付服务费中扣除。</w:t>
      </w:r>
    </w:p>
    <w:p w14:paraId="67D51C7E">
      <w:pPr>
        <w:pStyle w:val="3"/>
        <w:overflowPunct w:val="0"/>
        <w:autoSpaceDE w:val="0"/>
        <w:autoSpaceDN w:val="0"/>
        <w:spacing w:beforeLines="0" w:afterLines="0"/>
        <w:ind w:firstLine="480" w:firstLineChars="200"/>
        <w:jc w:val="left"/>
        <w:rPr>
          <w:rFonts w:ascii="方正仿宋_GB2312" w:hAnsi="方正仿宋_GB2312" w:eastAsia="方正仿宋_GB2312" w:cs="方正仿宋_GB2312"/>
          <w:b w:val="0"/>
          <w:bCs w:val="0"/>
        </w:rPr>
      </w:pPr>
      <w:r>
        <w:rPr>
          <w:rFonts w:hint="eastAsia" w:ascii="方正仿宋_GB2312" w:hAnsi="方正仿宋_GB2312" w:eastAsia="方正仿宋_GB2312" w:cs="方正仿宋_GB2312"/>
          <w:b w:val="0"/>
          <w:bCs w:val="0"/>
        </w:rPr>
        <w:t>2.履约保证金：</w:t>
      </w:r>
    </w:p>
    <w:p w14:paraId="249843CB">
      <w:pPr>
        <w:pStyle w:val="3"/>
        <w:overflowPunct w:val="0"/>
        <w:autoSpaceDE w:val="0"/>
        <w:autoSpaceDN w:val="0"/>
        <w:spacing w:beforeLines="0" w:afterLines="0"/>
        <w:ind w:firstLine="480" w:firstLineChars="200"/>
        <w:jc w:val="left"/>
        <w:rPr>
          <w:rFonts w:ascii="方正仿宋_GB2312" w:hAnsi="方正仿宋_GB2312" w:eastAsia="方正仿宋_GB2312" w:cs="方正仿宋_GB2312"/>
          <w:b w:val="0"/>
          <w:bCs w:val="0"/>
        </w:rPr>
      </w:pPr>
      <w:r>
        <w:rPr>
          <w:rFonts w:hint="eastAsia" w:ascii="方正仿宋_GB2312" w:hAnsi="方正仿宋_GB2312" w:eastAsia="方正仿宋_GB2312" w:cs="方正仿宋_GB2312"/>
          <w:b w:val="0"/>
          <w:bCs w:val="0"/>
        </w:rPr>
        <w:t>每月服务费的 5 %作为乙方的履约保证金，由甲方无息保管。年底履约评价合格后，10个工作日内退还。甲方逾期退还履约保证金的，经乙方书面催告无正当理由仍拒不退还的，向乙方每日偿付履约保证金的0.2‰的利息。因乙方原因而未能达到本项目验收标准或验收不通过的，履约保证金不予退还。</w:t>
      </w:r>
    </w:p>
    <w:p w14:paraId="27BEB120">
      <w:pPr>
        <w:pStyle w:val="3"/>
        <w:overflowPunct w:val="0"/>
        <w:autoSpaceDE w:val="0"/>
        <w:autoSpaceDN w:val="0"/>
        <w:spacing w:beforeLines="0" w:afterLines="0"/>
        <w:ind w:firstLine="480" w:firstLineChars="200"/>
        <w:jc w:val="left"/>
        <w:rPr>
          <w:rFonts w:ascii="方正仿宋_GB2312" w:hAnsi="方正仿宋_GB2312" w:eastAsia="方正仿宋_GB2312" w:cs="方正仿宋_GB2312"/>
          <w:b w:val="0"/>
          <w:bCs w:val="0"/>
        </w:rPr>
      </w:pPr>
      <w:r>
        <w:rPr>
          <w:rFonts w:hint="eastAsia" w:ascii="方正仿宋_GB2312" w:hAnsi="方正仿宋_GB2312" w:eastAsia="方正仿宋_GB2312" w:cs="方正仿宋_GB2312"/>
          <w:b w:val="0"/>
          <w:bCs w:val="0"/>
        </w:rPr>
        <w:t>3.乙方收款银行账户信息：</w:t>
      </w:r>
    </w:p>
    <w:p w14:paraId="4BB2B6F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账户名称： </w:t>
      </w:r>
    </w:p>
    <w:p w14:paraId="07C346D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开户银行： </w:t>
      </w:r>
    </w:p>
    <w:p w14:paraId="3A9AA61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账号： </w:t>
      </w:r>
    </w:p>
    <w:p w14:paraId="32575CC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4、甲方开票信息：</w:t>
      </w:r>
    </w:p>
    <w:p w14:paraId="1D3BFC4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账户名称：清华大学深圳国际研究生院</w:t>
      </w:r>
    </w:p>
    <w:p w14:paraId="72A9214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账号：0142100324889</w:t>
      </w:r>
    </w:p>
    <w:p w14:paraId="2C69C32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银行名称：平安银行深圳大学城支行</w:t>
      </w:r>
    </w:p>
    <w:p w14:paraId="02DB821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税号：12440300455752807L</w:t>
      </w:r>
    </w:p>
    <w:p w14:paraId="6E3B515D">
      <w:pPr>
        <w:keepNext/>
        <w:keepLines/>
        <w:widowControl w:val="0"/>
        <w:kinsoku/>
        <w:overflowPunct w:val="0"/>
        <w:adjustRightInd/>
        <w:snapToGrid/>
        <w:spacing w:line="360" w:lineRule="auto"/>
        <w:ind w:firstLine="482" w:firstLineChars="200"/>
        <w:textAlignment w:val="auto"/>
        <w:outlineLvl w:val="1"/>
        <w:rPr>
          <w:rFonts w:ascii="方正仿宋_GB2312" w:hAnsi="方正仿宋_GB2312" w:eastAsia="方正仿宋_GB2312" w:cs="方正仿宋_GB2312"/>
          <w:b/>
          <w:bCs/>
          <w:snapToGrid/>
          <w:color w:val="auto"/>
          <w:kern w:val="2"/>
          <w:sz w:val="24"/>
          <w:szCs w:val="24"/>
        </w:rPr>
      </w:pPr>
      <w:r>
        <w:rPr>
          <w:rFonts w:hint="eastAsia" w:ascii="方正仿宋_GB2312" w:hAnsi="方正仿宋_GB2312" w:eastAsia="方正仿宋_GB2312" w:cs="方正仿宋_GB2312"/>
          <w:b/>
          <w:bCs/>
          <w:snapToGrid/>
          <w:color w:val="auto"/>
          <w:kern w:val="2"/>
          <w:sz w:val="24"/>
          <w:szCs w:val="24"/>
        </w:rPr>
        <w:t>第十条  服务要求</w:t>
      </w:r>
      <w:r>
        <w:rPr>
          <w:rFonts w:hint="eastAsia" w:ascii="方正仿宋_GB2312" w:hAnsi="方正仿宋_GB2312" w:eastAsia="方正仿宋_GB2312" w:cs="方正仿宋_GB2312"/>
          <w:b/>
          <w:bCs/>
          <w:snapToGrid/>
          <w:color w:val="FF0000"/>
          <w:kern w:val="2"/>
          <w:sz w:val="24"/>
          <w:szCs w:val="24"/>
        </w:rPr>
        <w:t>（正式合同可删除本句-本条可根据项目具体要求修改）</w:t>
      </w:r>
    </w:p>
    <w:p w14:paraId="43DA079C">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1.设施设备管理服务</w:t>
      </w:r>
    </w:p>
    <w:p w14:paraId="3417886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（1）服务区域内的房屋地面、墙台面及吊顶、门窗、楼梯、通风道等日常养护维修。</w:t>
      </w:r>
    </w:p>
    <w:p w14:paraId="66C5B34E">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（2）大修、装修的施工管理配合与相应水电使用管理与安全管理。</w:t>
      </w:r>
    </w:p>
    <w:p w14:paraId="7BEC7F8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明确服务区域内各设施设备的维保责任人。发现故障或其他异常时责任人应及时到场处置。设施设备的运行、维护、日常巡检等均应有明确记录。消防系统等特殊设备应按相关政策法规要求实施定期值班检查工作。</w:t>
      </w:r>
    </w:p>
    <w:p w14:paraId="4F298447">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公共设备维护、保养的范围包括但不限于：保安监控、消防监控、中央空调机房、计算机机房、电梯机房、电梯、泵房、锅炉、配电房、给排水、覆盖办公区域所有建筑物设施、部门。有专业或资质要求的工作岗位，其从业人员须符合国家、广东省以及当地相关要求。</w:t>
      </w:r>
    </w:p>
    <w:p w14:paraId="5C516CFE">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给排水、供水系统：建立正常用水、供水、排水管理制度并根据实际使用情况制订年度设备、设施管理、维修保养计划及总体节能计划。节约用水，防止冒、滴、漏，或大面积跑水事故的发生。保持供水系统的正常运转，每周检查水泵运转情况；其中消防泵启动不少于每年4次。保持水池、水箱的清洁卫生，防止二次污染。每周检修维护供水系统管路、水泵、水池、水箱、阀门、水表，保证其正常运转。保证排水系统的正常运转，防止阻塞。遇停水应预先通知甲方及受影响部门，并张贴预告。</w:t>
      </w:r>
    </w:p>
    <w:p w14:paraId="4687783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机电、照明及自动化系统管理：对服务区域内供电系统高、低压电器设备、照明装置等设备正常运行使用进行日常管理和养护维修并根据实际使用情况制订年度总体节能计划。建立严格的配送电运行制度和电气维修制度。供电和维修人员持证上岗。并配主管电气工程师。保证24小时有人员值班，做到发现故障、及时排除。保证公共使用的照明、指示、显示灯完好；电气巡查、维保工作要满足用户的要求、确保发配电设备安全运行。遇停电限电预先通知采购人及受影响部门，并张贴预告。对临时施工工程有用电管理措施。发生特殊情况，如火灾、地震、水灾时，及时切断电源。负责对路灯、庭园灯电源的操作，保证供电正常。确保办公区域内所有公共及专用照明灯管灯泡完好，发现损坏，及时调换。</w:t>
      </w:r>
    </w:p>
    <w:p w14:paraId="7734785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（7）负责服务区域内音源、服务器、喇叭等广播设备的正常使用及维修保养工作。</w:t>
      </w:r>
    </w:p>
    <w:p w14:paraId="418A41F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（8）服务区域内设施设备的标识等符合DB44/T1316规范的要求。</w:t>
      </w:r>
    </w:p>
    <w:p w14:paraId="2802248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电梯系统：根据电梯的图纸资料和技术性能制订电梯安全运行和维修保养的规章制度。电梯维保质量等符合DB44/T1093-2012及TSG08-2017规范的要求。电梯运行管理和对机房设备、井道系统、轿厢设备进行日常运行管理，每天检查，每周维护、保养。健全电梯设备档案及修理记录；安排电梯安全年检工作。保持电梯轿厢（包括厢内）、并道、底坑、机房及各梯整流控制柜的清洁。保证所有电梯照明及内选外呼、层楼显示的巡视和修理。密切监视和掌握电梯的运行动态，及时做好需变动的电梯运行的调度、管理工作。</w:t>
      </w:r>
    </w:p>
    <w:p w14:paraId="21E49910">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消防系统：对火灾自动报警系统；自动喷淋系统；室内灭火栓；排防烟系统；安全疏散、应急系统；防火门系统；二氧化碳等灭火系统进行日常管理和养护维修。消防设备设施的维护符合GB25201规范的要求，并按照GB13495.1及GB15630设置消防安全标志，对灭火器的日常管理和维护，建立“消防器材检查表”，登记类型、配置数量、放置部位和维护管理的责任人，明确维护管理责任人的职责并张贴在灭火器放置处。每月1次对消防、喷淋、配电系统做启动测试，管道养护工作。将水管内污水排空，保证消防系统在应急处理中能正常运转，培训有关人员学会应急处理的方法。负责对消防水电设施进行例行保养，每周1次检查消防栓和消防器械。消防水电设施确保运行良好（在处理特殊事件和紧急、突发事故时，突发事件应急处理能力和资源调配能力强，针对采购人实际情况，制定各类安防、消防等应急预案）。消防安全教育宣传、训练及演练工作。</w:t>
      </w:r>
    </w:p>
    <w:p w14:paraId="33794FF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（11）防火门维护：每月1次查看外观、关闭效果，双扇门的关闭顺序。每季度1次对于疏散通道上设有出入口控制系统的防火门，自动或远端手动输出控制信号，查看出入口控制系统的解除情况及反馈信号。</w:t>
      </w:r>
    </w:p>
    <w:p w14:paraId="05EFCC9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消防系统零星更新：在一般维保的基础上，对消防系统进行更换消耗品/易耗品/零配件等专业维保服务。在需要替换零配件的维修工作中，应以不高于市场价的优惠价格向厂家或其他合法渠道获取相关零配件。</w:t>
      </w:r>
    </w:p>
    <w:p w14:paraId="12A76BFA">
      <w:pPr>
        <w:kinsoku/>
        <w:overflowPunct w:val="0"/>
        <w:spacing w:line="360" w:lineRule="auto"/>
        <w:ind w:right="-53" w:rightChars="-25"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空调系统运行维护：集中空调系统的运行管理及冷水机组、新风机组、水泵、风机盘管、管道系统、各种阀类、采气装置和各类风口、自动控制系统等设备的日常养护维修。室内温湿度、空气质量等符合GB/T18883的要求。建立空调运行管理制度和安全操作规程，保证空调系统安全运行和正常使用（如有大楼空调主机房日常运行，定时开、关空调主机）。</w:t>
      </w:r>
    </w:p>
    <w:p w14:paraId="72654C5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中央控制室（监控中心）管理规定：中控室实行每天24小时人员值班、监控。控制非必要人员进入中控室。保证各控制箱、显示屏、信号灯、控制线路等的运作始终处于良好状态，各类操作按钮、手柄在自动位置。每班1次检查各类信号是否正常并做记录。出现报警信号后，立即赶到事发现场进行处理。中控室保洁每天1次。</w:t>
      </w:r>
    </w:p>
    <w:p w14:paraId="08215AF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（15）服务区域内的路标、楼栋号、楼层牌等建筑标志（识）的维护。</w:t>
      </w:r>
    </w:p>
    <w:p w14:paraId="261A0FE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（16）对服务区域内建筑物外立面的装饰、修缮等相关工程的巡视，发现特殊情况及时上报。</w:t>
      </w:r>
    </w:p>
    <w:p w14:paraId="4544EC3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（17）服务区域内共用管线、井盖或路面的临时性修复。</w:t>
      </w:r>
    </w:p>
    <w:p w14:paraId="3BE1A78A">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2.清洁卫生服务</w:t>
      </w:r>
    </w:p>
    <w:p w14:paraId="6343F3B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每天1次门厅用水拖抹，雨天随脏随抹；对人员走动频繁之地，进行不间断巡回保洁。要求做到地面干净、保持材料本色，无明显灰尘、污渍和杂物，无积水。发现杂物、废弃物应在1小时内清理。特殊情况或特殊时期要每天1次消毒。</w:t>
      </w:r>
    </w:p>
    <w:p w14:paraId="62FD485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（2）区域内垃圾实行袋装化，在甲方指定的各公共部位设立公共垃圾箱，在露天公共部位设立杂物箱，由专人分类、清运、处理（包括联系环卫部门运出处理）。</w:t>
      </w:r>
    </w:p>
    <w:p w14:paraId="3217525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（3）及时清扫服务区域地面积水、垃圾、烟头、枯叶等，使保持干净、无杂物、无积水等。</w:t>
      </w:r>
    </w:p>
    <w:p w14:paraId="3BB08240">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（4）根据相关设备、场地的污染程度，定期对垃圾筒清洁或清洗，定期对停车场、室外地面进行高压冲洗。</w:t>
      </w:r>
    </w:p>
    <w:p w14:paraId="0EB8CDF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不少于每天1次对采购人指定的公共设备、设施的表面进行清洁、抹净处理，保持洁净。每天1次擦净、抹净各办公室、会议室、接待室、休息室、教室、共享学习空间、餐厅等的办公桌、讲台、文件柜等家具。门窗、梯间内、楼梯扶手、灯饰、栏杆、指示牌等无污渍及明显灰尘。不少于每年1次清洗窗帘。不少于每月1次用水冲洗所有水泥地面、沥青地面等。</w:t>
      </w:r>
    </w:p>
    <w:p w14:paraId="1076566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每天清洗及保洁各区域的洗手间、检查更换卫生纸、洗手液、洁瓷精。厕所内无臭无味，目视地面、坑位、小便池、洗手盆干净，无尿迹、痰迹和其它污迹，无茶渣、烟头、纸巾、果皮等垃圾存在，特殊情况需按实际加强消毒频次；相关消耗品的提供另行约定。</w:t>
      </w:r>
    </w:p>
    <w:p w14:paraId="07F2F28C">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（7）不少于每周1次检查并清扫大楼天台、设备机房等部位。</w:t>
      </w:r>
    </w:p>
    <w:p w14:paraId="6568B75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（8）作业时应小心执扫，控制扬尘，不扰民，不溅污行人及住户衣物，避免妨碍行人和车辆正常行驶。</w:t>
      </w:r>
    </w:p>
    <w:p w14:paraId="55618C7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（9）垃圾分类：负责处理服务区域内垃圾分类工作，配合相关部门处理特定类型的垃圾。垃圾投放点按规定标注垃圾分类标志，垃圾分类标志符合GB/T19095规范。</w:t>
      </w:r>
    </w:p>
    <w:p w14:paraId="7092F31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（10）垃圾清运、处理分为：生活垃圾（有机、无机、有害垃圾）清运处理、督促装修垃圾清运处理和废纸及可再生废物的回收。所有垃圾清运处理应符合广东省及省内各地有关法律、法规规定。</w:t>
      </w:r>
    </w:p>
    <w:p w14:paraId="6CD0714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（11）垃圾清运、处理的范围分为：日常办公垃圾、日常生活垃圾、日常厨余垃圾、建筑垃圾、公共通道、园林、道路等的综合垃圾。</w:t>
      </w:r>
    </w:p>
    <w:p w14:paraId="69EE7B9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（12）垃圾清运、处理工作分为：收集区域内垃圾，并更换垃圾袋，不少于每天1次清洁垃圾筒。不少于每天2次定时清运、处理。将物业项目内所有桶内垃圾清理干净封好胶袋口。</w:t>
      </w:r>
    </w:p>
    <w:p w14:paraId="6910BF1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洁具、垃圾收集容器和运输工具：洁具、容器和运输工具要标识清楚，及时回收，定点摆放，保持洁净。扫帚、拖把、垃圾铲等洁具随用随清洗；运输用大垃圾桶、手推车或机动车清洗每天1次，容器和工具完好率为90％以上。</w:t>
      </w:r>
    </w:p>
    <w:p w14:paraId="060F2AA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果皮箱随满随掏，垃圾无爆满落地，周边无散落垃圾，无陈旧垃圾，无垃圾堆积。箱体经常擦拭、清洗，保持干净整洁，无异味、无旧污迹，无污水漫溢，箱桶周边地面整洁，无蝇、无臭。垃圾不外溢，周边无垃圾散落，无蝇、无臭、无残留或堆积垃圾。对服务区域内的清洁卫生检查工作符合DB44/T1047规范的要求。</w:t>
      </w:r>
    </w:p>
    <w:p w14:paraId="6F1473A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（15）对服务区域会造成影响的周边区域环境卫生进行清扫。</w:t>
      </w:r>
    </w:p>
    <w:p w14:paraId="3C9AA73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（16）负责日常清洁卫生中消耗的物料和工具。</w:t>
      </w:r>
    </w:p>
    <w:p w14:paraId="083E5CC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（17）垃圾杂物要“日产日清”，不摆放过夜。</w:t>
      </w:r>
    </w:p>
    <w:p w14:paraId="73304E9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（18）服务区域内的污水经污水管道集中排放处理。</w:t>
      </w:r>
    </w:p>
    <w:p w14:paraId="00B9178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（19）为保持污水管通畅，保洁员每月2次对排水沟清扫（含明沟、暗沟）。</w:t>
      </w:r>
    </w:p>
    <w:p w14:paraId="6F72345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（20）保持化粪池工作正常，每月1次检查，每半年1次清掏，发现异常及时清掏。</w:t>
      </w:r>
    </w:p>
    <w:p w14:paraId="642B87C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（21）地板打蜡保养/晶面处理服务：每年1次对室内塑胶、PVC地板、瓷砖、大理石地板打蜡保养/晶面处理服务。</w:t>
      </w:r>
    </w:p>
    <w:p w14:paraId="39FEF42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（22）室内高空保洁作业。对门厅、会议厅、报告厅、多媒体室中的顶灯、壁灯、吊灯、投影仪、音箱等悬挂器材以及其他安装于天花、墙壁高处的设备，每周1次进行清洁打扫工作。</w:t>
      </w:r>
    </w:p>
    <w:p w14:paraId="06C9985F">
      <w:pPr>
        <w:kinsoku/>
        <w:overflowPunct w:val="0"/>
        <w:spacing w:line="360" w:lineRule="auto"/>
        <w:ind w:firstLine="480" w:firstLineChars="200"/>
        <w:rPr>
          <w:rFonts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注：服务范围为A楼、B楼、C1楼、C2楼、C3楼、D楼、E楼、F楼、H楼、J楼、K楼、Q楼、L楼、能源与环境大楼、海洋大楼等室内外区域（不含二级单位办公室、会议室及实验室）、连廊、健身房、单车棚等停车区域、人工湖等室外公共区域的日常清洁（不含篮球场、足球场以及荷园生活区），以及学院后期规划的公共空间区域。</w:t>
      </w:r>
    </w:p>
    <w:p w14:paraId="55120EA0">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3.绿化养护服务</w:t>
      </w:r>
    </w:p>
    <w:p w14:paraId="5B0E068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（1）根据甲方需求提供苗木、绿化更换等服务。</w:t>
      </w:r>
    </w:p>
    <w:p w14:paraId="274ABC8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（2）专业的绿化管理，根据植物种类、状况定期浇水，及时修剪枯枝、残技和养护树木、草坪、花卉、盆栽等，除杂草、除病虫害、防台风处理等执行专业的养护和管理工作。</w:t>
      </w:r>
    </w:p>
    <w:p w14:paraId="2C2C789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（3）每月2次清理绿化区域内的鼠迹、蟑迹和鼠洞堵塞，清理绿化区域内乱张贴和乱搭挂物；每天清理花盆、绿化地中的垃圾、杂物。</w:t>
      </w:r>
    </w:p>
    <w:p w14:paraId="223F5A4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（4）根据植物特性定期施肥，施用符合国家规范的肥料。</w:t>
      </w:r>
    </w:p>
    <w:p w14:paraId="5CC22D8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（5）负责区域内水塘/水池垃圾的清理，保持水体清洁、给排水畅通。</w:t>
      </w:r>
    </w:p>
    <w:p w14:paraId="3A394FF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（6）服务区域内的树木按规定悬挂树种铭牌。</w:t>
      </w:r>
    </w:p>
    <w:p w14:paraId="766C28F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（7）服务区域内的人造绿化景点布置、设置。</w:t>
      </w:r>
    </w:p>
    <w:p w14:paraId="23E1105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（8）草坪的养护及清洁：春夏两季每两月1次修剪，秋冬两季根据情况修剪。每次修剪后对草皮施肥1次，保持草坪常绿。草皮杂草每周1次巡查拔除，做到基本不见杂草。拾除草坪、花丛内纸屑、果皮等杂物。</w:t>
      </w:r>
    </w:p>
    <w:p w14:paraId="751357A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（9）乔灌木、花卉的养护及清洁：每月1次巡查，及时修剪枯枝、病虫枝、下垂妨碍观瞻和活动的枝条，修剪下的枝叶要立即清除。</w:t>
      </w:r>
    </w:p>
    <w:p w14:paraId="002ED9B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提倡生化物防治、人工防治，使用药剂须以不伤害人体健康为前提，使用高效低毒的农药。在使用农药时，须做好人员保护措施，使用喷雾器时，注意天气情况，避免药液扩散或喷溅。每次养护工作完成后，应即时予以记录备案。</w:t>
      </w:r>
    </w:p>
    <w:p w14:paraId="3096817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（11）具体养护、管理服务内容及配套设备等符合DB44/T968及DB44/T1049规范，以及项目所在地关于园林绿化养护标准的要求。</w:t>
      </w:r>
    </w:p>
    <w:p w14:paraId="3C8A34E5">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4.秩序维护服务</w:t>
      </w:r>
    </w:p>
    <w:p w14:paraId="6FA8521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（1）全天候负责区域内正门、侧门、区域通道、围墙、各楼层/区域内办公室及公共走道交通及每天24小时巡逻、值勤。日常安保及秩序管理服务符合GA/T594规范的要求。</w:t>
      </w:r>
    </w:p>
    <w:p w14:paraId="0E7BE04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（2）服务区域来人来访人员通报、登记、证件检查等。</w:t>
      </w:r>
    </w:p>
    <w:p w14:paraId="537F415E">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（3）积极配合公安部门工作，制定或完善监控室管理制度。</w:t>
      </w:r>
    </w:p>
    <w:p w14:paraId="2496F2EC">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执行当地公安部门关于物业管理服务区域范围内的安全保卫工作方针、政策和有关条例。认真做好各种应急预案，并报备采购人审查。遇恶劣天气（如台风、雷雨、酷暑和极潮湿等）或突发事件须及时出示警告牌，并记录和保护相关资料。</w:t>
      </w:r>
    </w:p>
    <w:p w14:paraId="12F3D3D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（5）及时制止物业管理区域内的不文明及违法行为。</w:t>
      </w:r>
    </w:p>
    <w:p w14:paraId="073C5D2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（6）不少于每天1次对开关和照明灯具等进行检查。</w:t>
      </w:r>
    </w:p>
    <w:p w14:paraId="7AF743D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（7）建立防火制度和安全操作等制度。每半年1次开展防盗、防火宣传。</w:t>
      </w:r>
    </w:p>
    <w:p w14:paraId="4F7D402D">
      <w:pPr>
        <w:kinsoku/>
        <w:overflowPunct w:val="0"/>
        <w:spacing w:line="360" w:lineRule="auto"/>
        <w:ind w:firstLine="480" w:firstLineChars="200"/>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（8）按公安、消防等行政部门要求，发布、张贴有关政策法规的宣传资料。</w:t>
      </w:r>
    </w:p>
    <w:p w14:paraId="1B2A3EA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（9）巡逻范围包括服务区域内的公共区域、绿地带、设备用房和各办公楼（区域）及甲方指定场所。</w:t>
      </w:r>
    </w:p>
    <w:p w14:paraId="565711C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（10）处理各种突发事件，严重事件及时报警。</w:t>
      </w:r>
    </w:p>
    <w:p w14:paraId="205876B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（11）每周2次巡视消防器材和设备，及时通知指定有关人员负责保养、维修和管理。</w:t>
      </w:r>
    </w:p>
    <w:p w14:paraId="25D5700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（12）制定停车场使用条例，停车管理规定。或执行甲方制定的外来车辆管理规定。在停车场区域使用显著的标志指引进出车辆，标志的设置符合GB5768.2及GB/T10001.1的规范。</w:t>
      </w:r>
    </w:p>
    <w:p w14:paraId="2632502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（13）定期对停车场出入口设备进行维护保养。设备故障、维保期间应安排人员指挥、控制车辆及人员的出入。</w:t>
      </w:r>
    </w:p>
    <w:p w14:paraId="2839799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（14）外来车辆进出辖区应登记日期、进出时间、车牌号码。建立登记制度，严防盗抢事件发生。</w:t>
      </w:r>
    </w:p>
    <w:p w14:paraId="54505B4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（15）非机动车、机动车等各种车辆停放有序，有专人指引按规定停放在划定的露天车位或车棚内，做到车辆停放规范、整齐、分类、安全。制止车辆在行车通道、消防通道及非停车位上停车。</w:t>
      </w:r>
    </w:p>
    <w:p w14:paraId="67C8F3C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16）负责维护服务区域内的工作人员的人身和财产安全。劝阻、纠正、制止服务区域内各种违章（法）违规（纪）行为，包括车辆（包括电动车、单车）乱停乱放交通违章、消防违规、推销、乱搭建、乱张贴、乱摆卖、乱涂乱画等，维护服务区域内的正常工作、生活秩序，净化环境。</w:t>
      </w:r>
    </w:p>
    <w:p w14:paraId="1C4C244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（17）负责甲方重大活动、会务以及来访领导、贵宾的安全保卫工作，维护重大活动、集会秩序，确保领导、贵宾的安全和活动的顺利进行。根据要求做好活动或会务期间的服务工作。</w:t>
      </w:r>
    </w:p>
    <w:p w14:paraId="21B29BE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（18）询问并登记搬入/运离服务区域的大宗物品和贵重物品的来源及去处，确认有相关部门或甲方的书面确认材料，经登记后才可放行。</w:t>
      </w:r>
    </w:p>
    <w:p w14:paraId="0B075BC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（19）外来车辆的收费，按采购人现有制度执行。</w:t>
      </w:r>
    </w:p>
    <w:p w14:paraId="5D109F1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（20）每年1次进行重大的消防演练或防灾应急演习。</w:t>
      </w:r>
    </w:p>
    <w:p w14:paraId="071564C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21）乙方若为保安服务公司，需提供服务所在地公安机关核发的《保安服务许可证》【非服务所在地公安机关核发的，承诺“在开始提供保安服务之前30日内向服务所在地设区市的公安机关备案“，提供承诺函（格式自拟）】；若为自行招用保安员的单位，需提供服务所在地设区市的公安机关备案证明【未取得备案的，需承诺“自开始保安服务之日起30个工作日内向服务所在地设区市的公安机关备案”，提供承诺函（格式自拟）】。</w:t>
      </w:r>
    </w:p>
    <w:p w14:paraId="1367B609">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5.会务服务</w:t>
      </w:r>
    </w:p>
    <w:p w14:paraId="2F97FF2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为服务区域内举办的各类会议、活动提供服务。会务服务符合DB44/T876规范的要求。其中，工作内容包括但不限于：会场布置、会议材料复印、发放，与会人员登记、会议礼仪接待、引导服务等。视频、音响保障。会议/活动期间开水供应及相关服务。会议/活动后会场整理、保洁服务。</w:t>
      </w:r>
    </w:p>
    <w:p w14:paraId="65D1712D">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6.综合服务</w:t>
      </w:r>
    </w:p>
    <w:p w14:paraId="00AB5860">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6.1公共卫生应急管理</w:t>
      </w:r>
    </w:p>
    <w:p w14:paraId="2147CB4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严格执行《突发公共卫生事件应急条例》等文件的要求，联合甲方或甲方下属分管部门成立公共卫生应急工作领导小组，制定突发公共卫生事件、防疫等相应防控措施和应急预案，在突发公共卫生事件及疫情发生时，负责做好组织、指挥、协调和服务保障工作，及时向有关部门汇报相关情况。相关管控措施符合DB44/T1048规范的要求。</w:t>
      </w:r>
    </w:p>
    <w:p w14:paraId="75F2916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（2）制定进入物业管理服务区域或范围内特定区域的人员管控措施方案，做好人员进出登记、管理工作。</w:t>
      </w:r>
    </w:p>
    <w:p w14:paraId="40F41C6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（3）按防控措施针对性做好公共区域等场所的卫生消杀工作，环境及物品以清洁为主、预防性消毒为辅。出现受污染情况时及时进行清洁消毒。</w:t>
      </w:r>
    </w:p>
    <w:p w14:paraId="1F1D850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（4）及时跟进所在地区的防疫政策，根据政策变化调配人手响应相关要求。</w:t>
      </w:r>
    </w:p>
    <w:p w14:paraId="2DB7050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6.2人员进驻、管理及其他服务要求</w:t>
      </w:r>
    </w:p>
    <w:p w14:paraId="2A14F6D6">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进驻管理：详细审阅、熟悉所有整个物业管理服务区域的设计图纸，并从物业管理及用户角度对物业管理提出专业管理意见、改进方案。迅速熟悉服务区域内的机电设备系统、楼宇/场地智能化管理系统、网络系统、IT基础设施的性能、规格、造型、布置提出专业管理意见和建议。对甲方提供的图纸、资料、档案等提出专业意见和建议。提供24小时热线，响应甲方反应的紧急要求。</w:t>
      </w:r>
    </w:p>
    <w:p w14:paraId="574166A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档案管理：建立管理人员人事档案和各类行政文件、合同的存档工作。相关工作内容符合DB44/T1315规范的要求。健全所有建筑物、公用设施、设备的图纸资料，及时增加修改资料。建立设备、设施、保安、保洁、车辆等日常运作管理档案。所有资料及管理资料分为图、档、卡、册四类，安放于防火、防潮、防蛀之专用档案箱/盒/柜内。做好档案资料的保密工作，确保相关信息不外泄。</w:t>
      </w:r>
    </w:p>
    <w:p w14:paraId="0B84CF2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公共关系管理：主动联系本服务区域的水、电、气的供应、管理部门和环卫、公安等部门，建立联系和应急协调机制。主动联系本服务区域的公共设备制造供应商，了解设备大修、维护情况，建立良好关系和应急协调机制。制作材质好、外观端正、内容清晰的名牌、标牌、告示牌、警示牌等指示牌，与大楼/区域的整体环境相适应。</w:t>
      </w:r>
    </w:p>
    <w:p w14:paraId="6C072C69">
      <w:pPr>
        <w:kinsoku/>
        <w:overflowPunct w:val="0"/>
        <w:spacing w:line="360" w:lineRule="auto"/>
        <w:ind w:firstLine="480" w:firstLineChars="200"/>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（4）节能管理：根据甲方的节约能源（资源）相关要求开展相关服务工作。并按照相关节能强度目标实施相关巡查、抄表、统计、报告等服务管理工作。</w:t>
      </w:r>
    </w:p>
    <w:p w14:paraId="5EEF421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（5）其他场地设施：对服务区域内的礼堂、机房、池塘、景观、雕塑等特殊场地、设施提供各自针对性的专业管理服务方案。</w:t>
      </w:r>
    </w:p>
    <w:p w14:paraId="440C68B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大型活动支援：甲方在服务区域内举办大型活动（开学/毕业典礼、校庆、校运动会、集中考试、外单位交流活动等）增派人员支援。为活动现场提供现场布置、秩序维护、设施设备维护、环境清洁、迎宾接待等服务。活动结束后根据甲方需要提供专项清洁打扫及垃圾清运服务。</w:t>
      </w:r>
    </w:p>
    <w:p w14:paraId="4D4B124F">
      <w:pPr>
        <w:kinsoku/>
        <w:overflowPunct w:val="0"/>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第十一条 分项标准</w:t>
      </w:r>
    </w:p>
    <w:p w14:paraId="5FF1CA20">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详见附件一</w:t>
      </w:r>
    </w:p>
    <w:p w14:paraId="1BFA050F">
      <w:pPr>
        <w:keepNext/>
        <w:keepLines/>
        <w:widowControl w:val="0"/>
        <w:kinsoku/>
        <w:overflowPunct w:val="0"/>
        <w:adjustRightInd/>
        <w:snapToGrid/>
        <w:spacing w:line="360" w:lineRule="auto"/>
        <w:ind w:firstLine="482" w:firstLineChars="200"/>
        <w:textAlignment w:val="auto"/>
        <w:outlineLvl w:val="1"/>
        <w:rPr>
          <w:rFonts w:ascii="方正仿宋_GB2312" w:hAnsi="方正仿宋_GB2312" w:eastAsia="方正仿宋_GB2312" w:cs="方正仿宋_GB2312"/>
          <w:b/>
          <w:bCs/>
          <w:snapToGrid/>
          <w:color w:val="auto"/>
          <w:kern w:val="2"/>
          <w:sz w:val="24"/>
          <w:szCs w:val="24"/>
        </w:rPr>
      </w:pPr>
      <w:r>
        <w:rPr>
          <w:rFonts w:hint="eastAsia" w:ascii="方正仿宋_GB2312" w:hAnsi="方正仿宋_GB2312" w:eastAsia="方正仿宋_GB2312" w:cs="方正仿宋_GB2312"/>
          <w:b/>
          <w:bCs/>
          <w:snapToGrid/>
          <w:color w:val="auto"/>
          <w:kern w:val="2"/>
          <w:sz w:val="24"/>
          <w:szCs w:val="24"/>
        </w:rPr>
        <w:t>第十二条 经营制约</w:t>
      </w:r>
    </w:p>
    <w:p w14:paraId="25768FE5">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未经甲方同意，乙方无权在服务区域中从事任何广告活动或类似宣传，甲方有权依照广告法和甲方相关的规定对乙方进行处罚；但甲方在该区域发布的广告宣传在不致影响乙方正常工作的情况下，乙方应予以配合。</w:t>
      </w:r>
    </w:p>
    <w:p w14:paraId="59B0BFE3">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2.乙方不得以甲方的名义从事任何经济活动，且由此发生的一切债权、债务与甲方无关。</w:t>
      </w:r>
    </w:p>
    <w:p w14:paraId="214C6C48">
      <w:pPr>
        <w:pStyle w:val="2"/>
        <w:spacing w:line="360" w:lineRule="auto"/>
        <w:ind w:firstLine="482" w:firstLineChars="200"/>
        <w:rPr>
          <w:rFonts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第十三条 乙方对甲方作出如下承诺：</w:t>
      </w:r>
    </w:p>
    <w:p w14:paraId="66C8DA6C">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1.不以任何形式转租、转让、抵押服务区域，在服务区域内只从事甲方认可的服务工作。</w:t>
      </w:r>
    </w:p>
    <w:p w14:paraId="0543802D">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2.乙方应允许甲方或其授权的人员对服务区域内各项服务质量控制进行检查。</w:t>
      </w:r>
    </w:p>
    <w:p w14:paraId="4C697412">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3.在服务区域中的各项服务，其工作时间必须满足甲方的工作要求，包括星期天及公众假期。如遇特殊情况，甲方可要求乙方调整工作时间直至全天二十四小时工作，由此产生的相关费用由双方另行协商。</w:t>
      </w:r>
    </w:p>
    <w:p w14:paraId="08A082D5">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乙方必须指定一位项目经理(负责人)，全权代表乙方与甲方保持密切联系并保证服务区域工作。根据综合考评或工作情况，甲方有权要求乙方在一个星期内更换项目经理（负责人）、相关骨干人员（主要管理层人员）。</w:t>
      </w:r>
    </w:p>
    <w:p w14:paraId="0F773D38">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为服务区域的服务工作配备承诺的人员及人员数量，甲方不定期抽查乙方投入的人员数量，如果抽查时发现乙方安排在岗的人员数量少于合同约定的数量，甲方将按考核标准进行处罚。乙方聘用的工作人员必须符合劳动部门有关用工规定，并经乙方相关专业考核合格后持证上岗，甲方有权进行审核，审核不通过的，乙方须承担合同违约责任及相关法律责任。</w:t>
      </w:r>
    </w:p>
    <w:p w14:paraId="27684D24">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在合同生效期间，乙方所有人员仅与乙方建立劳动合同关系，且所有人员使用须符合《中华人民共和国劳动法》、《中华人民共和国劳动合同法》以及相关法律法规的要求。乙方人员发生任何事故或与乙方发生劳动争议均由乙方自行全权负责，相关费用乙方自行承担，以保证甲方在乙方人员索赔时不受任何责任的约束，且不影响甲方的正常用人需求。乙方所有人员的劳动报酬及相关社会、医疗保障等收入应符合服务区域所在地的相关规定。</w:t>
      </w:r>
    </w:p>
    <w:p w14:paraId="57448643">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7.乙方工作人员上岗穿着由乙方提供、甲方确认的制服及甲方许可的装饰物品，该部分费用和制作均由乙方负担。</w:t>
      </w:r>
    </w:p>
    <w:p w14:paraId="4B6EFED5">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8.乙方必须出具或办妥法律及甲方规定的，在服务区域中与其自身经营业务有关的执照和许可证，方可从事经营并在经营中遵守一切有关条例和规定。自行缴纳有关税费。</w:t>
      </w:r>
    </w:p>
    <w:p w14:paraId="4AEFFE0B">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9.乙方必须确保为甲方提供优质、高效的专业服务，并根据甲方要求改变不满意的服务状况。接受甲方、甲方主管/分管部门及有关政府部门监督与检查。</w:t>
      </w:r>
    </w:p>
    <w:p w14:paraId="360EFF3B">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在合同生效期内乙方应保证服务区域内的设施、设备良好的运营状况和环境状况，并接受甲方或其授权人员的检查，对由乙方引起或造成设施、设备的损坏及环境卫生不理想状况，甲方将书面通知乙方修复或整改，在书面通知下达一周后，仍未按要求修复或整改的，甲方将按相关考核标</w:t>
      </w:r>
    </w:p>
    <w:p w14:paraId="6109A511">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准进行处罚，必要时上报有关监管部门按照相关规定依法处理。</w:t>
      </w:r>
    </w:p>
    <w:p w14:paraId="5776F557">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11.乙方在服务区域因作业所需增加机械、电力设备及设施应征得甲方同意，并聘请有资格的承造商进行安装、保养并将施工安装保养记录手册和图，交由甲方备案。</w:t>
      </w:r>
    </w:p>
    <w:p w14:paraId="734CBE2D">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12.禁止事项</w:t>
      </w:r>
    </w:p>
    <w:p w14:paraId="69D1695B">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12.1 乙方不得以任何理由向甲方工作人员支付费用或赠送实物、有价证券等，违者将终止合同。乙方人员也不得以任何形式向甲方相关人员索取小费或钱物等。严重的追究相关法律责任。</w:t>
      </w:r>
    </w:p>
    <w:p w14:paraId="78FE3D1A">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12.2 不得在服务区域随意住宿或从事非法活动，也不得从事有损甲方利益的活动，同时不允许在服务区域对甲方正常办公或经营活动进行滋扰性的行为。</w:t>
      </w:r>
    </w:p>
    <w:p w14:paraId="2F89E1F6">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12.3 除经甲方批准进行必要的维修工程外，乙方不得损毁服务区域原有的设施和装潢，不得更改已铺设的电缆、电线等电力装置及给排水系统、油气管道等。同时，也不得安装任何可能造成电缆负载过大的电器设备，避免消防风险及不必要的无线电干扰。</w:t>
      </w:r>
    </w:p>
    <w:p w14:paraId="6B005EAC">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12.4 未获甲方书面同意，乙方任何时候均不得在服务区域存放易燃物品、具有较大挥发性或气味浓烈的液体或任何其他危险品。</w:t>
      </w:r>
    </w:p>
    <w:p w14:paraId="2B43F7C5">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13.保险</w:t>
      </w:r>
    </w:p>
    <w:p w14:paraId="4B372B5A">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13.1 第三者责任保险乙方应对乙方人员以及第三方全权负责(如乙方应投保第三责任险)，在乙方的责任区内由于乙方原因导致自己员工或第三方的事故由乙方负责，甲方不承担任何责任。</w:t>
      </w:r>
    </w:p>
    <w:p w14:paraId="61F785E9">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13.2 员工人身意外在合同生效期内，乙方所有人员的事故由乙方自行全权负责(如乙方应对其员工投保人身意外险)，以保证甲方在乙方工作人员索赔时不受任何责任的约束。</w:t>
      </w:r>
    </w:p>
    <w:p w14:paraId="7814A4AC">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13.3 其他保险及费用乙方须按《中华人民共和国劳动法》、《中华人民共和国劳动合同法》和政府有关各部门规定为全体服务人员交纳所有相关的社会保险及其他相关费用。乙方对此全权负责。</w:t>
      </w:r>
    </w:p>
    <w:p w14:paraId="2A7D00A0">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14.乙方及其员工遵守物业服务区域内的一切行政管理、消防安全等规定和制度，保证服务区域内的消防设施能正常使用，消防通道畅通，同时承担违规责任。</w:t>
      </w:r>
    </w:p>
    <w:p w14:paraId="28B7364D">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15.遇突发事件或安全检查时，乙方必须配合有关部门执行任务，并指定专职人员协助工作，直至完成。</w:t>
      </w:r>
    </w:p>
    <w:p w14:paraId="0A5EEBA3">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16.乙方须积极配合甲方对其进行的物业服务综合考评。</w:t>
      </w:r>
    </w:p>
    <w:p w14:paraId="0684F5A2">
      <w:pPr>
        <w:pStyle w:val="2"/>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第十四条 甲方对乙方作出如下承诺：</w:t>
      </w:r>
    </w:p>
    <w:p w14:paraId="4B73AF28">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1.甲方在职权范围内保证乙方的正常经营不受干扰。</w:t>
      </w:r>
    </w:p>
    <w:p w14:paraId="33688071">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2.保证乙方的员工按相关规定正常进入服务区域开展服务工作。</w:t>
      </w:r>
    </w:p>
    <w:p w14:paraId="223B5A88">
      <w:pPr>
        <w:keepNext/>
        <w:keepLines/>
        <w:widowControl w:val="0"/>
        <w:kinsoku/>
        <w:overflowPunct w:val="0"/>
        <w:adjustRightInd/>
        <w:snapToGrid/>
        <w:spacing w:line="360" w:lineRule="auto"/>
        <w:ind w:firstLine="482" w:firstLineChars="200"/>
        <w:textAlignment w:val="auto"/>
        <w:outlineLvl w:val="1"/>
        <w:rPr>
          <w:rFonts w:ascii="方正仿宋_GB2312" w:hAnsi="方正仿宋_GB2312" w:eastAsia="方正仿宋_GB2312" w:cs="方正仿宋_GB2312"/>
          <w:b/>
          <w:bCs/>
          <w:snapToGrid/>
          <w:color w:val="auto"/>
          <w:kern w:val="2"/>
          <w:sz w:val="24"/>
          <w:szCs w:val="24"/>
        </w:rPr>
      </w:pPr>
      <w:r>
        <w:rPr>
          <w:rFonts w:hint="eastAsia" w:ascii="方正仿宋_GB2312" w:hAnsi="方正仿宋_GB2312" w:eastAsia="方正仿宋_GB2312" w:cs="方正仿宋_GB2312"/>
          <w:b/>
          <w:bCs/>
          <w:snapToGrid/>
          <w:color w:val="auto"/>
          <w:kern w:val="2"/>
          <w:sz w:val="24"/>
          <w:szCs w:val="24"/>
        </w:rPr>
        <w:t>第十五条  甲方的权利与义务</w:t>
      </w:r>
    </w:p>
    <w:p w14:paraId="6E5E83C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1.遵守国家、地方的与本合同项下提供服务有关的法律、法规。</w:t>
      </w:r>
    </w:p>
    <w:p w14:paraId="449A47B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position w:val="16"/>
          <w:sz w:val="24"/>
          <w:szCs w:val="24"/>
        </w:rPr>
        <w:t>2.有权查阅乙方制定的管理制度并提出建议，定期检查监督乙方服务的实施及相关的执行</w:t>
      </w:r>
      <w:r>
        <w:rPr>
          <w:rFonts w:hint="eastAsia" w:ascii="方正仿宋_GB2312" w:hAnsi="方正仿宋_GB2312" w:eastAsia="方正仿宋_GB2312" w:cs="方正仿宋_GB2312"/>
          <w:sz w:val="24"/>
          <w:szCs w:val="24"/>
        </w:rPr>
        <w:t>情况。</w:t>
      </w:r>
    </w:p>
    <w:p w14:paraId="5F10CDFA">
      <w:pPr>
        <w:pStyle w:val="2"/>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3.甲方有权审定乙方提出的物业管理服务年度计划、财务预算及决算；</w:t>
      </w:r>
    </w:p>
    <w:p w14:paraId="072A15D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4.有权对乙方的服务质量进行监督考核，对不符合质量标准的管理服务有权要求整改，对不称职或不能提供服务的人员可以要求乙方更换，乙方必须在</w:t>
      </w:r>
    </w:p>
    <w:p w14:paraId="5FCFFDE4">
      <w:pPr>
        <w:kinsoku/>
        <w:overflowPunct w:val="0"/>
        <w:spacing w:line="360" w:lineRule="auto"/>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甲方要求的期限内进行整改或执行。</w:t>
      </w:r>
    </w:p>
    <w:p w14:paraId="3881E99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5.为乙方的管理服务提供必要的工作条件。</w:t>
      </w:r>
    </w:p>
    <w:p w14:paraId="1EBE43C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position w:val="16"/>
          <w:sz w:val="24"/>
          <w:szCs w:val="24"/>
        </w:rPr>
        <w:t>6.有权定期或不定期召开服务专题会议，沟通解决服务中存在的问题，乙</w:t>
      </w:r>
      <w:r>
        <w:rPr>
          <w:rFonts w:hint="eastAsia" w:ascii="方正仿宋_GB2312" w:hAnsi="方正仿宋_GB2312" w:eastAsia="方正仿宋_GB2312" w:cs="方正仿宋_GB2312"/>
          <w:sz w:val="24"/>
          <w:szCs w:val="24"/>
        </w:rPr>
        <w:t>方应安排管理人员参加会议。</w:t>
      </w:r>
    </w:p>
    <w:p w14:paraId="0A09846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7.对于乙方提出的有关不安全隐患的改进意见和措施，甲方应及时采取措施消除不安全隐患。</w:t>
      </w:r>
    </w:p>
    <w:p w14:paraId="71AB968D">
      <w:pPr>
        <w:keepNext/>
        <w:keepLines/>
        <w:widowControl w:val="0"/>
        <w:kinsoku/>
        <w:overflowPunct w:val="0"/>
        <w:adjustRightInd/>
        <w:snapToGrid/>
        <w:spacing w:line="360" w:lineRule="auto"/>
        <w:ind w:firstLine="482" w:firstLineChars="200"/>
        <w:textAlignment w:val="auto"/>
        <w:outlineLvl w:val="1"/>
        <w:rPr>
          <w:rFonts w:ascii="方正仿宋_GB2312" w:hAnsi="方正仿宋_GB2312" w:eastAsia="方正仿宋_GB2312" w:cs="方正仿宋_GB2312"/>
          <w:b/>
          <w:bCs/>
          <w:snapToGrid/>
          <w:color w:val="auto"/>
          <w:kern w:val="2"/>
          <w:sz w:val="24"/>
          <w:szCs w:val="24"/>
        </w:rPr>
      </w:pPr>
      <w:r>
        <w:rPr>
          <w:rFonts w:hint="eastAsia" w:ascii="方正仿宋_GB2312" w:hAnsi="方正仿宋_GB2312" w:eastAsia="方正仿宋_GB2312" w:cs="方正仿宋_GB2312"/>
          <w:b/>
          <w:bCs/>
          <w:snapToGrid/>
          <w:color w:val="auto"/>
          <w:kern w:val="2"/>
          <w:sz w:val="24"/>
          <w:szCs w:val="24"/>
        </w:rPr>
        <w:t>第十六条  乙方的权利与义务</w:t>
      </w:r>
    </w:p>
    <w:p w14:paraId="643892BB">
      <w:pPr>
        <w:keepNext/>
        <w:keepLines/>
        <w:widowControl w:val="0"/>
        <w:kinsoku/>
        <w:overflowPunct w:val="0"/>
        <w:adjustRightInd/>
        <w:snapToGrid/>
        <w:spacing w:line="360" w:lineRule="auto"/>
        <w:ind w:firstLine="480" w:firstLineChars="200"/>
        <w:textAlignment w:val="auto"/>
        <w:outlineLvl w:val="1"/>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1.遵守所有国家、地方的与本合同项下提供服务有关的法律、法令、规则和规章。</w:t>
      </w:r>
    </w:p>
    <w:p w14:paraId="3D1771D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2.根据中国法律法规、投标（响应）文件及本合同的约定，制定各类本合同项下相关管理制度、服务工作计划，并在提交甲方审核通过后实施。</w:t>
      </w:r>
    </w:p>
    <w:p w14:paraId="6737D9C7">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3.有权要求甲方及物业使用人告知物业使用的有关规定，并负责监督。</w:t>
      </w:r>
    </w:p>
    <w:p w14:paraId="7D9647B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有义务按甲方要求及时如实向甲方报告物业管理服务实施情况，对服务范围内存在的不安全隐患随时向甲方提出改进意见和措施，甲方应及时采取措施消除不安全隐患。须协助甲方对管理范围内装修人员的出入管理及装修现场管理，及时报告甲方。</w:t>
      </w:r>
    </w:p>
    <w:p w14:paraId="63107B5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负责所提供的服务应符合有关环保及健康的相关法律、法规的要求，做安全预防性措施，自行负责所有项目工作人员的健康和安全。在本合同期限内，由于乙方管理责任导致操作违规、造成乙方雇员、甲方人员或者第三方人员人身伤害或者财产损失事故的，由乙方依法承担相应责任。</w:t>
      </w:r>
    </w:p>
    <w:p w14:paraId="1C05331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乙方在收到任何关于本合同约定的服务事项履行中有关违反法律、法令、规则或规章的通知后，应当立即通知甲方，并迅速纠正属于乙方责任的此类违法情形，并依法承担相应承担。如果由于乙方的违法或者过错导致甲方或者第三方包括甲方的客户、员工等的财产或者设备被盗或者遭受破坏，由此产生的损失理赔由乙方依法承担相应责任。</w:t>
      </w:r>
    </w:p>
    <w:p w14:paraId="0C505D4B">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7.乙方自行承担办公桌、电脑、打印机、文件柜等自身使用的办公用品，自行承担所有人员服装费用，但服装样式需经过甲方认可，办公、生活用水、电、通讯费用由乙方自行承担。</w:t>
      </w:r>
    </w:p>
    <w:p w14:paraId="0A424CA4">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如遇突发事件，乙方应立即向甲方或者其指定的负责人报告，并在24小时内递交书面事件报告。乙方有义务第一时间对安全、消防的突发事件进行应急处理(如盗窃、火灾等)，并及时报告甲方有关人员。如因乙方原因未及时劝阻或报告、未尽安全管理义务等，给甲乙双方及任何第三方造成人身、财产损害，乙方应承担所有责任，甲方承担了相关责任的，有权向乙方追偿。</w:t>
      </w:r>
    </w:p>
    <w:p w14:paraId="06464D0C">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9.在履行本合同服务过程中，对已发现无法解决的问题应及时向甲方反映，并提交书面报告。</w:t>
      </w:r>
    </w:p>
    <w:p w14:paraId="0C6C4D94">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未经甲方同意，乙方不得改变甲方提供的服务办公场所的用途，不得擅自占用本合同项下公用设施和场地或改变其使用功能。乙方应当依法、文明履行职责，不得侵犯甲方或其他方的合法权益；乙方服务人员应遵守甲方的各项管理制度。乙方及其服务人员在服务中知悉的甲方有关的一切商业信息和商业秘密均应予以保密，不得向任何第三方泄露，乙方对此承担连带责任。上述保密义务不因本合同的变更、解除或终止而无效。</w:t>
      </w:r>
    </w:p>
    <w:p w14:paraId="6EA0D3DA">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在征得甲方书面同意的前提下，乙方有权选聘有资质专营公司承担本物业的专项管理业务并支付费用，但不得将整体管理责任及利益转让给其他人或单位，不得将重要专项业务承包给个人，一经发现，甲方有权单方解除本合同并要求乙方按照本合同第十八条第2款承担违约责任和赔偿损失。</w:t>
      </w:r>
    </w:p>
    <w:p w14:paraId="72169972">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乙方应建立、妥善保管和正确使用本物业相关的管理档案，并负责及时记载有关变更情况。保留相关的工作记录,接受物业管理主管部门及有关政府部门的监督指导，并接受甲方的监督。合同终止时，乙方应向甲方提交服务总结报告。在双方约定的时间内向甲方移交属于甲方提供的物料、设备、工具、钥匙、门禁卡、物业档案文件、图纸等资料以及在管理过程中所产生的记录文件等资料，并确保移交的资料和设备、设施完好无缺。双方结算支付物业服务费用及其他有关费用；所有移交的内容都应有清单并由双方签收；全部手续完成后双方签署物业移交确认书。</w:t>
      </w:r>
    </w:p>
    <w:p w14:paraId="3FB66D07">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乙方应提供24小时报修电话，设立预约报修网站、手机客户端报修系统，登记报修记录。乙方应当在发现故障或接到报修后1小时内到场维修并采取措施防止损失扩大或给第三方造成人身、财产损失，并在24小时内排除故障。情况特别紧急的(包括但不限于严重影响甲方日常工作的)，应在发现故障或接到报修后30分钟内到场并在2-6小时内排除故障。</w:t>
      </w:r>
    </w:p>
    <w:p w14:paraId="423A5480">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14.乙方根据本合同进行需要暂时停水、停电等可能影响甲方日常工作的和甲方师生生活的维修维护的，应当事先告知甲方并发出通告。</w:t>
      </w:r>
    </w:p>
    <w:p w14:paraId="379A3D10">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15.乙方不得将合作过程中获取的甲方的任何直接或间接资料存储在甲乙双方之外的云或者第三方服务器上；如需使用第三方提供的数据存储服务，将主动向甲方报备并取得甲方的书面同意。</w:t>
      </w:r>
    </w:p>
    <w:p w14:paraId="6EC7E1AE">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16.乙方作为甲方的合作方，乙方员工为执行合同使其有条件在进入甲方办公区域，且甲方办公区域是为甲方商业信息汇集地，为甲方不对公众公开区域。基于上述因素，乙方承诺：(1)其目前不存在受与甲方有竞争关系的主体及其旗下公司直接或者间接持股或控股；其目前不存在受与甲方有竞争关系的主体等通过合同关系等非股权方式所控制的情况。(2)如果乙方已经或者将来会出现第(1)项所述情况的，乙方应在此种情况发生之60日前通知甲方，届时甲方有权选择解除合同或者选择继续履行合同。</w:t>
      </w:r>
    </w:p>
    <w:p w14:paraId="57E72004">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17.如遇自然灾害或“三防”等应急工作，乙方所有物业管理服务人员(含安保队员)必须无条件服从甲方调配，如防台风、防汛、疫情防控等工作。</w:t>
      </w:r>
    </w:p>
    <w:p w14:paraId="38AB75FA">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18.乙方承诺：</w:t>
      </w:r>
    </w:p>
    <w:p w14:paraId="7FB3679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（1）服务期满后主动无条件离岗；</w:t>
      </w:r>
    </w:p>
    <w:p w14:paraId="34E09E80">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（2）与后续服务公司进行交接；</w:t>
      </w:r>
    </w:p>
    <w:p w14:paraId="09FCAF0F">
      <w:pPr>
        <w:widowControl w:val="0"/>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（3）服务期满，后续服务公司未到位前仍按原合同服务承诺提供服务。</w:t>
      </w:r>
    </w:p>
    <w:p w14:paraId="17FEEB1E">
      <w:pPr>
        <w:pStyle w:val="2"/>
        <w:spacing w:line="360" w:lineRule="auto"/>
        <w:ind w:firstLine="482" w:firstLineChars="200"/>
        <w:rPr>
          <w:rFonts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第十七条 乙方人员配置及要求</w:t>
      </w:r>
    </w:p>
    <w:p w14:paraId="7502640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1.人员配置</w:t>
      </w:r>
    </w:p>
    <w:p w14:paraId="26B265F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 乙方的项目总负责人：</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，联系电话：</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w:t>
      </w:r>
    </w:p>
    <w:p w14:paraId="398211E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 乙方必须采取措施，确保乙方人员稳定，特别是骨干人员（主要管理层人员）。相关人员变动须经甲方书面同意，其他人员变动须甲方备案。本项目配置人员必须为本项目全职驻场人员，不得再有其他项目兼职。1.3 乙方项目总负责人及部门负责人须及时与甲方沟通，第一时间报告重大、紧急事件；定期向甲方汇报工作情况，并提供相关报告。</w:t>
      </w:r>
    </w:p>
    <w:p w14:paraId="65B0433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 项目内容中包含保安服务时，保安人员的变动须遵循当地公安部门的有关规定。</w:t>
      </w:r>
    </w:p>
    <w:p w14:paraId="3289AAAB">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2.人员要求</w:t>
      </w:r>
    </w:p>
    <w:p w14:paraId="38416C7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2.1从事本合同约定的乙方服务工作人员，应年满18周岁，具备国家法律法规相应的职业资格、身体健康、人品正派、普通话流利，且必须无犯罪记录、未受过重大处分、不存在已知的精神病史。在本合同履行期内，乙方保证所有资格证件持续有效。如政府部门检查时，乙方提供人员应进行配合。若甲方发现乙方提供人员不符合上述要求时，乙方应及更换符合要求的人员；若乙方未及时更换的，甲方有权立即解除本合同，乙方应承担违约责任。</w:t>
      </w:r>
    </w:p>
    <w:p w14:paraId="4DA261E1">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2.2在服务时间内，乙方服务人员须穿工作制服和标准配备上岗，对乙方服务人员的懈怠、失职、过激行为等过错行为，乙方应严肃处理，如因此造成甲方或其他方损失的，乙方须承担赔偿责任。</w:t>
      </w:r>
    </w:p>
    <w:p w14:paraId="07E01B0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2.3乙方服务人员在具体提供本合同项下服务时不符合本合同要求或违反本合同约定或不能胜任履行有关服务岗位职责的，甲方有权要求乙方更换该服务人员。乙方应当于甲方提出该更换服务人员要求后根据岗位需求在5个工作日内更换合格人员替代不合格人员，并保持服务工作的连续性。</w:t>
      </w:r>
    </w:p>
    <w:p w14:paraId="7DE585AF">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2.4乙方应负责其项目服务员工的劳动关系、劳动合同签署事宜，有关乙方员工的劳动争议、纠纷、诉讼或仲裁及赔偿由乙方依法承担负责，与甲方无关；乙方自行负责其服务人员的工资、待遇和奖金，自行负责其服务人员的住宿和伙食。</w:t>
      </w:r>
    </w:p>
    <w:p w14:paraId="5F8F4015">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2.5乙方承诺不因其员工劳动纠纷而影响本合同项下正常的服务质量。</w:t>
      </w:r>
    </w:p>
    <w:p w14:paraId="13B524F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2.6乙方承诺按期、足额向本合同服务相关工作人员发放工资。</w:t>
      </w:r>
    </w:p>
    <w:p w14:paraId="1E97825D">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2.7乙方应对所涉及到的服务自行承担责任，如因此而产生的任何纠纷、责任或赔偿等，均应由乙方自行负责，与甲方无关。</w:t>
      </w:r>
    </w:p>
    <w:p w14:paraId="354FBD39">
      <w:pPr>
        <w:widowControl w:val="0"/>
        <w:tabs>
          <w:tab w:val="left" w:pos="1440"/>
        </w:tabs>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2.8为提高物业管理水平，所有物业人员还需进行相关的培训，以匹配合同约定的相关服务要求，相关的培训资料应向甲方报备。在考核过程中发现的个别服务不到位状况，甲方可要求乙方进行强化培训，在1周内达到甲方的合理要求。相关培训产生费用的，培训费将在培训实施前由甲乙双方协商确定。</w:t>
      </w:r>
    </w:p>
    <w:p w14:paraId="5659D02E">
      <w:pPr>
        <w:pStyle w:val="3"/>
        <w:overflowPunct w:val="0"/>
        <w:autoSpaceDE w:val="0"/>
        <w:autoSpaceDN w:val="0"/>
        <w:spacing w:before="240" w:after="240"/>
        <w:ind w:firstLine="482" w:firstLineChars="200"/>
        <w:jc w:val="both"/>
        <w:rPr>
          <w:rFonts w:ascii="方正仿宋_GB2312" w:hAnsi="方正仿宋_GB2312" w:eastAsia="方正仿宋_GB2312" w:cs="方正仿宋_GB2312"/>
        </w:rPr>
      </w:pPr>
      <w:r>
        <w:rPr>
          <w:rFonts w:hint="eastAsia" w:ascii="方正仿宋_GB2312" w:hAnsi="方正仿宋_GB2312" w:eastAsia="方正仿宋_GB2312" w:cs="方正仿宋_GB2312"/>
        </w:rPr>
        <w:t>第十八条 违约责任</w:t>
      </w:r>
    </w:p>
    <w:p w14:paraId="272C7793">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1.乙方违反合同约定，未能达到约定的管理目标，甲方有权要求乙方限期整改，逾期未改的，甲方有权解除合同；造成甲方经济损失的，乙方应给予甲方经济赔偿，同时全部履约保证金不予退还。</w:t>
      </w:r>
    </w:p>
    <w:p w14:paraId="4833EFF1">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2.乙方未按照甲方的要求提供服务或有其他违约行为的，甲方有权单方解除本合同，不予支付费用，乙方应当向甲方支付合同总价20%违约金或由甲方没收求全部履约保证金，并赔偿甲方的损失。</w:t>
      </w:r>
    </w:p>
    <w:p w14:paraId="73175665">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乙方必须严格按照项目服务要求，按时派驻足够数量并符合“人员条件要求”的工作人员到岗。如乙方不能按要求在服务生效之日派驻足够数量并符合“人员条件要求”的工作人员到岗，甲方严格按《深圳市政府采购供应商诚信管理暂行办法》第六条，书面报请财政部门记入供应商诚信档案。</w:t>
      </w:r>
    </w:p>
    <w:p w14:paraId="39916C46">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4.如果发现乙方人员有任何侵占甲方财产、损害甲方利益的行为时，或者乙方失去物业管理资质或具有其他无法继续履行协议的情形时，甲方有权解除合同并要求乙方赔偿因此造成的全部损失。</w:t>
      </w:r>
    </w:p>
    <w:p w14:paraId="63D81D66">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5.如乙方未履行本合同项下义务或履行本合同项下义务不符合本合同约定</w:t>
      </w:r>
    </w:p>
    <w:p w14:paraId="4BDE8FA1">
      <w:pPr>
        <w:pStyle w:val="2"/>
        <w:spacing w:line="360" w:lineRule="auto"/>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或甲方要求，应当承担继续履行、采取补救措施或者赔偿损失等违约责任，或者甲方有权解除本合同，如甲方解除合同，乙方应立即返还已收但未发生的费用和资料，向甲方支付相当于合同总价20%的违约金或由甲方没收求全部履约保证金，且甲方无需向乙方支付任何费用和承担任何责任。</w:t>
      </w:r>
    </w:p>
    <w:p w14:paraId="292B5FD9">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乙方履行合同义务过程中不符合约定或甲方要求的，甲方有权对提出整改意见，且有权暂停支付管理服务费用，直到乙方按甲方要求或合同约定整改完成，整改期间乙方应继续履行合同义务;乙方拒绝整改或整改不符合要求的，甲方有权拒绝支付当月管理服务费用。</w:t>
      </w:r>
    </w:p>
    <w:p w14:paraId="52FFC93C">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乙方承诺其自身具备履行本合同项下全部义务的主体资格和相应资质并应当自行完成本合同项下规定的义务，不得擅自转托他人。否则视为乙方根本违约，甲方有权单方面解除本合同，乙方应向甲方支付合同总价【20】%的违约金。</w:t>
      </w:r>
    </w:p>
    <w:p w14:paraId="11C4FF70">
      <w:pPr>
        <w:pStyle w:val="3"/>
        <w:overflowPunct w:val="0"/>
        <w:autoSpaceDE w:val="0"/>
        <w:autoSpaceDN w:val="0"/>
        <w:spacing w:before="240" w:after="240"/>
        <w:ind w:firstLine="482" w:firstLineChars="200"/>
        <w:jc w:val="both"/>
        <w:rPr>
          <w:rFonts w:ascii="方正仿宋_GB2312" w:hAnsi="方正仿宋_GB2312" w:eastAsia="方正仿宋_GB2312" w:cs="方正仿宋_GB2312"/>
        </w:rPr>
      </w:pPr>
      <w:r>
        <w:rPr>
          <w:rFonts w:hint="eastAsia" w:ascii="方正仿宋_GB2312" w:hAnsi="方正仿宋_GB2312" w:eastAsia="方正仿宋_GB2312" w:cs="方正仿宋_GB2312"/>
        </w:rPr>
        <w:t>第十九条 突发事件处理</w:t>
      </w:r>
    </w:p>
    <w:p w14:paraId="3C7857FF">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为维护公共利益，在不可预见情况下，如发生煤气泄露、漏电、火灾、暖气管、水管破裂、救助人命、协助公安机关执行任务等突发事件，乙方因采取紧急避险措施造成损失的，当事人应按国家有关法律、法规之相关规定处理。</w:t>
      </w:r>
    </w:p>
    <w:p w14:paraId="0AC2A70F">
      <w:pPr>
        <w:pStyle w:val="3"/>
        <w:overflowPunct w:val="0"/>
        <w:autoSpaceDE w:val="0"/>
        <w:autoSpaceDN w:val="0"/>
        <w:spacing w:before="240" w:after="240"/>
        <w:ind w:firstLine="482" w:firstLineChars="200"/>
        <w:jc w:val="both"/>
        <w:rPr>
          <w:rFonts w:ascii="方正仿宋_GB2312" w:hAnsi="方正仿宋_GB2312" w:eastAsia="方正仿宋_GB2312" w:cs="方正仿宋_GB2312"/>
        </w:rPr>
      </w:pPr>
      <w:r>
        <w:rPr>
          <w:rFonts w:hint="eastAsia" w:ascii="方正仿宋_GB2312" w:hAnsi="方正仿宋_GB2312" w:eastAsia="方正仿宋_GB2312" w:cs="方正仿宋_GB2312"/>
        </w:rPr>
        <w:t>第二十条 合同生效和终止</w:t>
      </w:r>
    </w:p>
    <w:p w14:paraId="7EBF93D2">
      <w:pPr>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1.本合同经甲乙双方法定代表人或其授权代表签字盖章后生效。</w:t>
      </w:r>
    </w:p>
    <w:p w14:paraId="07246D87">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 因乙方在服务期内多次（三次或以上）物业服务综合考核未达标，甲方可以单方面解除合同，并追究相关违约责任，甲方有权要求乙方按合同总价的20%支付违约金。</w:t>
      </w:r>
    </w:p>
    <w:p w14:paraId="2D54029F">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3.如甲方发现乙方出现转包、转让合同义务等情况，甲方可以单方面解除合同，并有权要求乙方按合同总价的20%支付违约金。</w:t>
      </w:r>
    </w:p>
    <w:p w14:paraId="4F038957">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4.如果乙方在服务期内无理由解除合同，将追究乙方违约责任，甲方有权要求乙方按合同总价的20%支付违约金并上报财政监管部门列入黑名单处理。</w:t>
      </w:r>
    </w:p>
    <w:p w14:paraId="7F53B933">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如果乙方在服务期内由于乙方原因造成重大责任事故或安全事故，甲方可以单方面解除合同，甲方有权要求乙方按合同总价的20%支付违约金且乙方须赔偿给甲方造成的经济损失，并将相关情况上报监管部门处理。</w:t>
      </w:r>
    </w:p>
    <w:p w14:paraId="2550E63D">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6.提前解除合同服务期早于月底最后一天，应视为月底最后一天期满，此条适用于上述 2、3、4、5四条。</w:t>
      </w:r>
    </w:p>
    <w:p w14:paraId="59DAAE6F">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7.乙方未能履行合同和遵守有关规定，在甲方或财政监管部门发出书面警告后一周内乙方仍无采取补救措施，甲方可立即解除合同，并按上述第2条处理。</w:t>
      </w:r>
    </w:p>
    <w:p w14:paraId="5BD0460F">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8.乙方出现破产清处、重组及兼并等情况，或被债权人接管经营时，甲方可以立即通知乙方解除合同。</w:t>
      </w:r>
    </w:p>
    <w:p w14:paraId="1572C68B">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9.协议终止</w:t>
      </w:r>
    </w:p>
    <w:p w14:paraId="52FE7B43">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经双方协商同意，可在任何时候终止协议，但相关协商记录及情况必须上报财政监管部门备案。</w:t>
      </w:r>
    </w:p>
    <w:p w14:paraId="22B808E7">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10.终止或解除合同，不影响根据合同规定进行的赔偿、补偿，也不影响履约保证金的效力。</w:t>
      </w:r>
    </w:p>
    <w:p w14:paraId="0C3E9595">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11.上述第8 条的终止，乙方的全部履约保证金可作为违约金支付给甲方。</w:t>
      </w:r>
    </w:p>
    <w:p w14:paraId="541D7E51">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12.合同终止时，双方应进行结算，甲方同时进行乙方服务区域设施、设备状况检查并要求乙方三天内将乙方物品撤离服务区域，否则甲方将代理处理，乙方支付甲方相关代理费，费用标准双方提前协商约定。</w:t>
      </w:r>
    </w:p>
    <w:p w14:paraId="467EEA95">
      <w:pPr>
        <w:pStyle w:val="2"/>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13.甲方接受乙方的服务，但不放弃对乙方违约行为进行追究的权利；同时，若甲方对乙方某一违约行为放弃进行追究的权利，但不放弃对乙方其他违约行为进行追究的权利。</w:t>
      </w:r>
    </w:p>
    <w:p w14:paraId="427B166C">
      <w:pPr>
        <w:pStyle w:val="3"/>
        <w:overflowPunct w:val="0"/>
        <w:autoSpaceDE w:val="0"/>
        <w:autoSpaceDN w:val="0"/>
        <w:spacing w:before="240" w:after="240"/>
        <w:ind w:firstLine="482" w:firstLineChars="200"/>
        <w:jc w:val="both"/>
        <w:rPr>
          <w:rFonts w:ascii="方正仿宋_GB2312" w:hAnsi="方正仿宋_GB2312" w:eastAsia="方正仿宋_GB2312" w:cs="方正仿宋_GB2312"/>
        </w:rPr>
      </w:pPr>
      <w:r>
        <w:rPr>
          <w:rFonts w:hint="eastAsia" w:ascii="方正仿宋_GB2312" w:hAnsi="方正仿宋_GB2312" w:eastAsia="方正仿宋_GB2312" w:cs="方正仿宋_GB2312"/>
        </w:rPr>
        <w:t xml:space="preserve">第二十一条 附则 </w:t>
      </w:r>
    </w:p>
    <w:p w14:paraId="2D299F23">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1.本合同终止时，乙方应向甲方移交全部物业管理用房，物业档案资料和属甲方所有其他资产，并办理交接手续；并在新的物业管理企业接管本物业项目之前，除甲方要求乙方提前撤离外，乙方应当应甲方的要求为甲方提供3个月的过渡期物业管理服务，过渡期物业管理标准和物业管理服务费标准不变，由乙方收取；3个月过渡期满后，必须按规定进行交接、撤离。</w:t>
      </w:r>
    </w:p>
    <w:p w14:paraId="7CD6A607">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2.双方可对本合同的条款进行补充，以书面的形式签订补充协议，补充协议与本合同具有同等效力。未规定的事宜，均遵照中华人民共和国的有关法律、法规和规章制度执行。</w:t>
      </w:r>
    </w:p>
    <w:p w14:paraId="65141FAB">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3.本合同自甲乙双方授权代表签字并加盖双方公章后生效。</w:t>
      </w:r>
      <w:r>
        <w:rPr>
          <w:rFonts w:hint="eastAsia" w:ascii="方正仿宋_GB2312" w:hAnsi="方正仿宋_GB2312" w:eastAsia="方正仿宋_GB2312" w:cs="方正仿宋_GB2312"/>
          <w:sz w:val="24"/>
          <w:szCs w:val="24"/>
        </w:rPr>
        <w:t>本合同一式陆份，甲方持肆份，乙方持贰份，</w:t>
      </w:r>
      <w:r>
        <w:rPr>
          <w:rFonts w:hint="eastAsia" w:ascii="方正仿宋_GB2312" w:hAnsi="方正仿宋_GB2312" w:eastAsia="方正仿宋_GB2312" w:cs="方正仿宋_GB2312"/>
          <w:snapToGrid/>
          <w:color w:val="auto"/>
          <w:kern w:val="2"/>
          <w:sz w:val="24"/>
          <w:szCs w:val="24"/>
        </w:rPr>
        <w:t>具有同等法律效力。</w:t>
      </w:r>
    </w:p>
    <w:p w14:paraId="477A6C87">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4.本合同在履行中如发生争议，双方应协商解决或申请物业管理行政主管部门进行调解，协商或调解不成的，双方同意向深圳国际仲裁院申请仲裁。</w:t>
      </w:r>
    </w:p>
    <w:p w14:paraId="1C6306F2">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5.本合同未尽事宜，以招标文件约定为准。其他事项，由双方协商解决。</w:t>
      </w:r>
    </w:p>
    <w:p w14:paraId="4E0EA099">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6.招标编号为</w:t>
      </w:r>
      <w:r>
        <w:rPr>
          <w:rFonts w:hint="eastAsia" w:ascii="方正仿宋_GB2312" w:hAnsi="方正仿宋_GB2312" w:eastAsia="方正仿宋_GB2312" w:cs="方正仿宋_GB2312"/>
          <w:snapToGrid/>
          <w:color w:val="auto"/>
          <w:kern w:val="2"/>
          <w:sz w:val="24"/>
          <w:szCs w:val="24"/>
          <w:u w:val="single"/>
        </w:rPr>
        <w:t>XXX</w:t>
      </w:r>
      <w:r>
        <w:rPr>
          <w:rFonts w:hint="eastAsia" w:ascii="方正仿宋_GB2312" w:hAnsi="方正仿宋_GB2312" w:eastAsia="方正仿宋_GB2312" w:cs="方正仿宋_GB2312"/>
          <w:snapToGrid/>
          <w:color w:val="auto"/>
          <w:kern w:val="2"/>
          <w:sz w:val="24"/>
          <w:szCs w:val="24"/>
        </w:rPr>
        <w:t>的招标文件、投标文件均为本合同不可分割的组成部分，如上述文件存在差异，则由甲方确定适用的先后顺序。</w:t>
      </w:r>
    </w:p>
    <w:p w14:paraId="60D1B7DF">
      <w:pPr>
        <w:pStyle w:val="2"/>
        <w:kinsoku/>
        <w:overflowPunct w:val="0"/>
        <w:spacing w:line="360" w:lineRule="auto"/>
        <w:ind w:firstLine="480" w:firstLineChars="200"/>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7.合同附件作为合同不可分割部分，与合同具同等法律效力。</w:t>
      </w:r>
    </w:p>
    <w:p w14:paraId="26E7535C">
      <w:pPr>
        <w:pStyle w:val="2"/>
        <w:kinsoku/>
        <w:overflowPunct w:val="0"/>
        <w:spacing w:line="360" w:lineRule="auto"/>
        <w:ind w:firstLine="480" w:firstLineChars="200"/>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附件一：物业服务分项标准</w:t>
      </w:r>
    </w:p>
    <w:p w14:paraId="7683A8C4">
      <w:pPr>
        <w:pStyle w:val="2"/>
        <w:kinsoku/>
        <w:overflowPunct w:val="0"/>
        <w:spacing w:line="360" w:lineRule="auto"/>
        <w:ind w:firstLine="480" w:firstLineChars="200"/>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附件二：项目主要管理人员名单</w:t>
      </w:r>
    </w:p>
    <w:p w14:paraId="7D866C64">
      <w:pPr>
        <w:pStyle w:val="2"/>
        <w:kinsoku/>
        <w:overflowPunct w:val="0"/>
        <w:spacing w:line="360" w:lineRule="auto"/>
        <w:ind w:firstLine="480" w:firstLineChars="200"/>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附件三：分项报价表</w:t>
      </w:r>
    </w:p>
    <w:p w14:paraId="64382642">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（以下无正文）</w:t>
      </w:r>
    </w:p>
    <w:p w14:paraId="63983616">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 xml:space="preserve">甲方(盖章)：                      乙方(盖章):   </w:t>
      </w:r>
    </w:p>
    <w:p w14:paraId="75707949">
      <w:pPr>
        <w:widowControl w:val="0"/>
        <w:kinsoku/>
        <w:overflowPunct w:val="0"/>
        <w:adjustRightInd/>
        <w:snapToGrid/>
        <w:spacing w:line="360" w:lineRule="auto"/>
        <w:ind w:firstLine="480" w:firstLineChars="200"/>
        <w:jc w:val="both"/>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 xml:space="preserve">委托代理人：                      委托代理人：                     </w:t>
      </w:r>
    </w:p>
    <w:p w14:paraId="61F48717">
      <w:pPr>
        <w:kinsoku/>
        <w:overflowPunct w:val="0"/>
        <w:spacing w:line="360" w:lineRule="auto"/>
        <w:ind w:firstLine="480" w:firstLineChars="200"/>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签订日期：                        签订日期：</w:t>
      </w:r>
    </w:p>
    <w:p w14:paraId="724A984B">
      <w:pPr>
        <w:kinsoku/>
        <w:overflowPunct w:val="0"/>
        <w:ind w:firstLine="480" w:firstLineChars="200"/>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br w:type="page"/>
      </w:r>
    </w:p>
    <w:p w14:paraId="6E4CFC9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附件一：物业服务分项标准</w:t>
      </w:r>
    </w:p>
    <w:p w14:paraId="4F0A6B92">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1.基础管理</w:t>
      </w:r>
    </w:p>
    <w:p w14:paraId="116AA748">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（1）设备管理制度健全（安全运行操作规程、岗位职责、值班、管理、交接班制度、设备保养与检修规程等）。</w:t>
      </w:r>
    </w:p>
    <w:p w14:paraId="7911570E">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（2）各种设备的资料、说明书、合格证、检验证等齐全。</w:t>
      </w:r>
    </w:p>
    <w:p w14:paraId="2AA4CA09">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（3）设备消防责任人、设备责任人挂牌上墙，熟悉设备基本情况、性能、操作规程。</w:t>
      </w:r>
    </w:p>
    <w:p w14:paraId="117D25D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（4）维修人员身体健康，无妨碍工作的疾病和缺陷。</w:t>
      </w:r>
    </w:p>
    <w:p w14:paraId="4D9EF740">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（5）相关的维修人员应取得有效的上岗证，熟悉园区的供水供电系统，熟悉消防设备的操作及消防、设备应急处理流程。</w:t>
      </w:r>
    </w:p>
    <w:p w14:paraId="483D5ECE">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（6）相关的维修保养记录齐全。</w:t>
      </w:r>
    </w:p>
    <w:p w14:paraId="727AB153">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（7）设备运行、保养、维修后产生的固体废弃物、废油、废气的处理符合环保标准。</w:t>
      </w:r>
    </w:p>
    <w:p w14:paraId="1E9A8EC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（8）维修人员的维修操作程序符合职业健康安全要求、操作无安全隐患，空调机房、发电机房内的作业场所噪音控制在规定值内，否则，应给操作人员配备安全防噪设施。</w:t>
      </w:r>
    </w:p>
    <w:p w14:paraId="546D1AFB">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2.房屋本体管理与维修养护</w:t>
      </w:r>
    </w:p>
    <w:p w14:paraId="2D08E007">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要求：公共设施配套完好，无随意改变用途；设施设备运行，使用及维护按规定要求有记录，无事故隐患；排水、排污管道通畅，无堵塞外溢现象；道路通畅，路面平整，井盖无缺损，无丢失。供水设备、阀门、管道工作正常，无跑、冒、滴、漏现象。供电设备运行正常，路灯、楼道灯等公共照明设备完好。</w:t>
      </w:r>
    </w:p>
    <w:p w14:paraId="13500FB4">
      <w:pPr>
        <w:kinsoku/>
        <w:overflowPunct w:val="0"/>
        <w:spacing w:line="360" w:lineRule="auto"/>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（2）服务区域内的所有项目（含设备）的维修维护，单项单价 1000 元（含）以下，由乙方承担和实施；1000 元以上的维修费用由甲方承担。若乙方具备实施维修项目条件的，应采取甲方采购维修材料，乙方组织实施的方式进行。乙方实施的维修工作的人工费及加班费由乙方承担。</w:t>
      </w:r>
    </w:p>
    <w:p w14:paraId="6616EEF7">
      <w:pPr>
        <w:kinsoku/>
        <w:overflowPunct w:val="0"/>
        <w:spacing w:line="360" w:lineRule="auto"/>
        <w:ind w:firstLine="480" w:firstLineChars="200"/>
        <w:rPr>
          <w:rFonts w:ascii="方正仿宋_GB2312" w:hAnsi="方正仿宋_GB2312" w:eastAsia="方正仿宋_GB2312" w:cs="方正仿宋_GB2312"/>
          <w:b/>
          <w:sz w:val="24"/>
          <w:szCs w:val="24"/>
        </w:rPr>
      </w:pPr>
      <w:r>
        <w:rPr>
          <w:rFonts w:hint="eastAsia" w:ascii="方正仿宋_GB2312" w:hAnsi="方正仿宋_GB2312" w:eastAsia="方正仿宋_GB2312" w:cs="方正仿宋_GB2312"/>
          <w:sz w:val="24"/>
          <w:szCs w:val="24"/>
        </w:rPr>
        <w:t>（3）房屋本体维修与养护标准如下:</w:t>
      </w:r>
    </w:p>
    <w:tbl>
      <w:tblPr>
        <w:tblStyle w:val="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876"/>
        <w:gridCol w:w="479"/>
        <w:gridCol w:w="672"/>
        <w:gridCol w:w="2484"/>
        <w:gridCol w:w="1691"/>
        <w:gridCol w:w="1629"/>
      </w:tblGrid>
      <w:tr w14:paraId="44870B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tcBorders>
              <w:top w:val="single" w:color="auto" w:sz="12" w:space="0"/>
              <w:left w:val="single" w:color="auto" w:sz="12" w:space="0"/>
              <w:bottom w:val="single" w:color="auto" w:sz="4" w:space="0"/>
              <w:right w:val="single" w:color="auto" w:sz="4" w:space="0"/>
            </w:tcBorders>
            <w:shd w:val="clear" w:color="auto" w:fill="E6E6E6"/>
            <w:vAlign w:val="center"/>
          </w:tcPr>
          <w:p w14:paraId="67E7B74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序号</w:t>
            </w:r>
          </w:p>
        </w:tc>
        <w:tc>
          <w:tcPr>
            <w:tcW w:w="750" w:type="pct"/>
            <w:gridSpan w:val="2"/>
            <w:tcBorders>
              <w:top w:val="single" w:color="auto" w:sz="12" w:space="0"/>
              <w:left w:val="single" w:color="auto" w:sz="4" w:space="0"/>
              <w:bottom w:val="single" w:color="auto" w:sz="4" w:space="0"/>
              <w:right w:val="single" w:color="auto" w:sz="4" w:space="0"/>
            </w:tcBorders>
            <w:shd w:val="clear" w:color="auto" w:fill="E6E6E6"/>
            <w:vAlign w:val="center"/>
          </w:tcPr>
          <w:p w14:paraId="4FB84DB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 目</w:t>
            </w:r>
          </w:p>
        </w:tc>
        <w:tc>
          <w:tcPr>
            <w:tcW w:w="403" w:type="pct"/>
            <w:tcBorders>
              <w:top w:val="single" w:color="auto" w:sz="12" w:space="0"/>
              <w:left w:val="single" w:color="auto" w:sz="4" w:space="0"/>
              <w:bottom w:val="single" w:color="auto" w:sz="4" w:space="0"/>
              <w:right w:val="single" w:color="auto" w:sz="4" w:space="0"/>
            </w:tcBorders>
            <w:shd w:val="clear" w:color="auto" w:fill="E6E6E6"/>
            <w:vAlign w:val="center"/>
          </w:tcPr>
          <w:p w14:paraId="7C4F3C8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周期</w:t>
            </w:r>
          </w:p>
        </w:tc>
        <w:tc>
          <w:tcPr>
            <w:tcW w:w="1465" w:type="pct"/>
            <w:tcBorders>
              <w:top w:val="single" w:color="auto" w:sz="12" w:space="0"/>
              <w:left w:val="single" w:color="auto" w:sz="4" w:space="0"/>
              <w:bottom w:val="single" w:color="auto" w:sz="4" w:space="0"/>
              <w:right w:val="single" w:color="auto" w:sz="4" w:space="0"/>
            </w:tcBorders>
            <w:shd w:val="clear" w:color="auto" w:fill="E6E6E6"/>
            <w:vAlign w:val="center"/>
          </w:tcPr>
          <w:p w14:paraId="56EB6E8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维修养护、检查内容</w:t>
            </w:r>
          </w:p>
        </w:tc>
        <w:tc>
          <w:tcPr>
            <w:tcW w:w="1000" w:type="pct"/>
            <w:tcBorders>
              <w:top w:val="single" w:color="auto" w:sz="12" w:space="0"/>
              <w:left w:val="single" w:color="auto" w:sz="4" w:space="0"/>
              <w:bottom w:val="single" w:color="auto" w:sz="4" w:space="0"/>
              <w:right w:val="single" w:color="auto" w:sz="4" w:space="0"/>
            </w:tcBorders>
            <w:shd w:val="clear" w:color="auto" w:fill="E6E6E6"/>
            <w:vAlign w:val="center"/>
          </w:tcPr>
          <w:p w14:paraId="7F10B3F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  容</w:t>
            </w:r>
          </w:p>
        </w:tc>
        <w:tc>
          <w:tcPr>
            <w:tcW w:w="964" w:type="pct"/>
            <w:tcBorders>
              <w:top w:val="single" w:color="auto" w:sz="12" w:space="0"/>
              <w:left w:val="single" w:color="auto" w:sz="4" w:space="0"/>
              <w:bottom w:val="single" w:color="auto" w:sz="4" w:space="0"/>
              <w:right w:val="single" w:color="auto" w:sz="12" w:space="0"/>
            </w:tcBorders>
            <w:shd w:val="clear" w:color="auto" w:fill="E6E6E6"/>
            <w:vAlign w:val="center"/>
          </w:tcPr>
          <w:p w14:paraId="49DD496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标准及实施效果</w:t>
            </w:r>
          </w:p>
        </w:tc>
      </w:tr>
      <w:tr w14:paraId="64BF38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tcBorders>
              <w:top w:val="single" w:color="auto" w:sz="4" w:space="0"/>
              <w:left w:val="single" w:color="auto" w:sz="12" w:space="0"/>
              <w:bottom w:val="single" w:color="auto" w:sz="4" w:space="0"/>
              <w:right w:val="single" w:color="auto" w:sz="4" w:space="0"/>
            </w:tcBorders>
            <w:vAlign w:val="center"/>
          </w:tcPr>
          <w:p w14:paraId="0D3AC0C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750" w:type="pct"/>
            <w:gridSpan w:val="2"/>
            <w:tcBorders>
              <w:top w:val="single" w:color="auto" w:sz="4" w:space="0"/>
              <w:left w:val="single" w:color="auto" w:sz="4" w:space="0"/>
              <w:bottom w:val="single" w:color="auto" w:sz="4" w:space="0"/>
              <w:right w:val="single" w:color="auto" w:sz="4" w:space="0"/>
            </w:tcBorders>
            <w:vAlign w:val="center"/>
          </w:tcPr>
          <w:p w14:paraId="65BBB77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地基基础</w:t>
            </w:r>
          </w:p>
        </w:tc>
        <w:tc>
          <w:tcPr>
            <w:tcW w:w="403" w:type="pct"/>
            <w:tcBorders>
              <w:top w:val="single" w:color="auto" w:sz="4" w:space="0"/>
              <w:left w:val="single" w:color="auto" w:sz="4" w:space="0"/>
              <w:bottom w:val="single" w:color="auto" w:sz="4" w:space="0"/>
              <w:right w:val="single" w:color="auto" w:sz="4" w:space="0"/>
            </w:tcBorders>
            <w:vAlign w:val="center"/>
          </w:tcPr>
          <w:p w14:paraId="5F944C9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tc>
        <w:tc>
          <w:tcPr>
            <w:tcW w:w="1465" w:type="pct"/>
            <w:tcBorders>
              <w:top w:val="single" w:color="auto" w:sz="4" w:space="0"/>
              <w:left w:val="single" w:color="auto" w:sz="4" w:space="0"/>
              <w:bottom w:val="single" w:color="auto" w:sz="4" w:space="0"/>
              <w:right w:val="single" w:color="auto" w:sz="4" w:space="0"/>
            </w:tcBorders>
            <w:vAlign w:val="center"/>
          </w:tcPr>
          <w:p w14:paraId="5FC0B5A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1．检查地基有无超过允许范围的不均匀沉降。</w:t>
            </w:r>
          </w:p>
          <w:p w14:paraId="2E34122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2．检查基础有无开裂、破损，勒脚有无破损。</w:t>
            </w:r>
          </w:p>
        </w:tc>
        <w:tc>
          <w:tcPr>
            <w:tcW w:w="1000" w:type="pct"/>
            <w:tcBorders>
              <w:top w:val="single" w:color="auto" w:sz="4" w:space="0"/>
              <w:left w:val="single" w:color="auto" w:sz="4" w:space="0"/>
              <w:bottom w:val="single" w:color="auto" w:sz="4" w:space="0"/>
              <w:right w:val="single" w:color="auto" w:sz="4" w:space="0"/>
            </w:tcBorders>
            <w:vAlign w:val="center"/>
          </w:tcPr>
          <w:p w14:paraId="33ED1C9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请专业单位对地基基础进行专门检测。</w:t>
            </w:r>
          </w:p>
        </w:tc>
        <w:tc>
          <w:tcPr>
            <w:tcW w:w="964" w:type="pct"/>
            <w:tcBorders>
              <w:top w:val="single" w:color="auto" w:sz="4" w:space="0"/>
              <w:left w:val="single" w:color="auto" w:sz="4" w:space="0"/>
              <w:bottom w:val="single" w:color="auto" w:sz="4" w:space="0"/>
              <w:right w:val="single" w:color="auto" w:sz="12" w:space="0"/>
            </w:tcBorders>
            <w:vAlign w:val="center"/>
          </w:tcPr>
          <w:p w14:paraId="397547C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及时发现问题，予以尽早解决。</w:t>
            </w:r>
          </w:p>
        </w:tc>
      </w:tr>
      <w:tr w14:paraId="70DA0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restart"/>
            <w:tcBorders>
              <w:top w:val="single" w:color="auto" w:sz="4" w:space="0"/>
              <w:left w:val="single" w:color="auto" w:sz="12" w:space="0"/>
              <w:bottom w:val="single" w:color="auto" w:sz="4" w:space="0"/>
              <w:right w:val="single" w:color="auto" w:sz="4" w:space="0"/>
            </w:tcBorders>
            <w:vAlign w:val="center"/>
          </w:tcPr>
          <w:p w14:paraId="3079A26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p>
        </w:tc>
        <w:tc>
          <w:tcPr>
            <w:tcW w:w="460" w:type="pct"/>
            <w:vMerge w:val="restart"/>
            <w:tcBorders>
              <w:top w:val="single" w:color="auto" w:sz="4" w:space="0"/>
              <w:left w:val="single" w:color="auto" w:sz="4" w:space="0"/>
              <w:bottom w:val="single" w:color="auto" w:sz="4" w:space="0"/>
              <w:right w:val="single" w:color="auto" w:sz="4" w:space="0"/>
            </w:tcBorders>
            <w:vAlign w:val="center"/>
          </w:tcPr>
          <w:p w14:paraId="474942D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承</w:t>
            </w:r>
          </w:p>
          <w:p w14:paraId="77CBB0B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重</w:t>
            </w:r>
          </w:p>
          <w:p w14:paraId="616A8D0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结</w:t>
            </w:r>
          </w:p>
          <w:p w14:paraId="524A497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构</w:t>
            </w:r>
          </w:p>
        </w:tc>
        <w:tc>
          <w:tcPr>
            <w:tcW w:w="289" w:type="pct"/>
            <w:vMerge w:val="restart"/>
            <w:tcBorders>
              <w:top w:val="single" w:color="auto" w:sz="4" w:space="0"/>
              <w:left w:val="single" w:color="auto" w:sz="4" w:space="0"/>
              <w:bottom w:val="single" w:color="auto" w:sz="4" w:space="0"/>
              <w:right w:val="single" w:color="auto" w:sz="4" w:space="0"/>
            </w:tcBorders>
            <w:vAlign w:val="center"/>
          </w:tcPr>
          <w:p w14:paraId="2DE86D0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梁</w:t>
            </w:r>
          </w:p>
        </w:tc>
        <w:tc>
          <w:tcPr>
            <w:tcW w:w="403" w:type="pct"/>
            <w:tcBorders>
              <w:top w:val="single" w:color="auto" w:sz="4" w:space="0"/>
              <w:left w:val="single" w:color="auto" w:sz="4" w:space="0"/>
              <w:bottom w:val="single" w:color="auto" w:sz="4" w:space="0"/>
              <w:right w:val="single" w:color="auto" w:sz="4" w:space="0"/>
            </w:tcBorders>
            <w:vAlign w:val="center"/>
          </w:tcPr>
          <w:p w14:paraId="3CEF177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3721588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检查有无变形、裂缝、腐蚀</w:t>
            </w:r>
          </w:p>
        </w:tc>
        <w:tc>
          <w:tcPr>
            <w:tcW w:w="1000" w:type="pct"/>
            <w:vMerge w:val="restart"/>
            <w:tcBorders>
              <w:top w:val="single" w:color="auto" w:sz="4" w:space="0"/>
              <w:left w:val="single" w:color="auto" w:sz="4" w:space="0"/>
              <w:bottom w:val="single" w:color="auto" w:sz="4" w:space="0"/>
              <w:right w:val="single" w:color="auto" w:sz="4" w:space="0"/>
            </w:tcBorders>
            <w:vAlign w:val="center"/>
          </w:tcPr>
          <w:p w14:paraId="0E1136B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结构局部受损较轻，按房屋修缮规定实施维修。</w:t>
            </w:r>
          </w:p>
          <w:p w14:paraId="7DCCC19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结构局部受损较重，由中标人提出方案，报采购人批准后，由专业队伍实施。</w:t>
            </w:r>
          </w:p>
          <w:p w14:paraId="7191ADD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因施工质量造成的结构问题，请施工单位处理。</w:t>
            </w:r>
          </w:p>
          <w:p w14:paraId="60966A1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以下维修均按上述原则执行。</w:t>
            </w:r>
          </w:p>
        </w:tc>
        <w:tc>
          <w:tcPr>
            <w:tcW w:w="964" w:type="pct"/>
            <w:vMerge w:val="restart"/>
            <w:tcBorders>
              <w:top w:val="single" w:color="auto" w:sz="4" w:space="0"/>
              <w:left w:val="single" w:color="auto" w:sz="4" w:space="0"/>
              <w:bottom w:val="single" w:color="auto" w:sz="4" w:space="0"/>
              <w:right w:val="single" w:color="auto" w:sz="12" w:space="0"/>
            </w:tcBorders>
            <w:vAlign w:val="center"/>
          </w:tcPr>
          <w:p w14:paraId="400F0AA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安全牢固，正常使用，功能正常。</w:t>
            </w:r>
          </w:p>
        </w:tc>
      </w:tr>
      <w:tr w14:paraId="3096B7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7811DD19">
            <w:pPr>
              <w:kinsoku/>
              <w:overflowPunct w:val="0"/>
              <w:rPr>
                <w:rFonts w:ascii="方正仿宋_GB2312" w:hAnsi="方正仿宋_GB2312" w:eastAsia="方正仿宋_GB2312" w:cs="方正仿宋_GB2312"/>
                <w:sz w:val="24"/>
                <w:szCs w:val="24"/>
              </w:rPr>
            </w:pPr>
          </w:p>
        </w:tc>
        <w:tc>
          <w:tcPr>
            <w:tcW w:w="460" w:type="pct"/>
            <w:vMerge w:val="continue"/>
            <w:tcBorders>
              <w:top w:val="single" w:color="auto" w:sz="4" w:space="0"/>
              <w:left w:val="single" w:color="auto" w:sz="4" w:space="0"/>
              <w:bottom w:val="single" w:color="auto" w:sz="4" w:space="0"/>
              <w:right w:val="single" w:color="auto" w:sz="4" w:space="0"/>
            </w:tcBorders>
            <w:vAlign w:val="center"/>
          </w:tcPr>
          <w:p w14:paraId="3E6B1A40">
            <w:pPr>
              <w:kinsoku/>
              <w:overflowPunct w:val="0"/>
              <w:rPr>
                <w:rFonts w:ascii="方正仿宋_GB2312" w:hAnsi="方正仿宋_GB2312" w:eastAsia="方正仿宋_GB2312" w:cs="方正仿宋_GB2312"/>
                <w:sz w:val="24"/>
                <w:szCs w:val="24"/>
              </w:rPr>
            </w:pPr>
          </w:p>
        </w:tc>
        <w:tc>
          <w:tcPr>
            <w:tcW w:w="289" w:type="pct"/>
            <w:vMerge w:val="continue"/>
            <w:tcBorders>
              <w:top w:val="single" w:color="auto" w:sz="4" w:space="0"/>
              <w:left w:val="single" w:color="auto" w:sz="4" w:space="0"/>
              <w:bottom w:val="single" w:color="auto" w:sz="4" w:space="0"/>
              <w:right w:val="single" w:color="auto" w:sz="4" w:space="0"/>
            </w:tcBorders>
            <w:vAlign w:val="center"/>
          </w:tcPr>
          <w:p w14:paraId="42BE2820">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50AE2A5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1AEE73F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检查罄体结构性能是否完好</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51ED7F8D">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68FDA322">
            <w:pPr>
              <w:kinsoku/>
              <w:overflowPunct w:val="0"/>
              <w:rPr>
                <w:rFonts w:ascii="方正仿宋_GB2312" w:hAnsi="方正仿宋_GB2312" w:eastAsia="方正仿宋_GB2312" w:cs="方正仿宋_GB2312"/>
                <w:sz w:val="24"/>
                <w:szCs w:val="24"/>
              </w:rPr>
            </w:pPr>
          </w:p>
        </w:tc>
      </w:tr>
      <w:tr w14:paraId="3D82E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049FE90E">
            <w:pPr>
              <w:kinsoku/>
              <w:overflowPunct w:val="0"/>
              <w:rPr>
                <w:rFonts w:ascii="方正仿宋_GB2312" w:hAnsi="方正仿宋_GB2312" w:eastAsia="方正仿宋_GB2312" w:cs="方正仿宋_GB2312"/>
                <w:sz w:val="24"/>
                <w:szCs w:val="24"/>
              </w:rPr>
            </w:pPr>
          </w:p>
        </w:tc>
        <w:tc>
          <w:tcPr>
            <w:tcW w:w="460" w:type="pct"/>
            <w:vMerge w:val="continue"/>
            <w:tcBorders>
              <w:top w:val="single" w:color="auto" w:sz="4" w:space="0"/>
              <w:left w:val="single" w:color="auto" w:sz="4" w:space="0"/>
              <w:bottom w:val="single" w:color="auto" w:sz="4" w:space="0"/>
              <w:right w:val="single" w:color="auto" w:sz="4" w:space="0"/>
            </w:tcBorders>
            <w:vAlign w:val="center"/>
          </w:tcPr>
          <w:p w14:paraId="6452FE4A">
            <w:pPr>
              <w:kinsoku/>
              <w:overflowPunct w:val="0"/>
              <w:rPr>
                <w:rFonts w:ascii="方正仿宋_GB2312" w:hAnsi="方正仿宋_GB2312" w:eastAsia="方正仿宋_GB2312" w:cs="方正仿宋_GB2312"/>
                <w:sz w:val="24"/>
                <w:szCs w:val="24"/>
              </w:rPr>
            </w:pPr>
          </w:p>
        </w:tc>
        <w:tc>
          <w:tcPr>
            <w:tcW w:w="289" w:type="pct"/>
            <w:vMerge w:val="restart"/>
            <w:tcBorders>
              <w:top w:val="single" w:color="auto" w:sz="4" w:space="0"/>
              <w:left w:val="single" w:color="auto" w:sz="4" w:space="0"/>
              <w:bottom w:val="single" w:color="auto" w:sz="4" w:space="0"/>
              <w:right w:val="single" w:color="auto" w:sz="4" w:space="0"/>
            </w:tcBorders>
            <w:vAlign w:val="center"/>
          </w:tcPr>
          <w:p w14:paraId="575CFB2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板</w:t>
            </w:r>
          </w:p>
        </w:tc>
        <w:tc>
          <w:tcPr>
            <w:tcW w:w="403" w:type="pct"/>
            <w:tcBorders>
              <w:top w:val="single" w:color="auto" w:sz="4" w:space="0"/>
              <w:left w:val="single" w:color="auto" w:sz="4" w:space="0"/>
              <w:bottom w:val="single" w:color="auto" w:sz="4" w:space="0"/>
              <w:right w:val="single" w:color="auto" w:sz="4" w:space="0"/>
            </w:tcBorders>
            <w:vAlign w:val="center"/>
          </w:tcPr>
          <w:p w14:paraId="12E85C3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53CFC40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检查有无弯曲变形、裂缝、腐蚀</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5E5266DF">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0A256372">
            <w:pPr>
              <w:kinsoku/>
              <w:overflowPunct w:val="0"/>
              <w:rPr>
                <w:rFonts w:ascii="方正仿宋_GB2312" w:hAnsi="方正仿宋_GB2312" w:eastAsia="方正仿宋_GB2312" w:cs="方正仿宋_GB2312"/>
                <w:sz w:val="24"/>
                <w:szCs w:val="24"/>
              </w:rPr>
            </w:pPr>
          </w:p>
        </w:tc>
      </w:tr>
      <w:tr w14:paraId="3405C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366E201A">
            <w:pPr>
              <w:kinsoku/>
              <w:overflowPunct w:val="0"/>
              <w:rPr>
                <w:rFonts w:ascii="方正仿宋_GB2312" w:hAnsi="方正仿宋_GB2312" w:eastAsia="方正仿宋_GB2312" w:cs="方正仿宋_GB2312"/>
                <w:sz w:val="24"/>
                <w:szCs w:val="24"/>
              </w:rPr>
            </w:pPr>
          </w:p>
        </w:tc>
        <w:tc>
          <w:tcPr>
            <w:tcW w:w="460" w:type="pct"/>
            <w:vMerge w:val="continue"/>
            <w:tcBorders>
              <w:top w:val="single" w:color="auto" w:sz="4" w:space="0"/>
              <w:left w:val="single" w:color="auto" w:sz="4" w:space="0"/>
              <w:bottom w:val="single" w:color="auto" w:sz="4" w:space="0"/>
              <w:right w:val="single" w:color="auto" w:sz="4" w:space="0"/>
            </w:tcBorders>
            <w:vAlign w:val="center"/>
          </w:tcPr>
          <w:p w14:paraId="079F5CA0">
            <w:pPr>
              <w:kinsoku/>
              <w:overflowPunct w:val="0"/>
              <w:rPr>
                <w:rFonts w:ascii="方正仿宋_GB2312" w:hAnsi="方正仿宋_GB2312" w:eastAsia="方正仿宋_GB2312" w:cs="方正仿宋_GB2312"/>
                <w:sz w:val="24"/>
                <w:szCs w:val="24"/>
              </w:rPr>
            </w:pPr>
          </w:p>
        </w:tc>
        <w:tc>
          <w:tcPr>
            <w:tcW w:w="289" w:type="pct"/>
            <w:vMerge w:val="continue"/>
            <w:tcBorders>
              <w:top w:val="single" w:color="auto" w:sz="4" w:space="0"/>
              <w:left w:val="single" w:color="auto" w:sz="4" w:space="0"/>
              <w:bottom w:val="single" w:color="auto" w:sz="4" w:space="0"/>
              <w:right w:val="single" w:color="auto" w:sz="4" w:space="0"/>
            </w:tcBorders>
            <w:vAlign w:val="center"/>
          </w:tcPr>
          <w:p w14:paraId="0C148758">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0F929C5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13E2836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检查整体结构性能是否完好</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236A307C">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719D5F40">
            <w:pPr>
              <w:kinsoku/>
              <w:overflowPunct w:val="0"/>
              <w:rPr>
                <w:rFonts w:ascii="方正仿宋_GB2312" w:hAnsi="方正仿宋_GB2312" w:eastAsia="方正仿宋_GB2312" w:cs="方正仿宋_GB2312"/>
                <w:sz w:val="24"/>
                <w:szCs w:val="24"/>
              </w:rPr>
            </w:pPr>
          </w:p>
        </w:tc>
      </w:tr>
      <w:tr w14:paraId="62FACD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3DB9CE30">
            <w:pPr>
              <w:kinsoku/>
              <w:overflowPunct w:val="0"/>
              <w:rPr>
                <w:rFonts w:ascii="方正仿宋_GB2312" w:hAnsi="方正仿宋_GB2312" w:eastAsia="方正仿宋_GB2312" w:cs="方正仿宋_GB2312"/>
                <w:sz w:val="24"/>
                <w:szCs w:val="24"/>
              </w:rPr>
            </w:pPr>
          </w:p>
        </w:tc>
        <w:tc>
          <w:tcPr>
            <w:tcW w:w="460" w:type="pct"/>
            <w:vMerge w:val="continue"/>
            <w:tcBorders>
              <w:top w:val="single" w:color="auto" w:sz="4" w:space="0"/>
              <w:left w:val="single" w:color="auto" w:sz="4" w:space="0"/>
              <w:bottom w:val="single" w:color="auto" w:sz="4" w:space="0"/>
              <w:right w:val="single" w:color="auto" w:sz="4" w:space="0"/>
            </w:tcBorders>
            <w:vAlign w:val="center"/>
          </w:tcPr>
          <w:p w14:paraId="0D57EF19">
            <w:pPr>
              <w:kinsoku/>
              <w:overflowPunct w:val="0"/>
              <w:rPr>
                <w:rFonts w:ascii="方正仿宋_GB2312" w:hAnsi="方正仿宋_GB2312" w:eastAsia="方正仿宋_GB2312" w:cs="方正仿宋_GB2312"/>
                <w:sz w:val="24"/>
                <w:szCs w:val="24"/>
              </w:rPr>
            </w:pPr>
          </w:p>
        </w:tc>
        <w:tc>
          <w:tcPr>
            <w:tcW w:w="289" w:type="pct"/>
            <w:vMerge w:val="restart"/>
            <w:tcBorders>
              <w:top w:val="single" w:color="auto" w:sz="4" w:space="0"/>
              <w:left w:val="single" w:color="auto" w:sz="4" w:space="0"/>
              <w:bottom w:val="single" w:color="auto" w:sz="4" w:space="0"/>
              <w:right w:val="single" w:color="auto" w:sz="4" w:space="0"/>
            </w:tcBorders>
            <w:vAlign w:val="center"/>
          </w:tcPr>
          <w:p w14:paraId="4943F08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柱</w:t>
            </w:r>
          </w:p>
        </w:tc>
        <w:tc>
          <w:tcPr>
            <w:tcW w:w="403" w:type="pct"/>
            <w:tcBorders>
              <w:top w:val="single" w:color="auto" w:sz="4" w:space="0"/>
              <w:left w:val="single" w:color="auto" w:sz="4" w:space="0"/>
              <w:bottom w:val="single" w:color="auto" w:sz="4" w:space="0"/>
              <w:right w:val="single" w:color="auto" w:sz="4" w:space="0"/>
            </w:tcBorders>
            <w:vAlign w:val="center"/>
          </w:tcPr>
          <w:p w14:paraId="4FA8191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05D84B0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检查有无倾斜，变形、裂缝、腐蚀</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46D2E0D0">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2D0528B8">
            <w:pPr>
              <w:kinsoku/>
              <w:overflowPunct w:val="0"/>
              <w:rPr>
                <w:rFonts w:ascii="方正仿宋_GB2312" w:hAnsi="方正仿宋_GB2312" w:eastAsia="方正仿宋_GB2312" w:cs="方正仿宋_GB2312"/>
                <w:sz w:val="24"/>
                <w:szCs w:val="24"/>
              </w:rPr>
            </w:pPr>
          </w:p>
        </w:tc>
      </w:tr>
      <w:tr w14:paraId="60C855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25D3ABB6">
            <w:pPr>
              <w:kinsoku/>
              <w:overflowPunct w:val="0"/>
              <w:rPr>
                <w:rFonts w:ascii="方正仿宋_GB2312" w:hAnsi="方正仿宋_GB2312" w:eastAsia="方正仿宋_GB2312" w:cs="方正仿宋_GB2312"/>
                <w:sz w:val="24"/>
                <w:szCs w:val="24"/>
              </w:rPr>
            </w:pPr>
          </w:p>
        </w:tc>
        <w:tc>
          <w:tcPr>
            <w:tcW w:w="460" w:type="pct"/>
            <w:vMerge w:val="continue"/>
            <w:tcBorders>
              <w:top w:val="single" w:color="auto" w:sz="4" w:space="0"/>
              <w:left w:val="single" w:color="auto" w:sz="4" w:space="0"/>
              <w:bottom w:val="single" w:color="auto" w:sz="4" w:space="0"/>
              <w:right w:val="single" w:color="auto" w:sz="4" w:space="0"/>
            </w:tcBorders>
            <w:vAlign w:val="center"/>
          </w:tcPr>
          <w:p w14:paraId="66039091">
            <w:pPr>
              <w:kinsoku/>
              <w:overflowPunct w:val="0"/>
              <w:rPr>
                <w:rFonts w:ascii="方正仿宋_GB2312" w:hAnsi="方正仿宋_GB2312" w:eastAsia="方正仿宋_GB2312" w:cs="方正仿宋_GB2312"/>
                <w:sz w:val="24"/>
                <w:szCs w:val="24"/>
              </w:rPr>
            </w:pPr>
          </w:p>
        </w:tc>
        <w:tc>
          <w:tcPr>
            <w:tcW w:w="289" w:type="pct"/>
            <w:vMerge w:val="continue"/>
            <w:tcBorders>
              <w:top w:val="single" w:color="auto" w:sz="4" w:space="0"/>
              <w:left w:val="single" w:color="auto" w:sz="4" w:space="0"/>
              <w:bottom w:val="single" w:color="auto" w:sz="4" w:space="0"/>
              <w:right w:val="single" w:color="auto" w:sz="4" w:space="0"/>
            </w:tcBorders>
            <w:vAlign w:val="center"/>
          </w:tcPr>
          <w:p w14:paraId="07181AB5">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0E2B91B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6CB17D9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检查整体结构性能是否完好</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67AA36ED">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2ED2BFCB">
            <w:pPr>
              <w:kinsoku/>
              <w:overflowPunct w:val="0"/>
              <w:rPr>
                <w:rFonts w:ascii="方正仿宋_GB2312" w:hAnsi="方正仿宋_GB2312" w:eastAsia="方正仿宋_GB2312" w:cs="方正仿宋_GB2312"/>
                <w:sz w:val="24"/>
                <w:szCs w:val="24"/>
              </w:rPr>
            </w:pPr>
          </w:p>
        </w:tc>
      </w:tr>
      <w:tr w14:paraId="16FF62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0478FC7E">
            <w:pPr>
              <w:kinsoku/>
              <w:overflowPunct w:val="0"/>
              <w:rPr>
                <w:rFonts w:ascii="方正仿宋_GB2312" w:hAnsi="方正仿宋_GB2312" w:eastAsia="方正仿宋_GB2312" w:cs="方正仿宋_GB2312"/>
                <w:sz w:val="24"/>
                <w:szCs w:val="24"/>
              </w:rPr>
            </w:pPr>
          </w:p>
        </w:tc>
        <w:tc>
          <w:tcPr>
            <w:tcW w:w="460" w:type="pct"/>
            <w:vMerge w:val="continue"/>
            <w:tcBorders>
              <w:top w:val="single" w:color="auto" w:sz="4" w:space="0"/>
              <w:left w:val="single" w:color="auto" w:sz="4" w:space="0"/>
              <w:bottom w:val="single" w:color="auto" w:sz="4" w:space="0"/>
              <w:right w:val="single" w:color="auto" w:sz="4" w:space="0"/>
            </w:tcBorders>
            <w:vAlign w:val="center"/>
          </w:tcPr>
          <w:p w14:paraId="45DB8A1C">
            <w:pPr>
              <w:kinsoku/>
              <w:overflowPunct w:val="0"/>
              <w:rPr>
                <w:rFonts w:ascii="方正仿宋_GB2312" w:hAnsi="方正仿宋_GB2312" w:eastAsia="方正仿宋_GB2312" w:cs="方正仿宋_GB2312"/>
                <w:sz w:val="24"/>
                <w:szCs w:val="24"/>
              </w:rPr>
            </w:pPr>
          </w:p>
        </w:tc>
        <w:tc>
          <w:tcPr>
            <w:tcW w:w="289" w:type="pct"/>
            <w:vMerge w:val="restart"/>
            <w:tcBorders>
              <w:top w:val="single" w:color="auto" w:sz="4" w:space="0"/>
              <w:left w:val="single" w:color="auto" w:sz="4" w:space="0"/>
              <w:bottom w:val="single" w:color="auto" w:sz="4" w:space="0"/>
              <w:right w:val="single" w:color="auto" w:sz="4" w:space="0"/>
            </w:tcBorders>
            <w:vAlign w:val="center"/>
          </w:tcPr>
          <w:p w14:paraId="796B44D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承重墙</w:t>
            </w:r>
          </w:p>
        </w:tc>
        <w:tc>
          <w:tcPr>
            <w:tcW w:w="403" w:type="pct"/>
            <w:tcBorders>
              <w:top w:val="single" w:color="auto" w:sz="4" w:space="0"/>
              <w:left w:val="single" w:color="auto" w:sz="4" w:space="0"/>
              <w:bottom w:val="single" w:color="auto" w:sz="4" w:space="0"/>
              <w:right w:val="single" w:color="auto" w:sz="4" w:space="0"/>
            </w:tcBorders>
            <w:vAlign w:val="center"/>
          </w:tcPr>
          <w:p w14:paraId="5BC18F8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0C31D97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检查有无孔洞、裂缝、腐蚀</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1641ED1F">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32B3897D">
            <w:pPr>
              <w:kinsoku/>
              <w:overflowPunct w:val="0"/>
              <w:rPr>
                <w:rFonts w:ascii="方正仿宋_GB2312" w:hAnsi="方正仿宋_GB2312" w:eastAsia="方正仿宋_GB2312" w:cs="方正仿宋_GB2312"/>
                <w:sz w:val="24"/>
                <w:szCs w:val="24"/>
              </w:rPr>
            </w:pPr>
          </w:p>
        </w:tc>
      </w:tr>
      <w:tr w14:paraId="64C71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5EB0698D">
            <w:pPr>
              <w:kinsoku/>
              <w:overflowPunct w:val="0"/>
              <w:rPr>
                <w:rFonts w:ascii="方正仿宋_GB2312" w:hAnsi="方正仿宋_GB2312" w:eastAsia="方正仿宋_GB2312" w:cs="方正仿宋_GB2312"/>
                <w:sz w:val="24"/>
                <w:szCs w:val="24"/>
              </w:rPr>
            </w:pPr>
          </w:p>
        </w:tc>
        <w:tc>
          <w:tcPr>
            <w:tcW w:w="460" w:type="pct"/>
            <w:vMerge w:val="continue"/>
            <w:tcBorders>
              <w:top w:val="single" w:color="auto" w:sz="4" w:space="0"/>
              <w:left w:val="single" w:color="auto" w:sz="4" w:space="0"/>
              <w:bottom w:val="single" w:color="auto" w:sz="4" w:space="0"/>
              <w:right w:val="single" w:color="auto" w:sz="4" w:space="0"/>
            </w:tcBorders>
            <w:vAlign w:val="center"/>
          </w:tcPr>
          <w:p w14:paraId="359F033B">
            <w:pPr>
              <w:kinsoku/>
              <w:overflowPunct w:val="0"/>
              <w:rPr>
                <w:rFonts w:ascii="方正仿宋_GB2312" w:hAnsi="方正仿宋_GB2312" w:eastAsia="方正仿宋_GB2312" w:cs="方正仿宋_GB2312"/>
                <w:sz w:val="24"/>
                <w:szCs w:val="24"/>
              </w:rPr>
            </w:pPr>
          </w:p>
        </w:tc>
        <w:tc>
          <w:tcPr>
            <w:tcW w:w="289" w:type="pct"/>
            <w:vMerge w:val="continue"/>
            <w:tcBorders>
              <w:top w:val="single" w:color="auto" w:sz="4" w:space="0"/>
              <w:left w:val="single" w:color="auto" w:sz="4" w:space="0"/>
              <w:bottom w:val="single" w:color="auto" w:sz="4" w:space="0"/>
              <w:right w:val="single" w:color="auto" w:sz="4" w:space="0"/>
            </w:tcBorders>
            <w:vAlign w:val="center"/>
          </w:tcPr>
          <w:p w14:paraId="2A3FF680">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7E17F4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每年检查一次</w:t>
            </w:r>
          </w:p>
        </w:tc>
        <w:tc>
          <w:tcPr>
            <w:tcW w:w="1465" w:type="pct"/>
            <w:tcBorders>
              <w:top w:val="single" w:color="auto" w:sz="4" w:space="0"/>
              <w:left w:val="single" w:color="auto" w:sz="4" w:space="0"/>
              <w:bottom w:val="single" w:color="auto" w:sz="4" w:space="0"/>
              <w:right w:val="single" w:color="auto" w:sz="4" w:space="0"/>
            </w:tcBorders>
            <w:vAlign w:val="center"/>
          </w:tcPr>
          <w:p w14:paraId="2897E2A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检查整体结构性能是否完好</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3939278F">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3C5A4D3A">
            <w:pPr>
              <w:kinsoku/>
              <w:overflowPunct w:val="0"/>
              <w:rPr>
                <w:rFonts w:ascii="方正仿宋_GB2312" w:hAnsi="方正仿宋_GB2312" w:eastAsia="方正仿宋_GB2312" w:cs="方正仿宋_GB2312"/>
                <w:sz w:val="24"/>
                <w:szCs w:val="24"/>
              </w:rPr>
            </w:pPr>
          </w:p>
        </w:tc>
      </w:tr>
      <w:tr w14:paraId="619E95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restart"/>
            <w:tcBorders>
              <w:top w:val="single" w:color="auto" w:sz="4" w:space="0"/>
              <w:left w:val="single" w:color="auto" w:sz="12" w:space="0"/>
              <w:bottom w:val="single" w:color="auto" w:sz="4" w:space="0"/>
              <w:right w:val="single" w:color="auto" w:sz="4" w:space="0"/>
            </w:tcBorders>
            <w:vAlign w:val="center"/>
          </w:tcPr>
          <w:p w14:paraId="02EB40F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p>
        </w:tc>
        <w:tc>
          <w:tcPr>
            <w:tcW w:w="750" w:type="pct"/>
            <w:gridSpan w:val="2"/>
            <w:vMerge w:val="restart"/>
            <w:tcBorders>
              <w:top w:val="single" w:color="auto" w:sz="4" w:space="0"/>
              <w:left w:val="single" w:color="auto" w:sz="4" w:space="0"/>
              <w:bottom w:val="single" w:color="auto" w:sz="4" w:space="0"/>
              <w:right w:val="single" w:color="auto" w:sz="4" w:space="0"/>
            </w:tcBorders>
            <w:vAlign w:val="center"/>
          </w:tcPr>
          <w:p w14:paraId="480D32F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非承重墙</w:t>
            </w:r>
          </w:p>
        </w:tc>
        <w:tc>
          <w:tcPr>
            <w:tcW w:w="403" w:type="pct"/>
            <w:tcBorders>
              <w:top w:val="single" w:color="auto" w:sz="4" w:space="0"/>
              <w:left w:val="single" w:color="auto" w:sz="4" w:space="0"/>
              <w:bottom w:val="single" w:color="auto" w:sz="4" w:space="0"/>
              <w:right w:val="single" w:color="auto" w:sz="4" w:space="0"/>
            </w:tcBorders>
            <w:vAlign w:val="center"/>
          </w:tcPr>
          <w:p w14:paraId="7E0C8C0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每月巡查一次</w:t>
            </w:r>
          </w:p>
        </w:tc>
        <w:tc>
          <w:tcPr>
            <w:tcW w:w="1465" w:type="pct"/>
            <w:tcBorders>
              <w:top w:val="single" w:color="auto" w:sz="4" w:space="0"/>
              <w:left w:val="single" w:color="auto" w:sz="4" w:space="0"/>
              <w:bottom w:val="single" w:color="auto" w:sz="4" w:space="0"/>
              <w:right w:val="single" w:color="auto" w:sz="4" w:space="0"/>
            </w:tcBorders>
            <w:vAlign w:val="center"/>
          </w:tcPr>
          <w:p w14:paraId="625CCDB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1．检查墙体是否平直、有无裂缝、孔洞、风化等缺陷</w:t>
            </w:r>
          </w:p>
        </w:tc>
        <w:tc>
          <w:tcPr>
            <w:tcW w:w="1000" w:type="pct"/>
            <w:vMerge w:val="restart"/>
            <w:tcBorders>
              <w:top w:val="single" w:color="auto" w:sz="4" w:space="0"/>
              <w:left w:val="single" w:color="auto" w:sz="4" w:space="0"/>
              <w:bottom w:val="single" w:color="auto" w:sz="4" w:space="0"/>
              <w:right w:val="single" w:color="auto" w:sz="4" w:space="0"/>
            </w:tcBorders>
            <w:vAlign w:val="center"/>
          </w:tcPr>
          <w:p w14:paraId="2861D4A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发现问题及时维修。</w:t>
            </w:r>
          </w:p>
        </w:tc>
        <w:tc>
          <w:tcPr>
            <w:tcW w:w="964" w:type="pct"/>
            <w:vMerge w:val="restart"/>
            <w:tcBorders>
              <w:top w:val="single" w:color="auto" w:sz="4" w:space="0"/>
              <w:left w:val="single" w:color="auto" w:sz="4" w:space="0"/>
              <w:bottom w:val="single" w:color="auto" w:sz="4" w:space="0"/>
              <w:right w:val="single" w:color="auto" w:sz="12" w:space="0"/>
            </w:tcBorders>
            <w:vAlign w:val="center"/>
          </w:tcPr>
          <w:p w14:paraId="75A6FF9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墙体无裂缝、孔洞、风化等缺陷。</w:t>
            </w:r>
          </w:p>
        </w:tc>
      </w:tr>
      <w:tr w14:paraId="50288D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73EA8627">
            <w:pPr>
              <w:kinsoku/>
              <w:overflowPunct w:val="0"/>
              <w:rPr>
                <w:rFonts w:ascii="方正仿宋_GB2312" w:hAnsi="方正仿宋_GB2312" w:eastAsia="方正仿宋_GB2312" w:cs="方正仿宋_GB2312"/>
                <w:sz w:val="24"/>
                <w:szCs w:val="24"/>
              </w:rPr>
            </w:pPr>
          </w:p>
        </w:tc>
        <w:tc>
          <w:tcPr>
            <w:tcW w:w="750" w:type="pct"/>
            <w:gridSpan w:val="2"/>
            <w:vMerge w:val="continue"/>
            <w:tcBorders>
              <w:top w:val="single" w:color="auto" w:sz="4" w:space="0"/>
              <w:left w:val="single" w:color="auto" w:sz="4" w:space="0"/>
              <w:bottom w:val="single" w:color="auto" w:sz="4" w:space="0"/>
              <w:right w:val="single" w:color="auto" w:sz="4" w:space="0"/>
            </w:tcBorders>
            <w:vAlign w:val="center"/>
          </w:tcPr>
          <w:p w14:paraId="32245A74">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1F93E83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每年巡查一次</w:t>
            </w:r>
          </w:p>
        </w:tc>
        <w:tc>
          <w:tcPr>
            <w:tcW w:w="1465" w:type="pct"/>
            <w:tcBorders>
              <w:top w:val="single" w:color="auto" w:sz="4" w:space="0"/>
              <w:left w:val="single" w:color="auto" w:sz="4" w:space="0"/>
              <w:bottom w:val="single" w:color="auto" w:sz="4" w:space="0"/>
              <w:right w:val="single" w:color="auto" w:sz="4" w:space="0"/>
            </w:tcBorders>
            <w:vAlign w:val="center"/>
          </w:tcPr>
          <w:p w14:paraId="6BC8E2B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2．检查墙体结构性能是否完好</w:t>
            </w:r>
          </w:p>
        </w:tc>
        <w:tc>
          <w:tcPr>
            <w:tcW w:w="1000" w:type="pct"/>
            <w:vMerge w:val="continue"/>
            <w:tcBorders>
              <w:top w:val="single" w:color="auto" w:sz="4" w:space="0"/>
              <w:left w:val="single" w:color="auto" w:sz="4" w:space="0"/>
              <w:bottom w:val="single" w:color="auto" w:sz="4" w:space="0"/>
              <w:right w:val="single" w:color="auto" w:sz="4" w:space="0"/>
            </w:tcBorders>
            <w:vAlign w:val="center"/>
          </w:tcPr>
          <w:p w14:paraId="2E4E54C0">
            <w:pPr>
              <w:kinsoku/>
              <w:overflowPunct w:val="0"/>
              <w:rPr>
                <w:rFonts w:ascii="方正仿宋_GB2312" w:hAnsi="方正仿宋_GB2312" w:eastAsia="方正仿宋_GB2312" w:cs="方正仿宋_GB2312"/>
                <w:sz w:val="24"/>
                <w:szCs w:val="24"/>
              </w:rPr>
            </w:pP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032521E5">
            <w:pPr>
              <w:kinsoku/>
              <w:overflowPunct w:val="0"/>
              <w:rPr>
                <w:rFonts w:ascii="方正仿宋_GB2312" w:hAnsi="方正仿宋_GB2312" w:eastAsia="方正仿宋_GB2312" w:cs="方正仿宋_GB2312"/>
                <w:sz w:val="24"/>
                <w:szCs w:val="24"/>
              </w:rPr>
            </w:pPr>
          </w:p>
        </w:tc>
      </w:tr>
      <w:tr w14:paraId="2C15E2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restart"/>
            <w:tcBorders>
              <w:top w:val="single" w:color="auto" w:sz="4" w:space="0"/>
              <w:left w:val="single" w:color="auto" w:sz="12" w:space="0"/>
              <w:bottom w:val="single" w:color="auto" w:sz="4" w:space="0"/>
              <w:right w:val="single" w:color="auto" w:sz="4" w:space="0"/>
            </w:tcBorders>
            <w:vAlign w:val="center"/>
          </w:tcPr>
          <w:p w14:paraId="49AC2A3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p>
        </w:tc>
        <w:tc>
          <w:tcPr>
            <w:tcW w:w="750" w:type="pct"/>
            <w:gridSpan w:val="2"/>
            <w:vMerge w:val="restart"/>
            <w:tcBorders>
              <w:top w:val="single" w:color="auto" w:sz="4" w:space="0"/>
              <w:left w:val="single" w:color="auto" w:sz="4" w:space="0"/>
              <w:bottom w:val="single" w:color="auto" w:sz="4" w:space="0"/>
              <w:right w:val="single" w:color="auto" w:sz="4" w:space="0"/>
            </w:tcBorders>
            <w:vAlign w:val="center"/>
          </w:tcPr>
          <w:p w14:paraId="1C54EBF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屋面和防水涂层</w:t>
            </w:r>
          </w:p>
        </w:tc>
        <w:tc>
          <w:tcPr>
            <w:tcW w:w="403" w:type="pct"/>
            <w:tcBorders>
              <w:top w:val="single" w:color="auto" w:sz="4" w:space="0"/>
              <w:left w:val="single" w:color="auto" w:sz="4" w:space="0"/>
              <w:bottom w:val="single" w:color="auto" w:sz="4" w:space="0"/>
              <w:right w:val="single" w:color="auto" w:sz="4" w:space="0"/>
            </w:tcBorders>
            <w:vAlign w:val="center"/>
          </w:tcPr>
          <w:p w14:paraId="3C117DC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每周巡查一次</w:t>
            </w:r>
          </w:p>
        </w:tc>
        <w:tc>
          <w:tcPr>
            <w:tcW w:w="1465" w:type="pct"/>
            <w:tcBorders>
              <w:top w:val="single" w:color="auto" w:sz="4" w:space="0"/>
              <w:left w:val="single" w:color="auto" w:sz="4" w:space="0"/>
              <w:bottom w:val="single" w:color="auto" w:sz="4" w:space="0"/>
              <w:right w:val="single" w:color="auto" w:sz="4" w:space="0"/>
            </w:tcBorders>
            <w:vAlign w:val="center"/>
          </w:tcPr>
          <w:p w14:paraId="1E560E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1．检查雨水口有无堵塞，发现异常及时疏通</w:t>
            </w:r>
          </w:p>
          <w:p w14:paraId="7EA3940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2．检查隔热层，有无空洞、起鼓、渗漏，发现损坏及时修复</w:t>
            </w:r>
          </w:p>
          <w:p w14:paraId="1F0C214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 检查避雷网无间断、无缺损</w:t>
            </w:r>
          </w:p>
        </w:tc>
        <w:tc>
          <w:tcPr>
            <w:tcW w:w="1000" w:type="pct"/>
            <w:tcBorders>
              <w:top w:val="single" w:color="auto" w:sz="4" w:space="0"/>
              <w:left w:val="single" w:color="auto" w:sz="4" w:space="0"/>
              <w:bottom w:val="single" w:color="auto" w:sz="4" w:space="0"/>
              <w:right w:val="single" w:color="auto" w:sz="4" w:space="0"/>
            </w:tcBorders>
            <w:vAlign w:val="center"/>
          </w:tcPr>
          <w:p w14:paraId="722545D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1.如果隔热层板损坏，应及时全面修补隔热层板。</w:t>
            </w:r>
          </w:p>
          <w:p w14:paraId="744A11C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2.按房屋修缮规定实施维修。</w:t>
            </w:r>
          </w:p>
        </w:tc>
        <w:tc>
          <w:tcPr>
            <w:tcW w:w="964" w:type="pct"/>
            <w:tcBorders>
              <w:top w:val="single" w:color="auto" w:sz="4" w:space="0"/>
              <w:left w:val="single" w:color="auto" w:sz="4" w:space="0"/>
              <w:bottom w:val="single" w:color="auto" w:sz="4" w:space="0"/>
              <w:right w:val="single" w:color="auto" w:sz="12" w:space="0"/>
            </w:tcBorders>
            <w:vAlign w:val="center"/>
          </w:tcPr>
          <w:p w14:paraId="32AD589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隔热层板无损坏；避雷网无间断、无缺损。</w:t>
            </w:r>
          </w:p>
        </w:tc>
      </w:tr>
      <w:tr w14:paraId="363206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4ADF2B03">
            <w:pPr>
              <w:kinsoku/>
              <w:overflowPunct w:val="0"/>
              <w:rPr>
                <w:rFonts w:ascii="方正仿宋_GB2312" w:hAnsi="方正仿宋_GB2312" w:eastAsia="方正仿宋_GB2312" w:cs="方正仿宋_GB2312"/>
                <w:sz w:val="24"/>
                <w:szCs w:val="24"/>
              </w:rPr>
            </w:pPr>
          </w:p>
        </w:tc>
        <w:tc>
          <w:tcPr>
            <w:tcW w:w="750" w:type="pct"/>
            <w:gridSpan w:val="2"/>
            <w:vMerge w:val="continue"/>
            <w:tcBorders>
              <w:top w:val="single" w:color="auto" w:sz="4" w:space="0"/>
              <w:left w:val="single" w:color="auto" w:sz="4" w:space="0"/>
              <w:bottom w:val="single" w:color="auto" w:sz="4" w:space="0"/>
              <w:right w:val="single" w:color="auto" w:sz="4" w:space="0"/>
            </w:tcBorders>
            <w:vAlign w:val="center"/>
          </w:tcPr>
          <w:p w14:paraId="6F340D99">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7BD4E01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每季度检查</w:t>
            </w:r>
          </w:p>
        </w:tc>
        <w:tc>
          <w:tcPr>
            <w:tcW w:w="1465" w:type="pct"/>
            <w:tcBorders>
              <w:top w:val="single" w:color="auto" w:sz="4" w:space="0"/>
              <w:left w:val="single" w:color="auto" w:sz="4" w:space="0"/>
              <w:bottom w:val="single" w:color="auto" w:sz="4" w:space="0"/>
              <w:right w:val="single" w:color="auto" w:sz="4" w:space="0"/>
            </w:tcBorders>
            <w:vAlign w:val="center"/>
          </w:tcPr>
          <w:p w14:paraId="3239876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1．全面检查屋面防水层。</w:t>
            </w:r>
          </w:p>
          <w:p w14:paraId="4EE50A5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2．检查伸缩缝嵌填油膏是否完整。</w:t>
            </w:r>
          </w:p>
          <w:p w14:paraId="1348FAC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3．每年雨季对屋面进行仔细检查，及时发现防水层破损、老化的状况。</w:t>
            </w:r>
          </w:p>
        </w:tc>
        <w:tc>
          <w:tcPr>
            <w:tcW w:w="1000" w:type="pct"/>
            <w:tcBorders>
              <w:top w:val="single" w:color="auto" w:sz="4" w:space="0"/>
              <w:left w:val="single" w:color="auto" w:sz="4" w:space="0"/>
              <w:bottom w:val="single" w:color="auto" w:sz="4" w:space="0"/>
              <w:right w:val="single" w:color="auto" w:sz="4" w:space="0"/>
            </w:tcBorders>
            <w:vAlign w:val="center"/>
          </w:tcPr>
          <w:p w14:paraId="7AD084F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1.及时消除涂料防水层破损、老化的状况，及时更换破损玻璃的接缝密封胶，以及沉降缝、伸缩缝的老化、渗漏情况。</w:t>
            </w:r>
          </w:p>
          <w:p w14:paraId="0725A46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2.发现涂料防水层破损、老化造成屋面渗漏的，及时修复或更换。</w:t>
            </w:r>
          </w:p>
          <w:p w14:paraId="6F06C72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3.按房屋修缮规定实施维修。</w:t>
            </w:r>
          </w:p>
        </w:tc>
        <w:tc>
          <w:tcPr>
            <w:tcW w:w="964" w:type="pct"/>
            <w:tcBorders>
              <w:top w:val="single" w:color="auto" w:sz="4" w:space="0"/>
              <w:left w:val="single" w:color="auto" w:sz="4" w:space="0"/>
              <w:bottom w:val="single" w:color="auto" w:sz="4" w:space="0"/>
              <w:right w:val="single" w:color="auto" w:sz="12" w:space="0"/>
            </w:tcBorders>
            <w:vAlign w:val="center"/>
          </w:tcPr>
          <w:p w14:paraId="5F9DFB3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无渗漏，隔热层板无损坏</w:t>
            </w:r>
          </w:p>
        </w:tc>
      </w:tr>
      <w:tr w14:paraId="4B2B7A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tcBorders>
              <w:top w:val="single" w:color="auto" w:sz="4" w:space="0"/>
              <w:left w:val="single" w:color="auto" w:sz="12" w:space="0"/>
              <w:bottom w:val="single" w:color="auto" w:sz="4" w:space="0"/>
              <w:right w:val="single" w:color="auto" w:sz="4" w:space="0"/>
            </w:tcBorders>
            <w:vAlign w:val="center"/>
          </w:tcPr>
          <w:p w14:paraId="3030E45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w:t>
            </w:r>
          </w:p>
        </w:tc>
        <w:tc>
          <w:tcPr>
            <w:tcW w:w="750" w:type="pct"/>
            <w:gridSpan w:val="2"/>
            <w:tcBorders>
              <w:top w:val="single" w:color="auto" w:sz="4" w:space="0"/>
              <w:left w:val="single" w:color="auto" w:sz="4" w:space="0"/>
              <w:bottom w:val="single" w:color="auto" w:sz="4" w:space="0"/>
              <w:right w:val="single" w:color="auto" w:sz="4" w:space="0"/>
            </w:tcBorders>
            <w:vAlign w:val="center"/>
          </w:tcPr>
          <w:p w14:paraId="308C1DA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楼地面</w:t>
            </w:r>
          </w:p>
        </w:tc>
        <w:tc>
          <w:tcPr>
            <w:tcW w:w="403" w:type="pct"/>
            <w:tcBorders>
              <w:top w:val="single" w:color="auto" w:sz="4" w:space="0"/>
              <w:left w:val="single" w:color="auto" w:sz="4" w:space="0"/>
              <w:bottom w:val="single" w:color="auto" w:sz="4" w:space="0"/>
              <w:right w:val="single" w:color="auto" w:sz="4" w:space="0"/>
            </w:tcBorders>
            <w:vAlign w:val="center"/>
          </w:tcPr>
          <w:p w14:paraId="40598A5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每周巡查一次</w:t>
            </w:r>
          </w:p>
        </w:tc>
        <w:tc>
          <w:tcPr>
            <w:tcW w:w="1465" w:type="pct"/>
            <w:tcBorders>
              <w:top w:val="single" w:color="auto" w:sz="4" w:space="0"/>
              <w:left w:val="single" w:color="auto" w:sz="4" w:space="0"/>
              <w:bottom w:val="single" w:color="auto" w:sz="4" w:space="0"/>
              <w:right w:val="single" w:color="auto" w:sz="4" w:space="0"/>
            </w:tcBorders>
            <w:vAlign w:val="center"/>
          </w:tcPr>
          <w:p w14:paraId="2CD236E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1.检查楼地面是否平整完好，有无空鼓和破裂。</w:t>
            </w:r>
          </w:p>
          <w:p w14:paraId="23B04F4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2.检查地面饰面材料有无松脱、空鼓、破损，发现问题及时处理。</w:t>
            </w:r>
          </w:p>
        </w:tc>
        <w:tc>
          <w:tcPr>
            <w:tcW w:w="1000" w:type="pct"/>
            <w:tcBorders>
              <w:top w:val="single" w:color="auto" w:sz="4" w:space="0"/>
              <w:left w:val="single" w:color="auto" w:sz="4" w:space="0"/>
              <w:bottom w:val="single" w:color="auto" w:sz="4" w:space="0"/>
              <w:right w:val="single" w:color="auto" w:sz="4" w:space="0"/>
            </w:tcBorders>
            <w:vAlign w:val="center"/>
          </w:tcPr>
          <w:p w14:paraId="61F6023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1.及时更换松脱、破损的地面饰面材料。</w:t>
            </w:r>
          </w:p>
          <w:p w14:paraId="1613C8B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2.按房屋修缮规定实施维修。</w:t>
            </w:r>
          </w:p>
        </w:tc>
        <w:tc>
          <w:tcPr>
            <w:tcW w:w="964" w:type="pct"/>
            <w:tcBorders>
              <w:top w:val="single" w:color="auto" w:sz="4" w:space="0"/>
              <w:left w:val="single" w:color="auto" w:sz="4" w:space="0"/>
              <w:bottom w:val="single" w:color="auto" w:sz="4" w:space="0"/>
              <w:right w:val="single" w:color="auto" w:sz="12" w:space="0"/>
            </w:tcBorders>
            <w:vAlign w:val="center"/>
          </w:tcPr>
          <w:p w14:paraId="4850E7E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楼地面无空鼓和破裂。地面饰面材料无松脱、空鼓、破损。</w:t>
            </w:r>
          </w:p>
        </w:tc>
      </w:tr>
      <w:tr w14:paraId="63F3B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tcBorders>
              <w:top w:val="single" w:color="auto" w:sz="4" w:space="0"/>
              <w:left w:val="single" w:color="auto" w:sz="12" w:space="0"/>
              <w:bottom w:val="single" w:color="auto" w:sz="4" w:space="0"/>
              <w:right w:val="single" w:color="auto" w:sz="4" w:space="0"/>
            </w:tcBorders>
            <w:vAlign w:val="center"/>
          </w:tcPr>
          <w:p w14:paraId="2F4F81D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w:t>
            </w:r>
          </w:p>
        </w:tc>
        <w:tc>
          <w:tcPr>
            <w:tcW w:w="750" w:type="pct"/>
            <w:gridSpan w:val="2"/>
            <w:tcBorders>
              <w:top w:val="single" w:color="auto" w:sz="4" w:space="0"/>
              <w:left w:val="single" w:color="auto" w:sz="4" w:space="0"/>
              <w:bottom w:val="single" w:color="auto" w:sz="4" w:space="0"/>
              <w:right w:val="single" w:color="auto" w:sz="4" w:space="0"/>
            </w:tcBorders>
            <w:vAlign w:val="center"/>
          </w:tcPr>
          <w:p w14:paraId="0C14EF6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楼梯及消防通道</w:t>
            </w:r>
          </w:p>
        </w:tc>
        <w:tc>
          <w:tcPr>
            <w:tcW w:w="403" w:type="pct"/>
            <w:tcBorders>
              <w:top w:val="single" w:color="auto" w:sz="4" w:space="0"/>
              <w:left w:val="single" w:color="auto" w:sz="4" w:space="0"/>
              <w:bottom w:val="single" w:color="auto" w:sz="4" w:space="0"/>
              <w:right w:val="single" w:color="auto" w:sz="4" w:space="0"/>
            </w:tcBorders>
            <w:vAlign w:val="center"/>
          </w:tcPr>
          <w:p w14:paraId="5E16104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每周巡查一次</w:t>
            </w:r>
          </w:p>
        </w:tc>
        <w:tc>
          <w:tcPr>
            <w:tcW w:w="1465" w:type="pct"/>
            <w:tcBorders>
              <w:top w:val="single" w:color="auto" w:sz="4" w:space="0"/>
              <w:left w:val="single" w:color="auto" w:sz="4" w:space="0"/>
              <w:bottom w:val="single" w:color="auto" w:sz="4" w:space="0"/>
              <w:right w:val="single" w:color="auto" w:sz="4" w:space="0"/>
            </w:tcBorders>
            <w:vAlign w:val="center"/>
          </w:tcPr>
          <w:p w14:paraId="251E62D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1．检查地面砖有无起砂、空鼓、开裂、松脱。</w:t>
            </w:r>
          </w:p>
          <w:p w14:paraId="5FE6068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2．公共通道及门厅的墙面有无污迹和剥落。</w:t>
            </w:r>
          </w:p>
          <w:p w14:paraId="17E61C9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3．检查中庭外廊护栏、支架、护栏网是否完好。</w:t>
            </w:r>
          </w:p>
          <w:p w14:paraId="63448E1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4.检查扶手、踏步有无损坏。</w:t>
            </w:r>
          </w:p>
          <w:p w14:paraId="68A2D8D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 消防通道始终保持畅通。</w:t>
            </w:r>
          </w:p>
        </w:tc>
        <w:tc>
          <w:tcPr>
            <w:tcW w:w="1000" w:type="pct"/>
            <w:tcBorders>
              <w:top w:val="single" w:color="auto" w:sz="4" w:space="0"/>
              <w:left w:val="single" w:color="auto" w:sz="4" w:space="0"/>
              <w:bottom w:val="single" w:color="auto" w:sz="4" w:space="0"/>
              <w:right w:val="single" w:color="auto" w:sz="4" w:space="0"/>
            </w:tcBorders>
            <w:vAlign w:val="center"/>
          </w:tcPr>
          <w:p w14:paraId="57DCCBE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1.发现损坏的及时维修或油漆。</w:t>
            </w:r>
          </w:p>
          <w:p w14:paraId="1E4BC2C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2.按房屋修缮规定实施维修。</w:t>
            </w:r>
          </w:p>
        </w:tc>
        <w:tc>
          <w:tcPr>
            <w:tcW w:w="964" w:type="pct"/>
            <w:tcBorders>
              <w:top w:val="single" w:color="auto" w:sz="4" w:space="0"/>
              <w:left w:val="single" w:color="auto" w:sz="4" w:space="0"/>
              <w:bottom w:val="single" w:color="auto" w:sz="4" w:space="0"/>
              <w:right w:val="single" w:color="auto" w:sz="12" w:space="0"/>
            </w:tcBorders>
            <w:vAlign w:val="center"/>
          </w:tcPr>
          <w:p w14:paraId="1AE09A6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地面无空鼓、开裂、松脱。</w:t>
            </w:r>
          </w:p>
          <w:p w14:paraId="752BB9F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公共通道及门厅的墙面无剥落。</w:t>
            </w:r>
          </w:p>
          <w:p w14:paraId="1C855F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油漆完好、无损坏。</w:t>
            </w:r>
          </w:p>
        </w:tc>
      </w:tr>
      <w:tr w14:paraId="3592B1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restart"/>
            <w:tcBorders>
              <w:top w:val="single" w:color="auto" w:sz="4" w:space="0"/>
              <w:left w:val="single" w:color="auto" w:sz="12" w:space="0"/>
              <w:bottom w:val="single" w:color="auto" w:sz="4" w:space="0"/>
              <w:right w:val="single" w:color="auto" w:sz="4" w:space="0"/>
            </w:tcBorders>
            <w:vAlign w:val="center"/>
          </w:tcPr>
          <w:p w14:paraId="6FA0C44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w:t>
            </w:r>
          </w:p>
        </w:tc>
        <w:tc>
          <w:tcPr>
            <w:tcW w:w="750" w:type="pct"/>
            <w:gridSpan w:val="2"/>
            <w:vMerge w:val="restart"/>
            <w:tcBorders>
              <w:top w:val="single" w:color="auto" w:sz="4" w:space="0"/>
              <w:left w:val="single" w:color="auto" w:sz="4" w:space="0"/>
              <w:bottom w:val="single" w:color="auto" w:sz="4" w:space="0"/>
              <w:right w:val="single" w:color="auto" w:sz="4" w:space="0"/>
            </w:tcBorders>
            <w:vAlign w:val="center"/>
          </w:tcPr>
          <w:p w14:paraId="327C4EF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内墙面</w:t>
            </w:r>
          </w:p>
        </w:tc>
        <w:tc>
          <w:tcPr>
            <w:tcW w:w="403" w:type="pct"/>
            <w:tcBorders>
              <w:top w:val="single" w:color="auto" w:sz="4" w:space="0"/>
              <w:left w:val="single" w:color="auto" w:sz="4" w:space="0"/>
              <w:bottom w:val="single" w:color="auto" w:sz="4" w:space="0"/>
              <w:right w:val="single" w:color="auto" w:sz="4" w:space="0"/>
            </w:tcBorders>
            <w:vAlign w:val="center"/>
          </w:tcPr>
          <w:p w14:paraId="060C1C6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每月检查</w:t>
            </w:r>
          </w:p>
        </w:tc>
        <w:tc>
          <w:tcPr>
            <w:tcW w:w="1465" w:type="pct"/>
            <w:tcBorders>
              <w:top w:val="single" w:color="auto" w:sz="4" w:space="0"/>
              <w:left w:val="single" w:color="auto" w:sz="4" w:space="0"/>
              <w:bottom w:val="single" w:color="auto" w:sz="4" w:space="0"/>
              <w:right w:val="single" w:color="auto" w:sz="4" w:space="0"/>
            </w:tcBorders>
            <w:vAlign w:val="center"/>
          </w:tcPr>
          <w:p w14:paraId="36D32B8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 检查有无裂缝、起鼓、脱落部分</w:t>
            </w:r>
          </w:p>
          <w:p w14:paraId="4756FA0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2．检查有无变色现象</w:t>
            </w:r>
          </w:p>
          <w:p w14:paraId="369C9B7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3．检查有无局部渗漏</w:t>
            </w:r>
          </w:p>
          <w:p w14:paraId="590CF15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4．检查石土质块材是否有破损</w:t>
            </w:r>
          </w:p>
        </w:tc>
        <w:tc>
          <w:tcPr>
            <w:tcW w:w="1000" w:type="pct"/>
            <w:tcBorders>
              <w:top w:val="single" w:color="auto" w:sz="4" w:space="0"/>
              <w:left w:val="single" w:color="auto" w:sz="4" w:space="0"/>
              <w:bottom w:val="single" w:color="auto" w:sz="4" w:space="0"/>
              <w:right w:val="single" w:color="auto" w:sz="4" w:space="0"/>
            </w:tcBorders>
            <w:vAlign w:val="center"/>
          </w:tcPr>
          <w:p w14:paraId="58C9F3E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1.发现损坏的及时维修或粉刷。</w:t>
            </w:r>
          </w:p>
          <w:p w14:paraId="50A488B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2.按房屋修缮规定实施维修。</w:t>
            </w:r>
          </w:p>
        </w:tc>
        <w:tc>
          <w:tcPr>
            <w:tcW w:w="964" w:type="pct"/>
            <w:vMerge w:val="restart"/>
            <w:tcBorders>
              <w:top w:val="single" w:color="auto" w:sz="4" w:space="0"/>
              <w:left w:val="single" w:color="auto" w:sz="4" w:space="0"/>
              <w:bottom w:val="single" w:color="auto" w:sz="4" w:space="0"/>
              <w:right w:val="single" w:color="auto" w:sz="12" w:space="0"/>
            </w:tcBorders>
            <w:vAlign w:val="center"/>
          </w:tcPr>
          <w:p w14:paraId="5BD0ABD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内墙面无裂缝、起鼓、脱落、破损。内墙面无局部渗漏。</w:t>
            </w:r>
          </w:p>
        </w:tc>
      </w:tr>
      <w:tr w14:paraId="34A801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1B7BDD14">
            <w:pPr>
              <w:kinsoku/>
              <w:overflowPunct w:val="0"/>
              <w:rPr>
                <w:rFonts w:ascii="方正仿宋_GB2312" w:hAnsi="方正仿宋_GB2312" w:eastAsia="方正仿宋_GB2312" w:cs="方正仿宋_GB2312"/>
                <w:sz w:val="24"/>
                <w:szCs w:val="24"/>
              </w:rPr>
            </w:pPr>
          </w:p>
        </w:tc>
        <w:tc>
          <w:tcPr>
            <w:tcW w:w="750" w:type="pct"/>
            <w:gridSpan w:val="2"/>
            <w:vMerge w:val="continue"/>
            <w:tcBorders>
              <w:top w:val="single" w:color="auto" w:sz="4" w:space="0"/>
              <w:left w:val="single" w:color="auto" w:sz="4" w:space="0"/>
              <w:bottom w:val="single" w:color="auto" w:sz="4" w:space="0"/>
              <w:right w:val="single" w:color="auto" w:sz="4" w:space="0"/>
            </w:tcBorders>
            <w:vAlign w:val="center"/>
          </w:tcPr>
          <w:p w14:paraId="443E6316">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6B9C31D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每季度检查</w:t>
            </w:r>
          </w:p>
        </w:tc>
        <w:tc>
          <w:tcPr>
            <w:tcW w:w="1465" w:type="pct"/>
            <w:tcBorders>
              <w:top w:val="single" w:color="auto" w:sz="4" w:space="0"/>
              <w:left w:val="single" w:color="auto" w:sz="4" w:space="0"/>
              <w:bottom w:val="single" w:color="auto" w:sz="4" w:space="0"/>
              <w:right w:val="single" w:color="auto" w:sz="4" w:space="0"/>
            </w:tcBorders>
            <w:vAlign w:val="center"/>
          </w:tcPr>
          <w:p w14:paraId="4872B9F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检查内墙面大面积渗漏情况。</w:t>
            </w:r>
          </w:p>
        </w:tc>
        <w:tc>
          <w:tcPr>
            <w:tcW w:w="1000" w:type="pct"/>
            <w:tcBorders>
              <w:top w:val="single" w:color="auto" w:sz="4" w:space="0"/>
              <w:left w:val="single" w:color="auto" w:sz="4" w:space="0"/>
              <w:bottom w:val="single" w:color="auto" w:sz="4" w:space="0"/>
              <w:right w:val="single" w:color="auto" w:sz="4" w:space="0"/>
            </w:tcBorders>
            <w:vAlign w:val="center"/>
          </w:tcPr>
          <w:p w14:paraId="170ADF1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处理内墙面大面积渗漏。</w:t>
            </w: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4E6313BD">
            <w:pPr>
              <w:kinsoku/>
              <w:overflowPunct w:val="0"/>
              <w:rPr>
                <w:rFonts w:ascii="方正仿宋_GB2312" w:hAnsi="方正仿宋_GB2312" w:eastAsia="方正仿宋_GB2312" w:cs="方正仿宋_GB2312"/>
                <w:sz w:val="24"/>
                <w:szCs w:val="24"/>
              </w:rPr>
            </w:pPr>
          </w:p>
        </w:tc>
      </w:tr>
      <w:tr w14:paraId="0215E7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79FEA3AE">
            <w:pPr>
              <w:kinsoku/>
              <w:overflowPunct w:val="0"/>
              <w:rPr>
                <w:rFonts w:ascii="方正仿宋_GB2312" w:hAnsi="方正仿宋_GB2312" w:eastAsia="方正仿宋_GB2312" w:cs="方正仿宋_GB2312"/>
                <w:sz w:val="24"/>
                <w:szCs w:val="24"/>
              </w:rPr>
            </w:pPr>
          </w:p>
        </w:tc>
        <w:tc>
          <w:tcPr>
            <w:tcW w:w="750" w:type="pct"/>
            <w:gridSpan w:val="2"/>
            <w:vMerge w:val="continue"/>
            <w:tcBorders>
              <w:top w:val="single" w:color="auto" w:sz="4" w:space="0"/>
              <w:left w:val="single" w:color="auto" w:sz="4" w:space="0"/>
              <w:bottom w:val="single" w:color="auto" w:sz="4" w:space="0"/>
              <w:right w:val="single" w:color="auto" w:sz="4" w:space="0"/>
            </w:tcBorders>
            <w:vAlign w:val="center"/>
          </w:tcPr>
          <w:p w14:paraId="44118A73">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29C67CB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tc>
        <w:tc>
          <w:tcPr>
            <w:tcW w:w="1465" w:type="pct"/>
            <w:tcBorders>
              <w:top w:val="single" w:color="auto" w:sz="4" w:space="0"/>
              <w:left w:val="single" w:color="auto" w:sz="4" w:space="0"/>
              <w:bottom w:val="single" w:color="auto" w:sz="4" w:space="0"/>
              <w:right w:val="single" w:color="auto" w:sz="4" w:space="0"/>
            </w:tcBorders>
            <w:vAlign w:val="center"/>
          </w:tcPr>
          <w:p w14:paraId="7581654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雨季对用户窗台进行密封维护检查。</w:t>
            </w:r>
          </w:p>
        </w:tc>
        <w:tc>
          <w:tcPr>
            <w:tcW w:w="1000" w:type="pct"/>
            <w:tcBorders>
              <w:top w:val="single" w:color="auto" w:sz="4" w:space="0"/>
              <w:left w:val="single" w:color="auto" w:sz="4" w:space="0"/>
              <w:bottom w:val="single" w:color="auto" w:sz="4" w:space="0"/>
              <w:right w:val="single" w:color="auto" w:sz="4" w:space="0"/>
            </w:tcBorders>
            <w:vAlign w:val="center"/>
          </w:tcPr>
          <w:p w14:paraId="765047E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处理渗漏</w:t>
            </w:r>
          </w:p>
        </w:tc>
        <w:tc>
          <w:tcPr>
            <w:tcW w:w="964" w:type="pct"/>
            <w:vMerge w:val="continue"/>
            <w:tcBorders>
              <w:top w:val="single" w:color="auto" w:sz="4" w:space="0"/>
              <w:left w:val="single" w:color="auto" w:sz="4" w:space="0"/>
              <w:bottom w:val="single" w:color="auto" w:sz="4" w:space="0"/>
              <w:right w:val="single" w:color="auto" w:sz="12" w:space="0"/>
            </w:tcBorders>
            <w:vAlign w:val="center"/>
          </w:tcPr>
          <w:p w14:paraId="64C90217">
            <w:pPr>
              <w:kinsoku/>
              <w:overflowPunct w:val="0"/>
              <w:rPr>
                <w:rFonts w:ascii="方正仿宋_GB2312" w:hAnsi="方正仿宋_GB2312" w:eastAsia="方正仿宋_GB2312" w:cs="方正仿宋_GB2312"/>
                <w:sz w:val="24"/>
                <w:szCs w:val="24"/>
              </w:rPr>
            </w:pPr>
          </w:p>
        </w:tc>
      </w:tr>
      <w:tr w14:paraId="41A965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restart"/>
            <w:tcBorders>
              <w:top w:val="single" w:color="auto" w:sz="4" w:space="0"/>
              <w:left w:val="single" w:color="auto" w:sz="12" w:space="0"/>
              <w:bottom w:val="single" w:color="auto" w:sz="4" w:space="0"/>
              <w:right w:val="single" w:color="auto" w:sz="4" w:space="0"/>
            </w:tcBorders>
            <w:vAlign w:val="center"/>
          </w:tcPr>
          <w:p w14:paraId="72F87FC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w:t>
            </w:r>
          </w:p>
        </w:tc>
        <w:tc>
          <w:tcPr>
            <w:tcW w:w="750" w:type="pct"/>
            <w:gridSpan w:val="2"/>
            <w:vMerge w:val="restart"/>
            <w:tcBorders>
              <w:top w:val="single" w:color="auto" w:sz="4" w:space="0"/>
              <w:left w:val="single" w:color="auto" w:sz="4" w:space="0"/>
              <w:bottom w:val="single" w:color="auto" w:sz="4" w:space="0"/>
              <w:right w:val="single" w:color="auto" w:sz="4" w:space="0"/>
            </w:tcBorders>
            <w:vAlign w:val="center"/>
          </w:tcPr>
          <w:p w14:paraId="7B23C39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外墙面</w:t>
            </w:r>
          </w:p>
        </w:tc>
        <w:tc>
          <w:tcPr>
            <w:tcW w:w="403" w:type="pct"/>
            <w:tcBorders>
              <w:top w:val="single" w:color="auto" w:sz="4" w:space="0"/>
              <w:left w:val="single" w:color="auto" w:sz="4" w:space="0"/>
              <w:bottom w:val="single" w:color="auto" w:sz="4" w:space="0"/>
              <w:right w:val="single" w:color="auto" w:sz="4" w:space="0"/>
            </w:tcBorders>
            <w:vAlign w:val="center"/>
          </w:tcPr>
          <w:p w14:paraId="1A8B5FF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每周检查</w:t>
            </w:r>
          </w:p>
        </w:tc>
        <w:tc>
          <w:tcPr>
            <w:tcW w:w="1465" w:type="pct"/>
            <w:tcBorders>
              <w:top w:val="single" w:color="auto" w:sz="4" w:space="0"/>
              <w:left w:val="single" w:color="auto" w:sz="4" w:space="0"/>
              <w:bottom w:val="single" w:color="auto" w:sz="4" w:space="0"/>
              <w:right w:val="single" w:color="auto" w:sz="4" w:space="0"/>
            </w:tcBorders>
            <w:vAlign w:val="center"/>
          </w:tcPr>
          <w:p w14:paraId="56EE74C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 检查外墙饰面玻璃有否破损</w:t>
            </w:r>
          </w:p>
          <w:p w14:paraId="6794E79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 检查外墙饰面有否污染</w:t>
            </w:r>
          </w:p>
        </w:tc>
        <w:tc>
          <w:tcPr>
            <w:tcW w:w="1000" w:type="pct"/>
            <w:tcBorders>
              <w:top w:val="single" w:color="auto" w:sz="4" w:space="0"/>
              <w:left w:val="single" w:color="auto" w:sz="4" w:space="0"/>
              <w:bottom w:val="single" w:color="auto" w:sz="4" w:space="0"/>
              <w:right w:val="single" w:color="auto" w:sz="4" w:space="0"/>
            </w:tcBorders>
            <w:vAlign w:val="center"/>
          </w:tcPr>
          <w:p w14:paraId="0F88B56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1.更换破损的外墙饰面玻璃。</w:t>
            </w:r>
          </w:p>
          <w:p w14:paraId="67BBFB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2.清冼外墙饰面人为造成的污染部分。</w:t>
            </w:r>
          </w:p>
        </w:tc>
        <w:tc>
          <w:tcPr>
            <w:tcW w:w="964" w:type="pct"/>
            <w:tcBorders>
              <w:top w:val="single" w:color="auto" w:sz="4" w:space="0"/>
              <w:left w:val="single" w:color="auto" w:sz="4" w:space="0"/>
              <w:bottom w:val="single" w:color="auto" w:sz="4" w:space="0"/>
              <w:right w:val="single" w:color="auto" w:sz="12" w:space="0"/>
            </w:tcBorders>
            <w:vAlign w:val="center"/>
          </w:tcPr>
          <w:p w14:paraId="09FF13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保证大楼完整、清洁</w:t>
            </w:r>
          </w:p>
        </w:tc>
      </w:tr>
      <w:tr w14:paraId="77A81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2AD42A7F">
            <w:pPr>
              <w:kinsoku/>
              <w:overflowPunct w:val="0"/>
              <w:rPr>
                <w:rFonts w:ascii="方正仿宋_GB2312" w:hAnsi="方正仿宋_GB2312" w:eastAsia="方正仿宋_GB2312" w:cs="方正仿宋_GB2312"/>
                <w:sz w:val="24"/>
                <w:szCs w:val="24"/>
              </w:rPr>
            </w:pPr>
          </w:p>
        </w:tc>
        <w:tc>
          <w:tcPr>
            <w:tcW w:w="750" w:type="pct"/>
            <w:gridSpan w:val="2"/>
            <w:vMerge w:val="continue"/>
            <w:tcBorders>
              <w:top w:val="single" w:color="auto" w:sz="4" w:space="0"/>
              <w:left w:val="single" w:color="auto" w:sz="4" w:space="0"/>
              <w:bottom w:val="single" w:color="auto" w:sz="4" w:space="0"/>
              <w:right w:val="single" w:color="auto" w:sz="4" w:space="0"/>
            </w:tcBorders>
            <w:vAlign w:val="center"/>
          </w:tcPr>
          <w:p w14:paraId="0CF6DD46">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7E618C9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tc>
        <w:tc>
          <w:tcPr>
            <w:tcW w:w="1465" w:type="pct"/>
            <w:tcBorders>
              <w:top w:val="single" w:color="auto" w:sz="4" w:space="0"/>
              <w:left w:val="single" w:color="auto" w:sz="4" w:space="0"/>
              <w:bottom w:val="single" w:color="auto" w:sz="4" w:space="0"/>
              <w:right w:val="single" w:color="auto" w:sz="4" w:space="0"/>
            </w:tcBorders>
            <w:vAlign w:val="center"/>
          </w:tcPr>
          <w:p w14:paraId="31770FD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1．结合外墙清洗作业，一并检查外墙面的使用状况。</w:t>
            </w:r>
          </w:p>
          <w:p w14:paraId="4CFBBC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2．台风暴雨天气及时发布信息，提醒用户关好、锁好门窗。</w:t>
            </w:r>
          </w:p>
        </w:tc>
        <w:tc>
          <w:tcPr>
            <w:tcW w:w="1000" w:type="pct"/>
            <w:tcBorders>
              <w:top w:val="single" w:color="auto" w:sz="4" w:space="0"/>
              <w:left w:val="single" w:color="auto" w:sz="4" w:space="0"/>
              <w:bottom w:val="single" w:color="auto" w:sz="4" w:space="0"/>
              <w:right w:val="single" w:color="auto" w:sz="4" w:space="0"/>
            </w:tcBorders>
            <w:vAlign w:val="center"/>
          </w:tcPr>
          <w:p w14:paraId="17CECCC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1.发现损坏或漏水的及时维修或粉刷。</w:t>
            </w:r>
          </w:p>
          <w:p w14:paraId="4A600DA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2.按房屋修缮规定实施维修。</w:t>
            </w:r>
          </w:p>
          <w:p w14:paraId="3D5F41C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3.对于外墙面大面积渗漏久修无效的，局部翻新以防止渗漏面积扩大。</w:t>
            </w:r>
          </w:p>
          <w:p w14:paraId="3835B69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4.外墙清洗必须使用绿色环保型清洁剂。</w:t>
            </w:r>
          </w:p>
        </w:tc>
        <w:tc>
          <w:tcPr>
            <w:tcW w:w="964" w:type="pct"/>
            <w:tcBorders>
              <w:top w:val="single" w:color="auto" w:sz="4" w:space="0"/>
              <w:left w:val="single" w:color="auto" w:sz="4" w:space="0"/>
              <w:bottom w:val="single" w:color="auto" w:sz="4" w:space="0"/>
              <w:right w:val="single" w:color="auto" w:sz="12" w:space="0"/>
            </w:tcBorders>
            <w:vAlign w:val="center"/>
          </w:tcPr>
          <w:p w14:paraId="2A2805E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无损坏和漏水。</w:t>
            </w:r>
          </w:p>
          <w:p w14:paraId="08F9E0F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幕墙玻璃无损坏。</w:t>
            </w:r>
          </w:p>
        </w:tc>
      </w:tr>
      <w:tr w14:paraId="2D07B7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vMerge w:val="continue"/>
            <w:tcBorders>
              <w:top w:val="single" w:color="auto" w:sz="4" w:space="0"/>
              <w:left w:val="single" w:color="auto" w:sz="12" w:space="0"/>
              <w:bottom w:val="single" w:color="auto" w:sz="4" w:space="0"/>
              <w:right w:val="single" w:color="auto" w:sz="4" w:space="0"/>
            </w:tcBorders>
            <w:vAlign w:val="center"/>
          </w:tcPr>
          <w:p w14:paraId="4F21BC37">
            <w:pPr>
              <w:kinsoku/>
              <w:overflowPunct w:val="0"/>
              <w:rPr>
                <w:rFonts w:ascii="方正仿宋_GB2312" w:hAnsi="方正仿宋_GB2312" w:eastAsia="方正仿宋_GB2312" w:cs="方正仿宋_GB2312"/>
                <w:sz w:val="24"/>
                <w:szCs w:val="24"/>
              </w:rPr>
            </w:pPr>
          </w:p>
        </w:tc>
        <w:tc>
          <w:tcPr>
            <w:tcW w:w="750" w:type="pct"/>
            <w:gridSpan w:val="2"/>
            <w:vMerge w:val="continue"/>
            <w:tcBorders>
              <w:top w:val="single" w:color="auto" w:sz="4" w:space="0"/>
              <w:left w:val="single" w:color="auto" w:sz="4" w:space="0"/>
              <w:bottom w:val="single" w:color="auto" w:sz="4" w:space="0"/>
              <w:right w:val="single" w:color="auto" w:sz="4" w:space="0"/>
            </w:tcBorders>
            <w:vAlign w:val="center"/>
          </w:tcPr>
          <w:p w14:paraId="1392AA5D">
            <w:pPr>
              <w:kinsoku/>
              <w:overflowPunct w:val="0"/>
              <w:rPr>
                <w:rFonts w:ascii="方正仿宋_GB2312" w:hAnsi="方正仿宋_GB2312" w:eastAsia="方正仿宋_GB2312" w:cs="方正仿宋_GB2312"/>
                <w:sz w:val="24"/>
                <w:szCs w:val="24"/>
              </w:rPr>
            </w:pPr>
          </w:p>
        </w:tc>
        <w:tc>
          <w:tcPr>
            <w:tcW w:w="403" w:type="pct"/>
            <w:tcBorders>
              <w:top w:val="single" w:color="auto" w:sz="4" w:space="0"/>
              <w:left w:val="single" w:color="auto" w:sz="4" w:space="0"/>
              <w:bottom w:val="single" w:color="auto" w:sz="4" w:space="0"/>
              <w:right w:val="single" w:color="auto" w:sz="4" w:space="0"/>
            </w:tcBorders>
            <w:vAlign w:val="center"/>
          </w:tcPr>
          <w:p w14:paraId="6D599AC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tc>
        <w:tc>
          <w:tcPr>
            <w:tcW w:w="1465" w:type="pct"/>
            <w:tcBorders>
              <w:top w:val="single" w:color="auto" w:sz="4" w:space="0"/>
              <w:left w:val="single" w:color="auto" w:sz="4" w:space="0"/>
              <w:bottom w:val="single" w:color="auto" w:sz="4" w:space="0"/>
              <w:right w:val="single" w:color="auto" w:sz="4" w:space="0"/>
            </w:tcBorders>
            <w:vAlign w:val="center"/>
          </w:tcPr>
          <w:p w14:paraId="77B3272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对外墙作全面检查。</w:t>
            </w:r>
          </w:p>
        </w:tc>
        <w:tc>
          <w:tcPr>
            <w:tcW w:w="1000" w:type="pct"/>
            <w:tcBorders>
              <w:top w:val="single" w:color="auto" w:sz="4" w:space="0"/>
              <w:left w:val="single" w:color="auto" w:sz="4" w:space="0"/>
              <w:bottom w:val="single" w:color="auto" w:sz="4" w:space="0"/>
              <w:right w:val="single" w:color="auto" w:sz="4" w:space="0"/>
            </w:tcBorders>
            <w:vAlign w:val="center"/>
          </w:tcPr>
          <w:p w14:paraId="54D1601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1.雨季时期对用户窗台进行密封维护检查，杜绝雨水侵入。</w:t>
            </w:r>
          </w:p>
          <w:p w14:paraId="7E61316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2.对于外墙面大面积渗漏久修无效的，局部翻新以防止渗漏面积扩大。</w:t>
            </w:r>
          </w:p>
        </w:tc>
        <w:tc>
          <w:tcPr>
            <w:tcW w:w="964" w:type="pct"/>
            <w:tcBorders>
              <w:top w:val="single" w:color="auto" w:sz="4" w:space="0"/>
              <w:left w:val="single" w:color="auto" w:sz="4" w:space="0"/>
              <w:bottom w:val="single" w:color="auto" w:sz="4" w:space="0"/>
              <w:right w:val="single" w:color="auto" w:sz="12" w:space="0"/>
            </w:tcBorders>
            <w:vAlign w:val="center"/>
          </w:tcPr>
          <w:p w14:paraId="4D6E025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保证大楼完好、整洁</w:t>
            </w:r>
          </w:p>
        </w:tc>
      </w:tr>
      <w:tr w14:paraId="19AF6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tcBorders>
              <w:top w:val="single" w:color="auto" w:sz="4" w:space="0"/>
              <w:left w:val="single" w:color="auto" w:sz="12" w:space="0"/>
              <w:bottom w:val="single" w:color="auto" w:sz="4" w:space="0"/>
              <w:right w:val="single" w:color="auto" w:sz="4" w:space="0"/>
            </w:tcBorders>
            <w:vAlign w:val="center"/>
          </w:tcPr>
          <w:p w14:paraId="02B5357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w:t>
            </w:r>
          </w:p>
        </w:tc>
        <w:tc>
          <w:tcPr>
            <w:tcW w:w="750" w:type="pct"/>
            <w:gridSpan w:val="2"/>
            <w:tcBorders>
              <w:top w:val="single" w:color="auto" w:sz="4" w:space="0"/>
              <w:left w:val="single" w:color="auto" w:sz="4" w:space="0"/>
              <w:bottom w:val="single" w:color="auto" w:sz="4" w:space="0"/>
              <w:right w:val="single" w:color="auto" w:sz="4" w:space="0"/>
            </w:tcBorders>
            <w:vAlign w:val="center"/>
          </w:tcPr>
          <w:p w14:paraId="1B595D0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地下室</w:t>
            </w:r>
          </w:p>
        </w:tc>
        <w:tc>
          <w:tcPr>
            <w:tcW w:w="403" w:type="pct"/>
            <w:tcBorders>
              <w:top w:val="single" w:color="auto" w:sz="4" w:space="0"/>
              <w:left w:val="single" w:color="auto" w:sz="4" w:space="0"/>
              <w:bottom w:val="single" w:color="auto" w:sz="4" w:space="0"/>
              <w:right w:val="single" w:color="auto" w:sz="4" w:space="0"/>
            </w:tcBorders>
            <w:vAlign w:val="center"/>
          </w:tcPr>
          <w:p w14:paraId="2C98DEA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每周检查</w:t>
            </w:r>
          </w:p>
        </w:tc>
        <w:tc>
          <w:tcPr>
            <w:tcW w:w="1465" w:type="pct"/>
            <w:tcBorders>
              <w:top w:val="single" w:color="auto" w:sz="4" w:space="0"/>
              <w:left w:val="single" w:color="auto" w:sz="4" w:space="0"/>
              <w:bottom w:val="single" w:color="auto" w:sz="4" w:space="0"/>
              <w:right w:val="single" w:color="auto" w:sz="4" w:space="0"/>
            </w:tcBorders>
            <w:vAlign w:val="center"/>
          </w:tcPr>
          <w:p w14:paraId="0E8D3F1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检查地下室天花、墙面和地板面有无起壳、脱落和渗漏水现象。</w:t>
            </w:r>
          </w:p>
        </w:tc>
        <w:tc>
          <w:tcPr>
            <w:tcW w:w="1000" w:type="pct"/>
            <w:tcBorders>
              <w:top w:val="single" w:color="auto" w:sz="4" w:space="0"/>
              <w:left w:val="single" w:color="auto" w:sz="4" w:space="0"/>
              <w:bottom w:val="single" w:color="auto" w:sz="4" w:space="0"/>
              <w:right w:val="single" w:color="auto" w:sz="4" w:space="0"/>
            </w:tcBorders>
            <w:vAlign w:val="center"/>
          </w:tcPr>
          <w:p w14:paraId="2A9CD59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1.发现问题及时修复。</w:t>
            </w:r>
          </w:p>
          <w:p w14:paraId="5D4A569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2.按房屋修缮规定实施维修。</w:t>
            </w:r>
          </w:p>
        </w:tc>
        <w:tc>
          <w:tcPr>
            <w:tcW w:w="964" w:type="pct"/>
            <w:tcBorders>
              <w:top w:val="single" w:color="auto" w:sz="4" w:space="0"/>
              <w:left w:val="single" w:color="auto" w:sz="4" w:space="0"/>
              <w:bottom w:val="single" w:color="auto" w:sz="4" w:space="0"/>
              <w:right w:val="single" w:color="auto" w:sz="12" w:space="0"/>
            </w:tcBorders>
            <w:vAlign w:val="center"/>
          </w:tcPr>
          <w:p w14:paraId="4783490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无渗漏水、起壳、脱落现象。</w:t>
            </w:r>
          </w:p>
        </w:tc>
      </w:tr>
      <w:tr w14:paraId="4C626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 w:type="pct"/>
            <w:tcBorders>
              <w:top w:val="single" w:color="auto" w:sz="4" w:space="0"/>
              <w:left w:val="single" w:color="auto" w:sz="12" w:space="0"/>
              <w:bottom w:val="single" w:color="auto" w:sz="4" w:space="0"/>
              <w:right w:val="single" w:color="auto" w:sz="4" w:space="0"/>
            </w:tcBorders>
            <w:vAlign w:val="center"/>
          </w:tcPr>
          <w:p w14:paraId="1F1DE7B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w:t>
            </w:r>
          </w:p>
        </w:tc>
        <w:tc>
          <w:tcPr>
            <w:tcW w:w="750" w:type="pct"/>
            <w:gridSpan w:val="2"/>
            <w:tcBorders>
              <w:top w:val="single" w:color="auto" w:sz="4" w:space="0"/>
              <w:left w:val="single" w:color="auto" w:sz="4" w:space="0"/>
              <w:bottom w:val="single" w:color="auto" w:sz="4" w:space="0"/>
              <w:right w:val="single" w:color="auto" w:sz="4" w:space="0"/>
            </w:tcBorders>
            <w:vAlign w:val="center"/>
          </w:tcPr>
          <w:p w14:paraId="6E0E3A4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门窗</w:t>
            </w:r>
          </w:p>
        </w:tc>
        <w:tc>
          <w:tcPr>
            <w:tcW w:w="403" w:type="pct"/>
            <w:tcBorders>
              <w:top w:val="single" w:color="auto" w:sz="4" w:space="0"/>
              <w:left w:val="single" w:color="auto" w:sz="4" w:space="0"/>
              <w:bottom w:val="single" w:color="auto" w:sz="4" w:space="0"/>
              <w:right w:val="single" w:color="auto" w:sz="4" w:space="0"/>
            </w:tcBorders>
            <w:vAlign w:val="center"/>
          </w:tcPr>
          <w:p w14:paraId="69263E6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每半月检查</w:t>
            </w:r>
          </w:p>
        </w:tc>
        <w:tc>
          <w:tcPr>
            <w:tcW w:w="1465" w:type="pct"/>
            <w:tcBorders>
              <w:top w:val="single" w:color="auto" w:sz="4" w:space="0"/>
              <w:left w:val="single" w:color="auto" w:sz="4" w:space="0"/>
              <w:bottom w:val="single" w:color="auto" w:sz="4" w:space="0"/>
              <w:right w:val="single" w:color="auto" w:sz="4" w:space="0"/>
            </w:tcBorders>
            <w:vAlign w:val="center"/>
          </w:tcPr>
          <w:p w14:paraId="63B603F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1．检查木门门扇有无松动、下垂、翘曲变形、霉变和腐朽。</w:t>
            </w:r>
          </w:p>
          <w:p w14:paraId="2564F07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2．(塑)钢门窗、铝合金门窗有无变形、生锈。</w:t>
            </w:r>
          </w:p>
        </w:tc>
        <w:tc>
          <w:tcPr>
            <w:tcW w:w="1000" w:type="pct"/>
            <w:tcBorders>
              <w:top w:val="single" w:color="auto" w:sz="4" w:space="0"/>
              <w:left w:val="single" w:color="auto" w:sz="4" w:space="0"/>
              <w:bottom w:val="single" w:color="auto" w:sz="4" w:space="0"/>
              <w:right w:val="single" w:color="auto" w:sz="4" w:space="0"/>
            </w:tcBorders>
            <w:vAlign w:val="center"/>
          </w:tcPr>
          <w:p w14:paraId="7ED8EC1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1.门转轴或摩擦磨损部位加润滑油。</w:t>
            </w:r>
          </w:p>
          <w:p w14:paraId="606F9F2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2.发现问题及时修复。</w:t>
            </w:r>
          </w:p>
        </w:tc>
        <w:tc>
          <w:tcPr>
            <w:tcW w:w="964" w:type="pct"/>
            <w:tcBorders>
              <w:top w:val="single" w:color="auto" w:sz="4" w:space="0"/>
              <w:left w:val="single" w:color="auto" w:sz="4" w:space="0"/>
              <w:bottom w:val="single" w:color="auto" w:sz="4" w:space="0"/>
              <w:right w:val="single" w:color="auto" w:sz="12" w:space="0"/>
            </w:tcBorders>
            <w:vAlign w:val="center"/>
          </w:tcPr>
          <w:p w14:paraId="6367045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木门无松动、下垂、霉变和腐朽；门窗无变形、生锈。</w:t>
            </w:r>
          </w:p>
        </w:tc>
      </w:tr>
    </w:tbl>
    <w:p w14:paraId="469E497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3.共用设备管理与维修养护标准如下：</w:t>
      </w:r>
    </w:p>
    <w:p w14:paraId="6E0164B2">
      <w:pPr>
        <w:kinsoku/>
        <w:overflowPunct w:val="0"/>
        <w:ind w:firstLine="480" w:firstLineChars="200"/>
        <w:jc w:val="both"/>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（1）供配电系统</w:t>
      </w:r>
    </w:p>
    <w:tbl>
      <w:tblPr>
        <w:tblStyle w:val="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876"/>
        <w:gridCol w:w="4764"/>
        <w:gridCol w:w="2007"/>
      </w:tblGrid>
      <w:tr w14:paraId="685492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tcBorders>
              <w:top w:val="single" w:color="auto" w:sz="12" w:space="0"/>
              <w:left w:val="single" w:color="auto" w:sz="12" w:space="0"/>
              <w:bottom w:val="single" w:color="auto" w:sz="4" w:space="0"/>
              <w:right w:val="single" w:color="auto" w:sz="4" w:space="0"/>
            </w:tcBorders>
            <w:shd w:val="clear" w:color="auto" w:fill="E6E6E6"/>
            <w:vAlign w:val="center"/>
          </w:tcPr>
          <w:p w14:paraId="6151E14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455" w:type="pct"/>
            <w:tcBorders>
              <w:top w:val="single" w:color="auto" w:sz="12" w:space="0"/>
              <w:left w:val="single" w:color="auto" w:sz="4" w:space="0"/>
              <w:bottom w:val="single" w:color="auto" w:sz="4" w:space="0"/>
              <w:right w:val="single" w:color="auto" w:sz="4" w:space="0"/>
            </w:tcBorders>
            <w:shd w:val="clear" w:color="auto" w:fill="E6E6E6"/>
            <w:vAlign w:val="center"/>
          </w:tcPr>
          <w:p w14:paraId="7DA7B91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频次</w:t>
            </w:r>
          </w:p>
        </w:tc>
        <w:tc>
          <w:tcPr>
            <w:tcW w:w="2854" w:type="pct"/>
            <w:tcBorders>
              <w:top w:val="single" w:color="auto" w:sz="12" w:space="0"/>
              <w:left w:val="single" w:color="auto" w:sz="4" w:space="0"/>
              <w:bottom w:val="single" w:color="auto" w:sz="4" w:space="0"/>
              <w:right w:val="single" w:color="auto" w:sz="4" w:space="0"/>
            </w:tcBorders>
            <w:shd w:val="clear" w:color="auto" w:fill="E6E6E6"/>
            <w:vAlign w:val="center"/>
          </w:tcPr>
          <w:p w14:paraId="2AE103B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内容</w:t>
            </w:r>
          </w:p>
        </w:tc>
        <w:tc>
          <w:tcPr>
            <w:tcW w:w="1237" w:type="pct"/>
            <w:tcBorders>
              <w:top w:val="single" w:color="auto" w:sz="12" w:space="0"/>
              <w:left w:val="single" w:color="auto" w:sz="4" w:space="0"/>
              <w:bottom w:val="single" w:color="auto" w:sz="4" w:space="0"/>
              <w:right w:val="single" w:color="auto" w:sz="12" w:space="0"/>
            </w:tcBorders>
            <w:shd w:val="clear" w:color="auto" w:fill="E6E6E6"/>
            <w:vAlign w:val="center"/>
          </w:tcPr>
          <w:p w14:paraId="527E497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具体要求</w:t>
            </w:r>
          </w:p>
        </w:tc>
      </w:tr>
      <w:tr w14:paraId="2115D2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restart"/>
            <w:tcBorders>
              <w:top w:val="single" w:color="auto" w:sz="4" w:space="0"/>
              <w:left w:val="single" w:color="auto" w:sz="12" w:space="0"/>
              <w:bottom w:val="single" w:color="auto" w:sz="4" w:space="0"/>
              <w:right w:val="single" w:color="auto" w:sz="4" w:space="0"/>
            </w:tcBorders>
            <w:vAlign w:val="center"/>
          </w:tcPr>
          <w:p w14:paraId="0F0C881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高压环网柜</w:t>
            </w:r>
          </w:p>
        </w:tc>
        <w:tc>
          <w:tcPr>
            <w:tcW w:w="455" w:type="pct"/>
            <w:tcBorders>
              <w:top w:val="single" w:color="auto" w:sz="4" w:space="0"/>
              <w:left w:val="single" w:color="auto" w:sz="4" w:space="0"/>
              <w:bottom w:val="single" w:color="auto" w:sz="4" w:space="0"/>
              <w:right w:val="single" w:color="auto" w:sz="4" w:space="0"/>
            </w:tcBorders>
            <w:vAlign w:val="center"/>
          </w:tcPr>
          <w:p w14:paraId="3362FEB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1BCAF84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1367D1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1.每月清理外部灰尘；</w:t>
            </w:r>
          </w:p>
          <w:p w14:paraId="4CB066B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2.每日检查外观是否良好，有无异声；</w:t>
            </w:r>
          </w:p>
          <w:p w14:paraId="1D73F57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3.指示灯是否完好；</w:t>
            </w:r>
          </w:p>
          <w:p w14:paraId="7813BE9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4.警示标识挂设位置是否正确。</w:t>
            </w:r>
          </w:p>
        </w:tc>
        <w:tc>
          <w:tcPr>
            <w:tcW w:w="1237" w:type="pct"/>
            <w:tcBorders>
              <w:top w:val="single" w:color="auto" w:sz="4" w:space="0"/>
              <w:left w:val="single" w:color="auto" w:sz="4" w:space="0"/>
              <w:bottom w:val="single" w:color="auto" w:sz="4" w:space="0"/>
              <w:right w:val="single" w:color="auto" w:sz="12" w:space="0"/>
            </w:tcBorders>
            <w:vAlign w:val="center"/>
          </w:tcPr>
          <w:p w14:paraId="13A5A56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外观整洁，指示灯完好，标示位置正确</w:t>
            </w:r>
          </w:p>
        </w:tc>
      </w:tr>
      <w:tr w14:paraId="26DE86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4" w:space="0"/>
              <w:right w:val="single" w:color="auto" w:sz="4" w:space="0"/>
            </w:tcBorders>
            <w:vAlign w:val="center"/>
          </w:tcPr>
          <w:p w14:paraId="7BFAB53C">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476B71E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每半年一次</w:t>
            </w:r>
          </w:p>
        </w:tc>
        <w:tc>
          <w:tcPr>
            <w:tcW w:w="2854" w:type="pct"/>
            <w:tcBorders>
              <w:top w:val="single" w:color="auto" w:sz="4" w:space="0"/>
              <w:left w:val="single" w:color="auto" w:sz="4" w:space="0"/>
              <w:bottom w:val="single" w:color="auto" w:sz="4" w:space="0"/>
              <w:right w:val="single" w:color="auto" w:sz="4" w:space="0"/>
            </w:tcBorders>
            <w:vAlign w:val="center"/>
          </w:tcPr>
          <w:p w14:paraId="12EBC0E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1.检查操作机构是否灵活、互锁机构是否正确；</w:t>
            </w:r>
          </w:p>
          <w:p w14:paraId="25AEA52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2.检测接地电阻、连接点是否可靠；</w:t>
            </w:r>
          </w:p>
          <w:p w14:paraId="2CEE0EC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3.检查电源接线装置，并紧固螺丝。</w:t>
            </w:r>
          </w:p>
        </w:tc>
        <w:tc>
          <w:tcPr>
            <w:tcW w:w="1237" w:type="pct"/>
            <w:tcBorders>
              <w:top w:val="single" w:color="auto" w:sz="4" w:space="0"/>
              <w:left w:val="single" w:color="auto" w:sz="4" w:space="0"/>
              <w:bottom w:val="single" w:color="auto" w:sz="4" w:space="0"/>
              <w:right w:val="single" w:color="auto" w:sz="12" w:space="0"/>
            </w:tcBorders>
            <w:vAlign w:val="center"/>
          </w:tcPr>
          <w:p w14:paraId="7EC2B88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阻值符合规范，线头紧固，操作机构灵活</w:t>
            </w:r>
          </w:p>
        </w:tc>
      </w:tr>
      <w:tr w14:paraId="7F55E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restart"/>
            <w:tcBorders>
              <w:top w:val="single" w:color="auto" w:sz="4" w:space="0"/>
              <w:left w:val="single" w:color="auto" w:sz="12" w:space="0"/>
              <w:bottom w:val="single" w:color="auto" w:sz="4" w:space="0"/>
              <w:right w:val="single" w:color="auto" w:sz="4" w:space="0"/>
            </w:tcBorders>
            <w:vAlign w:val="center"/>
          </w:tcPr>
          <w:p w14:paraId="17BF500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变压</w:t>
            </w:r>
          </w:p>
          <w:p w14:paraId="37CEA0B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器</w:t>
            </w:r>
          </w:p>
        </w:tc>
        <w:tc>
          <w:tcPr>
            <w:tcW w:w="455" w:type="pct"/>
            <w:tcBorders>
              <w:top w:val="single" w:color="auto" w:sz="4" w:space="0"/>
              <w:left w:val="single" w:color="auto" w:sz="4" w:space="0"/>
              <w:bottom w:val="single" w:color="auto" w:sz="4" w:space="0"/>
              <w:right w:val="single" w:color="auto" w:sz="4" w:space="0"/>
            </w:tcBorders>
            <w:vAlign w:val="center"/>
          </w:tcPr>
          <w:p w14:paraId="34CFF0F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2EDEFF2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260531A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1.每日检查温控器显示、有无异声异味是否正常；</w:t>
            </w:r>
          </w:p>
          <w:p w14:paraId="4EC5B6F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2.检查变压器电压、电流是否在额定范围内；并作好运行记录，归档。</w:t>
            </w:r>
          </w:p>
        </w:tc>
        <w:tc>
          <w:tcPr>
            <w:tcW w:w="1237" w:type="pct"/>
            <w:tcBorders>
              <w:top w:val="single" w:color="auto" w:sz="4" w:space="0"/>
              <w:left w:val="single" w:color="auto" w:sz="4" w:space="0"/>
              <w:bottom w:val="single" w:color="auto" w:sz="4" w:space="0"/>
              <w:right w:val="single" w:color="auto" w:sz="12" w:space="0"/>
            </w:tcBorders>
            <w:vAlign w:val="center"/>
          </w:tcPr>
          <w:p w14:paraId="41F2A19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各项正常</w:t>
            </w:r>
          </w:p>
        </w:tc>
      </w:tr>
      <w:tr w14:paraId="415B9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4" w:space="0"/>
              <w:right w:val="single" w:color="auto" w:sz="4" w:space="0"/>
            </w:tcBorders>
            <w:vAlign w:val="center"/>
          </w:tcPr>
          <w:p w14:paraId="5124EF4E">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46F723D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p w14:paraId="2FC2AB1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7B4F81A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1.清扫变压器外壳；</w:t>
            </w:r>
          </w:p>
          <w:p w14:paraId="6B6E93F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2.紧固变压器引出线的接头，如发现接头烧伤或过热的痕迹，应进行整修处理并重新接好；</w:t>
            </w:r>
          </w:p>
          <w:p w14:paraId="1ECC9F0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3.检查变压器的接地线是否良好，地线是否被腐蚀，腐蚀严重时应更换地线；</w:t>
            </w:r>
          </w:p>
          <w:p w14:paraId="6C618BF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4.年初向采购人申报，委托专业检测机构对区内所有变压器进行测试、试验等项目的维修保养，并将结果记录并归档。</w:t>
            </w:r>
          </w:p>
        </w:tc>
        <w:tc>
          <w:tcPr>
            <w:tcW w:w="1237" w:type="pct"/>
            <w:tcBorders>
              <w:top w:val="single" w:color="auto" w:sz="4" w:space="0"/>
              <w:left w:val="single" w:color="auto" w:sz="4" w:space="0"/>
              <w:bottom w:val="single" w:color="auto" w:sz="4" w:space="0"/>
              <w:right w:val="single" w:color="auto" w:sz="12" w:space="0"/>
            </w:tcBorders>
            <w:vAlign w:val="center"/>
          </w:tcPr>
          <w:p w14:paraId="38277F1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外观干净整洁；</w:t>
            </w:r>
          </w:p>
          <w:p w14:paraId="7585D08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运行状态良好；</w:t>
            </w:r>
          </w:p>
          <w:p w14:paraId="7892ADC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保证供电质量；</w:t>
            </w:r>
          </w:p>
          <w:p w14:paraId="1DB7E8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连接部位无松动、过热现象；</w:t>
            </w:r>
          </w:p>
          <w:p w14:paraId="2A5DF95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绝缘子无松动、破损。</w:t>
            </w:r>
          </w:p>
        </w:tc>
      </w:tr>
      <w:tr w14:paraId="0EF8B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restart"/>
            <w:tcBorders>
              <w:top w:val="single" w:color="auto" w:sz="4" w:space="0"/>
              <w:left w:val="single" w:color="auto" w:sz="12" w:space="0"/>
              <w:bottom w:val="single" w:color="auto" w:sz="4" w:space="0"/>
              <w:right w:val="single" w:color="auto" w:sz="4" w:space="0"/>
            </w:tcBorders>
            <w:vAlign w:val="center"/>
          </w:tcPr>
          <w:p w14:paraId="046DFBC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配电屏</w:t>
            </w:r>
          </w:p>
          <w:p w14:paraId="549114E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电容器屏</w:t>
            </w:r>
          </w:p>
        </w:tc>
        <w:tc>
          <w:tcPr>
            <w:tcW w:w="455" w:type="pct"/>
            <w:tcBorders>
              <w:top w:val="single" w:color="auto" w:sz="4" w:space="0"/>
              <w:left w:val="single" w:color="auto" w:sz="4" w:space="0"/>
              <w:bottom w:val="single" w:color="auto" w:sz="4" w:space="0"/>
              <w:right w:val="single" w:color="auto" w:sz="4" w:space="0"/>
            </w:tcBorders>
            <w:vAlign w:val="center"/>
          </w:tcPr>
          <w:p w14:paraId="0FA9A1B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4580E8D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7BA68E1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1.清洁卫生；</w:t>
            </w:r>
          </w:p>
          <w:p w14:paraId="08EA5DD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2.检查外观是否完好，指示灯是否显示正常，电压、电流是否正常，三相负荷是否平衡，有无异声、异味。</w:t>
            </w:r>
          </w:p>
          <w:p w14:paraId="6659C1D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3.检查开关是否在正确位置，标示是否清楚；</w:t>
            </w:r>
          </w:p>
          <w:p w14:paraId="5B28034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4.检查无功补偿设备工作是否正常，功率因数是否达到要求。检查电容器、熔断器是否过热， 熔断；</w:t>
            </w:r>
          </w:p>
          <w:p w14:paraId="34489A6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5.检查开关触头接触是否良好，有无短路、过载现象；</w:t>
            </w:r>
          </w:p>
          <w:p w14:paraId="52C3D98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6.检查电力监控系统监控模块工作是否正常。</w:t>
            </w:r>
          </w:p>
        </w:tc>
        <w:tc>
          <w:tcPr>
            <w:tcW w:w="1237" w:type="pct"/>
            <w:tcBorders>
              <w:top w:val="single" w:color="auto" w:sz="4" w:space="0"/>
              <w:left w:val="single" w:color="auto" w:sz="4" w:space="0"/>
              <w:bottom w:val="single" w:color="auto" w:sz="4" w:space="0"/>
              <w:right w:val="single" w:color="auto" w:sz="12" w:space="0"/>
            </w:tcBorders>
            <w:vAlign w:val="center"/>
          </w:tcPr>
          <w:p w14:paraId="3804A61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设备卫生、标示清楚、设备运行正常</w:t>
            </w:r>
          </w:p>
        </w:tc>
      </w:tr>
      <w:tr w14:paraId="19583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4" w:space="0"/>
              <w:right w:val="single" w:color="auto" w:sz="4" w:space="0"/>
            </w:tcBorders>
            <w:vAlign w:val="center"/>
          </w:tcPr>
          <w:p w14:paraId="2EC2C95A">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0E5B099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p w14:paraId="4FD99B1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2091F3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1.清洁卫生；</w:t>
            </w:r>
          </w:p>
          <w:p w14:paraId="52C896E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2.紧固螺丝，调整接触点隙，更换打磨烧坏的动静触头；</w:t>
            </w:r>
          </w:p>
          <w:p w14:paraId="10D89E1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3.若有过载现象，应更换容量大的配电设备。</w:t>
            </w:r>
          </w:p>
        </w:tc>
        <w:tc>
          <w:tcPr>
            <w:tcW w:w="1237" w:type="pct"/>
            <w:tcBorders>
              <w:top w:val="single" w:color="auto" w:sz="4" w:space="0"/>
              <w:left w:val="single" w:color="auto" w:sz="4" w:space="0"/>
              <w:bottom w:val="single" w:color="auto" w:sz="4" w:space="0"/>
              <w:right w:val="single" w:color="auto" w:sz="12" w:space="0"/>
            </w:tcBorders>
            <w:vAlign w:val="center"/>
          </w:tcPr>
          <w:p w14:paraId="26D0EA0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设备卫生，开关状态良好。</w:t>
            </w:r>
          </w:p>
        </w:tc>
      </w:tr>
      <w:tr w14:paraId="1B3A94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4" w:space="0"/>
              <w:right w:val="single" w:color="auto" w:sz="4" w:space="0"/>
            </w:tcBorders>
            <w:vAlign w:val="center"/>
          </w:tcPr>
          <w:p w14:paraId="0F2CBCBD">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13BE91B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21DBDD1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2C65A5B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1.重复上述检查；</w:t>
            </w:r>
          </w:p>
          <w:p w14:paraId="1D9F115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2.检测接地电阻；</w:t>
            </w:r>
          </w:p>
          <w:p w14:paraId="02D8F5A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3.测试过流保护装置、联锁装置是否可靠。</w:t>
            </w:r>
          </w:p>
        </w:tc>
        <w:tc>
          <w:tcPr>
            <w:tcW w:w="1237" w:type="pct"/>
            <w:tcBorders>
              <w:top w:val="single" w:color="auto" w:sz="4" w:space="0"/>
              <w:left w:val="single" w:color="auto" w:sz="4" w:space="0"/>
              <w:bottom w:val="single" w:color="auto" w:sz="4" w:space="0"/>
              <w:right w:val="single" w:color="auto" w:sz="12" w:space="0"/>
            </w:tcBorders>
            <w:vAlign w:val="center"/>
          </w:tcPr>
          <w:p w14:paraId="7B98C19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1.屏内清洁无杂物,连接件无松动,无发热变色,仪表等附件完好无损；</w:t>
            </w:r>
          </w:p>
          <w:p w14:paraId="4F863E4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2.动力配电系统运行安全可靠。</w:t>
            </w:r>
          </w:p>
        </w:tc>
      </w:tr>
      <w:tr w14:paraId="528DC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tcBorders>
              <w:top w:val="single" w:color="auto" w:sz="4" w:space="0"/>
              <w:left w:val="single" w:color="auto" w:sz="12" w:space="0"/>
              <w:bottom w:val="single" w:color="auto" w:sz="4" w:space="0"/>
              <w:right w:val="single" w:color="auto" w:sz="4" w:space="0"/>
            </w:tcBorders>
            <w:vAlign w:val="center"/>
          </w:tcPr>
          <w:p w14:paraId="69E7BCC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照明器具</w:t>
            </w:r>
          </w:p>
        </w:tc>
        <w:tc>
          <w:tcPr>
            <w:tcW w:w="455" w:type="pct"/>
            <w:tcBorders>
              <w:top w:val="single" w:color="auto" w:sz="4" w:space="0"/>
              <w:left w:val="single" w:color="auto" w:sz="4" w:space="0"/>
              <w:bottom w:val="single" w:color="auto" w:sz="4" w:space="0"/>
              <w:right w:val="single" w:color="auto" w:sz="4" w:space="0"/>
            </w:tcBorders>
            <w:vAlign w:val="center"/>
          </w:tcPr>
          <w:p w14:paraId="173F6E6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6B81DC4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55451B7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1.照明器具的清洁卫生；</w:t>
            </w:r>
          </w:p>
          <w:p w14:paraId="1BA1D79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2.检查外观是否良好，有无异声；</w:t>
            </w:r>
          </w:p>
          <w:p w14:paraId="5ABCD55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3.检查灯具照度的均匀度；如有异常，马上处理；</w:t>
            </w:r>
          </w:p>
          <w:p w14:paraId="4BD8D8D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4.调整照明器具亮度，节约能源；</w:t>
            </w:r>
          </w:p>
          <w:p w14:paraId="0879EA4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5.更换过热、故障配件、避免短路现象；</w:t>
            </w:r>
          </w:p>
          <w:p w14:paraId="2DB27C1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6.根据季节和要求合理调整灯光工程的开机时间。</w:t>
            </w:r>
          </w:p>
        </w:tc>
        <w:tc>
          <w:tcPr>
            <w:tcW w:w="1237" w:type="pct"/>
            <w:tcBorders>
              <w:top w:val="single" w:color="auto" w:sz="4" w:space="0"/>
              <w:left w:val="single" w:color="auto" w:sz="4" w:space="0"/>
              <w:bottom w:val="single" w:color="auto" w:sz="4" w:space="0"/>
              <w:right w:val="single" w:color="auto" w:sz="12" w:space="0"/>
            </w:tcBorders>
            <w:vAlign w:val="center"/>
          </w:tcPr>
          <w:p w14:paraId="0E6F8CC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灯具卫生，工作正常。</w:t>
            </w:r>
          </w:p>
        </w:tc>
      </w:tr>
      <w:tr w14:paraId="7D8789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restart"/>
            <w:tcBorders>
              <w:top w:val="single" w:color="auto" w:sz="4" w:space="0"/>
              <w:left w:val="single" w:color="auto" w:sz="12" w:space="0"/>
              <w:bottom w:val="single" w:color="auto" w:sz="4" w:space="0"/>
              <w:right w:val="single" w:color="auto" w:sz="4" w:space="0"/>
            </w:tcBorders>
            <w:vAlign w:val="center"/>
          </w:tcPr>
          <w:p w14:paraId="4A48FBC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供电线路</w:t>
            </w:r>
          </w:p>
        </w:tc>
        <w:tc>
          <w:tcPr>
            <w:tcW w:w="455" w:type="pct"/>
            <w:tcBorders>
              <w:top w:val="single" w:color="auto" w:sz="4" w:space="0"/>
              <w:left w:val="single" w:color="auto" w:sz="4" w:space="0"/>
              <w:bottom w:val="single" w:color="auto" w:sz="4" w:space="0"/>
              <w:right w:val="single" w:color="auto" w:sz="4" w:space="0"/>
            </w:tcBorders>
            <w:vAlign w:val="center"/>
          </w:tcPr>
          <w:p w14:paraId="6EA2889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23BB9E7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55C7926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1.清洁卫生；</w:t>
            </w:r>
          </w:p>
          <w:p w14:paraId="19987B5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2.清楚环境无积水、杂物；</w:t>
            </w:r>
          </w:p>
          <w:p w14:paraId="1D2806C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3.供电电缆标示是否清晰、脱落,如有马上处理；</w:t>
            </w:r>
          </w:p>
          <w:p w14:paraId="5A55FAA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4.检查线路有无过热现象、进出线路接线装置是否完好。</w:t>
            </w:r>
          </w:p>
        </w:tc>
        <w:tc>
          <w:tcPr>
            <w:tcW w:w="1237" w:type="pct"/>
            <w:tcBorders>
              <w:top w:val="single" w:color="auto" w:sz="4" w:space="0"/>
              <w:left w:val="single" w:color="auto" w:sz="4" w:space="0"/>
              <w:bottom w:val="single" w:color="auto" w:sz="4" w:space="0"/>
              <w:right w:val="single" w:color="auto" w:sz="12" w:space="0"/>
            </w:tcBorders>
            <w:vAlign w:val="center"/>
          </w:tcPr>
          <w:p w14:paraId="158501A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线路无过热现象，接线装置紧固，标示清晰。</w:t>
            </w:r>
          </w:p>
        </w:tc>
      </w:tr>
      <w:tr w14:paraId="588BAD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4" w:space="0"/>
              <w:right w:val="single" w:color="auto" w:sz="4" w:space="0"/>
            </w:tcBorders>
            <w:vAlign w:val="center"/>
          </w:tcPr>
          <w:p w14:paraId="509D1C61">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71EDC7C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1594BE6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52C7A19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1.用仪表检测线路绝缘电阻；</w:t>
            </w:r>
          </w:p>
          <w:p w14:paraId="43FB207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2.对金属支架、电缆套管涂防锈漆或沥青。</w:t>
            </w:r>
          </w:p>
        </w:tc>
        <w:tc>
          <w:tcPr>
            <w:tcW w:w="1237" w:type="pct"/>
            <w:tcBorders>
              <w:top w:val="single" w:color="auto" w:sz="4" w:space="0"/>
              <w:left w:val="single" w:color="auto" w:sz="4" w:space="0"/>
              <w:bottom w:val="single" w:color="auto" w:sz="4" w:space="0"/>
              <w:right w:val="single" w:color="auto" w:sz="12" w:space="0"/>
            </w:tcBorders>
            <w:vAlign w:val="center"/>
          </w:tcPr>
          <w:p w14:paraId="4530D9D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阻值符合规范，</w:t>
            </w:r>
          </w:p>
          <w:p w14:paraId="193ABF6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无锈蚀。</w:t>
            </w:r>
          </w:p>
        </w:tc>
      </w:tr>
      <w:tr w14:paraId="6BC2DD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restart"/>
            <w:tcBorders>
              <w:top w:val="single" w:color="auto" w:sz="4" w:space="0"/>
              <w:left w:val="single" w:color="auto" w:sz="12" w:space="0"/>
              <w:bottom w:val="single" w:color="auto" w:sz="12" w:space="0"/>
              <w:right w:val="single" w:color="auto" w:sz="4" w:space="0"/>
            </w:tcBorders>
            <w:vAlign w:val="center"/>
          </w:tcPr>
          <w:p w14:paraId="4374EEB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柴油</w:t>
            </w:r>
          </w:p>
          <w:p w14:paraId="0261959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发电</w:t>
            </w:r>
          </w:p>
          <w:p w14:paraId="7BCFF69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w:t>
            </w:r>
          </w:p>
        </w:tc>
        <w:tc>
          <w:tcPr>
            <w:tcW w:w="455" w:type="pct"/>
            <w:tcBorders>
              <w:top w:val="single" w:color="auto" w:sz="4" w:space="0"/>
              <w:left w:val="single" w:color="auto" w:sz="4" w:space="0"/>
              <w:bottom w:val="single" w:color="auto" w:sz="4" w:space="0"/>
              <w:right w:val="single" w:color="auto" w:sz="4" w:space="0"/>
            </w:tcBorders>
            <w:vAlign w:val="center"/>
          </w:tcPr>
          <w:p w14:paraId="1553A4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08F2300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71A27C4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1.保持机房、设备清洁；检查润滑油位、冷却水位、燃油量、蓄电池电位和传动皮带，排烟、空气系统、控制系统是否正常。</w:t>
            </w:r>
          </w:p>
          <w:p w14:paraId="4F922A8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2.外观检查发动机有无损坏、渗漏、皮带是否松驰或磨损；</w:t>
            </w:r>
          </w:p>
          <w:p w14:paraId="085FC29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3.每月四次试运行，15-20分钟/次，观察油压、水温、电压等是否正常；</w:t>
            </w:r>
          </w:p>
          <w:p w14:paraId="34EEFE2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4.蓄电池电池液高于极板15-20MM，节点螺丝紧固。</w:t>
            </w:r>
          </w:p>
        </w:tc>
        <w:tc>
          <w:tcPr>
            <w:tcW w:w="1237" w:type="pct"/>
            <w:tcBorders>
              <w:top w:val="single" w:color="auto" w:sz="4" w:space="0"/>
              <w:left w:val="single" w:color="auto" w:sz="4" w:space="0"/>
              <w:bottom w:val="single" w:color="auto" w:sz="4" w:space="0"/>
              <w:right w:val="single" w:color="auto" w:sz="12" w:space="0"/>
            </w:tcBorders>
            <w:vAlign w:val="center"/>
          </w:tcPr>
          <w:p w14:paraId="7A04A3F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设备清洁、正常有效。</w:t>
            </w:r>
          </w:p>
        </w:tc>
      </w:tr>
      <w:tr w14:paraId="18131A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12" w:space="0"/>
              <w:right w:val="single" w:color="auto" w:sz="4" w:space="0"/>
            </w:tcBorders>
            <w:vAlign w:val="center"/>
          </w:tcPr>
          <w:p w14:paraId="2A5BD3EE">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245F5E2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半年</w:t>
            </w:r>
          </w:p>
          <w:p w14:paraId="488B293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709DBA2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1.检查发动机绕组对地绝缘电阻；</w:t>
            </w:r>
          </w:p>
          <w:p w14:paraId="1B2C92B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2.检查配电柜、控制屏接头是否拧紧,各类传感信号正常；</w:t>
            </w:r>
          </w:p>
          <w:p w14:paraId="3D3E772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3.设备整体除尘清洁。</w:t>
            </w:r>
          </w:p>
        </w:tc>
        <w:tc>
          <w:tcPr>
            <w:tcW w:w="1237" w:type="pct"/>
            <w:tcBorders>
              <w:top w:val="single" w:color="auto" w:sz="4" w:space="0"/>
              <w:left w:val="single" w:color="auto" w:sz="4" w:space="0"/>
              <w:bottom w:val="single" w:color="auto" w:sz="4" w:space="0"/>
              <w:right w:val="single" w:color="auto" w:sz="12" w:space="0"/>
            </w:tcBorders>
            <w:vAlign w:val="center"/>
          </w:tcPr>
          <w:p w14:paraId="40F1296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阻值合格、接头无松动、信号正确。</w:t>
            </w:r>
          </w:p>
        </w:tc>
      </w:tr>
      <w:tr w14:paraId="35C6D0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12" w:space="0"/>
              <w:right w:val="single" w:color="auto" w:sz="4" w:space="0"/>
            </w:tcBorders>
            <w:vAlign w:val="center"/>
          </w:tcPr>
          <w:p w14:paraId="6ED58ADA">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53EAEBB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10EAE9D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4" w:space="0"/>
              <w:right w:val="single" w:color="auto" w:sz="4" w:space="0"/>
            </w:tcBorders>
            <w:vAlign w:val="center"/>
          </w:tcPr>
          <w:p w14:paraId="48AC50C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1.清洗调整气门及喷油嘴，调整皮带张紧轮、水泵后部张紧轮；</w:t>
            </w:r>
          </w:p>
          <w:p w14:paraId="50491A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2.视运行时间而定更换机油、润滑油、机油滤清器、燃油过滤器和空气过滤器。</w:t>
            </w:r>
          </w:p>
        </w:tc>
        <w:tc>
          <w:tcPr>
            <w:tcW w:w="1237" w:type="pct"/>
            <w:tcBorders>
              <w:top w:val="single" w:color="auto" w:sz="4" w:space="0"/>
              <w:left w:val="single" w:color="auto" w:sz="4" w:space="0"/>
              <w:bottom w:val="single" w:color="auto" w:sz="4" w:space="0"/>
              <w:right w:val="single" w:color="auto" w:sz="12" w:space="0"/>
            </w:tcBorders>
            <w:vAlign w:val="center"/>
          </w:tcPr>
          <w:p w14:paraId="5C9A2E0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皮带无破损和打滑现象，更换存在缺陷的配件。</w:t>
            </w:r>
          </w:p>
        </w:tc>
      </w:tr>
      <w:tr w14:paraId="321BC2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2" w:type="pct"/>
            <w:vMerge w:val="continue"/>
            <w:tcBorders>
              <w:top w:val="single" w:color="auto" w:sz="4" w:space="0"/>
              <w:left w:val="single" w:color="auto" w:sz="12" w:space="0"/>
              <w:bottom w:val="single" w:color="auto" w:sz="12" w:space="0"/>
              <w:right w:val="single" w:color="auto" w:sz="4" w:space="0"/>
            </w:tcBorders>
            <w:vAlign w:val="center"/>
          </w:tcPr>
          <w:p w14:paraId="1B126E04">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12" w:space="0"/>
              <w:right w:val="single" w:color="auto" w:sz="4" w:space="0"/>
            </w:tcBorders>
            <w:vAlign w:val="center"/>
          </w:tcPr>
          <w:p w14:paraId="165CB83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二年</w:t>
            </w:r>
          </w:p>
          <w:p w14:paraId="62E0D94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854" w:type="pct"/>
            <w:tcBorders>
              <w:top w:val="single" w:color="auto" w:sz="4" w:space="0"/>
              <w:left w:val="single" w:color="auto" w:sz="4" w:space="0"/>
              <w:bottom w:val="single" w:color="auto" w:sz="12" w:space="0"/>
              <w:right w:val="single" w:color="auto" w:sz="4" w:space="0"/>
            </w:tcBorders>
            <w:vAlign w:val="center"/>
          </w:tcPr>
          <w:p w14:paraId="66B8DD5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1.清洗校准油嘴、燃油泵及控制器系统；</w:t>
            </w:r>
          </w:p>
          <w:p w14:paraId="1319FFC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2.检查风扇、水泵、皮带、轴承；</w:t>
            </w:r>
          </w:p>
          <w:p w14:paraId="5E26E7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3.检查机油泵、燃油泵、冷却水泵，并清洗水箱；</w:t>
            </w:r>
          </w:p>
          <w:p w14:paraId="2254E8F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4.更换各类易损件。</w:t>
            </w:r>
          </w:p>
        </w:tc>
        <w:tc>
          <w:tcPr>
            <w:tcW w:w="1237" w:type="pct"/>
            <w:tcBorders>
              <w:top w:val="single" w:color="auto" w:sz="4" w:space="0"/>
              <w:left w:val="single" w:color="auto" w:sz="4" w:space="0"/>
              <w:bottom w:val="single" w:color="auto" w:sz="12" w:space="0"/>
              <w:right w:val="single" w:color="auto" w:sz="12" w:space="0"/>
            </w:tcBorders>
            <w:vAlign w:val="center"/>
          </w:tcPr>
          <w:p w14:paraId="330926A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保持设备运行正常。</w:t>
            </w:r>
          </w:p>
        </w:tc>
      </w:tr>
    </w:tbl>
    <w:tbl>
      <w:tblPr>
        <w:tblStyle w:val="8"/>
        <w:tblpPr w:leftFromText="180" w:rightFromText="180" w:vertAnchor="text" w:horzAnchor="page" w:tblpXSpec="center" w:tblpY="270"/>
        <w:tblOverlap w:val="never"/>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876"/>
        <w:gridCol w:w="4481"/>
        <w:gridCol w:w="2290"/>
      </w:tblGrid>
      <w:tr w14:paraId="2F38A6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tcBorders>
              <w:top w:val="single" w:color="auto" w:sz="12" w:space="0"/>
              <w:left w:val="single" w:color="auto" w:sz="12" w:space="0"/>
              <w:bottom w:val="single" w:color="auto" w:sz="4" w:space="0"/>
              <w:right w:val="single" w:color="auto" w:sz="4" w:space="0"/>
            </w:tcBorders>
            <w:shd w:val="clear" w:color="auto" w:fill="E6E6E6"/>
            <w:vAlign w:val="center"/>
          </w:tcPr>
          <w:p w14:paraId="303D583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455" w:type="pct"/>
            <w:tcBorders>
              <w:top w:val="single" w:color="auto" w:sz="12" w:space="0"/>
              <w:left w:val="single" w:color="auto" w:sz="4" w:space="0"/>
              <w:bottom w:val="single" w:color="auto" w:sz="4" w:space="0"/>
              <w:right w:val="single" w:color="auto" w:sz="4" w:space="0"/>
            </w:tcBorders>
            <w:shd w:val="clear" w:color="auto" w:fill="E6E6E6"/>
            <w:vAlign w:val="center"/>
          </w:tcPr>
          <w:p w14:paraId="01DE2D5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频次</w:t>
            </w:r>
          </w:p>
        </w:tc>
        <w:tc>
          <w:tcPr>
            <w:tcW w:w="2658" w:type="pct"/>
            <w:tcBorders>
              <w:top w:val="single" w:color="auto" w:sz="12" w:space="0"/>
              <w:left w:val="single" w:color="auto" w:sz="4" w:space="0"/>
              <w:bottom w:val="single" w:color="auto" w:sz="4" w:space="0"/>
              <w:right w:val="single" w:color="auto" w:sz="4" w:space="0"/>
            </w:tcBorders>
            <w:shd w:val="clear" w:color="auto" w:fill="E6E6E6"/>
            <w:vAlign w:val="center"/>
          </w:tcPr>
          <w:p w14:paraId="39C7125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内容</w:t>
            </w:r>
          </w:p>
        </w:tc>
        <w:tc>
          <w:tcPr>
            <w:tcW w:w="1372" w:type="pct"/>
            <w:tcBorders>
              <w:top w:val="single" w:color="auto" w:sz="12" w:space="0"/>
              <w:left w:val="single" w:color="auto" w:sz="4" w:space="0"/>
              <w:bottom w:val="single" w:color="auto" w:sz="4" w:space="0"/>
              <w:right w:val="single" w:color="auto" w:sz="12" w:space="0"/>
            </w:tcBorders>
            <w:shd w:val="clear" w:color="auto" w:fill="E6E6E6"/>
            <w:vAlign w:val="center"/>
          </w:tcPr>
          <w:p w14:paraId="61AC548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具体要求</w:t>
            </w:r>
          </w:p>
        </w:tc>
      </w:tr>
      <w:tr w14:paraId="571F32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vMerge w:val="restart"/>
            <w:tcBorders>
              <w:top w:val="single" w:color="auto" w:sz="4" w:space="0"/>
              <w:left w:val="single" w:color="auto" w:sz="12" w:space="0"/>
              <w:bottom w:val="single" w:color="auto" w:sz="4" w:space="0"/>
              <w:right w:val="single" w:color="auto" w:sz="4" w:space="0"/>
            </w:tcBorders>
            <w:vAlign w:val="center"/>
          </w:tcPr>
          <w:p w14:paraId="08937B3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生活泵</w:t>
            </w:r>
          </w:p>
          <w:p w14:paraId="5A7C44D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排污泵</w:t>
            </w:r>
          </w:p>
        </w:tc>
        <w:tc>
          <w:tcPr>
            <w:tcW w:w="455" w:type="pct"/>
            <w:tcBorders>
              <w:top w:val="single" w:color="auto" w:sz="4" w:space="0"/>
              <w:left w:val="single" w:color="auto" w:sz="4" w:space="0"/>
              <w:bottom w:val="single" w:color="auto" w:sz="4" w:space="0"/>
              <w:right w:val="single" w:color="auto" w:sz="4" w:space="0"/>
            </w:tcBorders>
            <w:vAlign w:val="center"/>
          </w:tcPr>
          <w:p w14:paraId="3820F31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每天一次</w:t>
            </w:r>
          </w:p>
        </w:tc>
        <w:tc>
          <w:tcPr>
            <w:tcW w:w="2658" w:type="pct"/>
            <w:tcBorders>
              <w:top w:val="single" w:color="auto" w:sz="4" w:space="0"/>
              <w:left w:val="single" w:color="auto" w:sz="4" w:space="0"/>
              <w:bottom w:val="single" w:color="auto" w:sz="4" w:space="0"/>
              <w:right w:val="single" w:color="auto" w:sz="4" w:space="0"/>
            </w:tcBorders>
            <w:vAlign w:val="center"/>
          </w:tcPr>
          <w:p w14:paraId="337ABE8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1.保持设备房、机体卫生清洁；</w:t>
            </w:r>
          </w:p>
          <w:p w14:paraId="3B6CEBD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2.每天每2小时观察其水位、水压等指示是否正常，运行时有无异声、异味；</w:t>
            </w:r>
          </w:p>
          <w:p w14:paraId="0C15262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3.检查盘根处滴水是否符合规范,如不规范,应及时处理；</w:t>
            </w:r>
          </w:p>
          <w:p w14:paraId="2B7FE46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4.检查水位深度指示是否清晰；</w:t>
            </w:r>
          </w:p>
          <w:p w14:paraId="6441356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5.发现故障及故障隐患及时处理。</w:t>
            </w:r>
          </w:p>
        </w:tc>
        <w:tc>
          <w:tcPr>
            <w:tcW w:w="1372" w:type="pct"/>
            <w:tcBorders>
              <w:top w:val="single" w:color="auto" w:sz="4" w:space="0"/>
              <w:left w:val="single" w:color="auto" w:sz="4" w:space="0"/>
              <w:bottom w:val="single" w:color="auto" w:sz="4" w:space="0"/>
              <w:right w:val="single" w:color="auto" w:sz="12" w:space="0"/>
            </w:tcBorders>
            <w:vAlign w:val="center"/>
          </w:tcPr>
          <w:p w14:paraId="59AAB11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设备卫生，水位指示清晰。</w:t>
            </w:r>
          </w:p>
        </w:tc>
      </w:tr>
      <w:tr w14:paraId="16BD26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vMerge w:val="continue"/>
            <w:tcBorders>
              <w:top w:val="single" w:color="auto" w:sz="4" w:space="0"/>
              <w:left w:val="single" w:color="auto" w:sz="12" w:space="0"/>
              <w:bottom w:val="single" w:color="auto" w:sz="4" w:space="0"/>
              <w:right w:val="single" w:color="auto" w:sz="4" w:space="0"/>
            </w:tcBorders>
            <w:vAlign w:val="center"/>
          </w:tcPr>
          <w:p w14:paraId="53A94D7F">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653E5A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2644005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658" w:type="pct"/>
            <w:tcBorders>
              <w:top w:val="single" w:color="auto" w:sz="4" w:space="0"/>
              <w:left w:val="single" w:color="auto" w:sz="4" w:space="0"/>
              <w:bottom w:val="single" w:color="auto" w:sz="4" w:space="0"/>
              <w:right w:val="single" w:color="auto" w:sz="4" w:space="0"/>
            </w:tcBorders>
            <w:vAlign w:val="center"/>
          </w:tcPr>
          <w:p w14:paraId="3F94882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1.电机、轴承加注黄油：如有异响，应更换轴承；</w:t>
            </w:r>
          </w:p>
          <w:p w14:paraId="1CC4154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2.泵体及管道阀门除锈刷漆；紧固柜各线路接头螺母，清扫柜内灰尘等。</w:t>
            </w:r>
          </w:p>
        </w:tc>
        <w:tc>
          <w:tcPr>
            <w:tcW w:w="1372" w:type="pct"/>
            <w:tcBorders>
              <w:top w:val="single" w:color="auto" w:sz="4" w:space="0"/>
              <w:left w:val="single" w:color="auto" w:sz="4" w:space="0"/>
              <w:bottom w:val="single" w:color="auto" w:sz="4" w:space="0"/>
              <w:right w:val="single" w:color="auto" w:sz="12" w:space="0"/>
            </w:tcBorders>
            <w:vAlign w:val="center"/>
          </w:tcPr>
          <w:p w14:paraId="4E28107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润滑良好，线头紧固良好。</w:t>
            </w:r>
          </w:p>
        </w:tc>
      </w:tr>
      <w:tr w14:paraId="623E06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vMerge w:val="restart"/>
            <w:tcBorders>
              <w:top w:val="single" w:color="auto" w:sz="4" w:space="0"/>
              <w:left w:val="single" w:color="auto" w:sz="12" w:space="0"/>
              <w:bottom w:val="single" w:color="auto" w:sz="4" w:space="0"/>
              <w:right w:val="single" w:color="auto" w:sz="4" w:space="0"/>
            </w:tcBorders>
            <w:vAlign w:val="center"/>
          </w:tcPr>
          <w:p w14:paraId="0F29AAB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供水、排污管网</w:t>
            </w:r>
          </w:p>
        </w:tc>
        <w:tc>
          <w:tcPr>
            <w:tcW w:w="455" w:type="pct"/>
            <w:tcBorders>
              <w:top w:val="single" w:color="auto" w:sz="4" w:space="0"/>
              <w:left w:val="single" w:color="auto" w:sz="4" w:space="0"/>
              <w:bottom w:val="single" w:color="auto" w:sz="4" w:space="0"/>
              <w:right w:val="single" w:color="auto" w:sz="4" w:space="0"/>
            </w:tcBorders>
            <w:vAlign w:val="center"/>
          </w:tcPr>
          <w:p w14:paraId="3C5F1C0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w:t>
            </w:r>
          </w:p>
          <w:p w14:paraId="2263071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658" w:type="pct"/>
            <w:tcBorders>
              <w:top w:val="single" w:color="auto" w:sz="4" w:space="0"/>
              <w:left w:val="single" w:color="auto" w:sz="4" w:space="0"/>
              <w:bottom w:val="single" w:color="auto" w:sz="4" w:space="0"/>
              <w:right w:val="single" w:color="auto" w:sz="4" w:space="0"/>
            </w:tcBorders>
            <w:vAlign w:val="center"/>
          </w:tcPr>
          <w:p w14:paraId="6A76861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1.检查外观是否完好，应无滴、漏现象；</w:t>
            </w:r>
          </w:p>
          <w:p w14:paraId="17BCEB1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2.检查闸阀，观察供压力表是否正常。阀门开启位置是否正确，标示是否清晰。</w:t>
            </w:r>
          </w:p>
        </w:tc>
        <w:tc>
          <w:tcPr>
            <w:tcW w:w="1372" w:type="pct"/>
            <w:tcBorders>
              <w:top w:val="single" w:color="auto" w:sz="4" w:space="0"/>
              <w:left w:val="single" w:color="auto" w:sz="4" w:space="0"/>
              <w:bottom w:val="single" w:color="auto" w:sz="4" w:space="0"/>
              <w:right w:val="single" w:color="auto" w:sz="12" w:space="0"/>
            </w:tcBorders>
            <w:vAlign w:val="center"/>
          </w:tcPr>
          <w:p w14:paraId="159456B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运行正常。</w:t>
            </w:r>
          </w:p>
        </w:tc>
      </w:tr>
      <w:tr w14:paraId="6D2D76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vMerge w:val="continue"/>
            <w:tcBorders>
              <w:top w:val="single" w:color="auto" w:sz="4" w:space="0"/>
              <w:left w:val="single" w:color="auto" w:sz="12" w:space="0"/>
              <w:bottom w:val="single" w:color="auto" w:sz="4" w:space="0"/>
              <w:right w:val="single" w:color="auto" w:sz="4" w:space="0"/>
            </w:tcBorders>
            <w:vAlign w:val="center"/>
          </w:tcPr>
          <w:p w14:paraId="7E2A83C4">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0E66236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p w14:paraId="46A23DE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658" w:type="pct"/>
            <w:tcBorders>
              <w:top w:val="single" w:color="auto" w:sz="4" w:space="0"/>
              <w:left w:val="single" w:color="auto" w:sz="4" w:space="0"/>
              <w:bottom w:val="single" w:color="auto" w:sz="4" w:space="0"/>
              <w:right w:val="single" w:color="auto" w:sz="4" w:space="0"/>
            </w:tcBorders>
            <w:vAlign w:val="center"/>
          </w:tcPr>
          <w:p w14:paraId="4136A18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1.重复上述内容；</w:t>
            </w:r>
          </w:p>
          <w:p w14:paraId="7AA4D0A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2.清理管道内的杂物，疏通排污管道；</w:t>
            </w:r>
          </w:p>
          <w:p w14:paraId="31BF503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3.检查闸阀开启、关闭是否灵活，有无跑、冒、滴、漏现象。</w:t>
            </w:r>
          </w:p>
        </w:tc>
        <w:tc>
          <w:tcPr>
            <w:tcW w:w="1372" w:type="pct"/>
            <w:tcBorders>
              <w:top w:val="single" w:color="auto" w:sz="4" w:space="0"/>
              <w:left w:val="single" w:color="auto" w:sz="4" w:space="0"/>
              <w:bottom w:val="single" w:color="auto" w:sz="4" w:space="0"/>
              <w:right w:val="single" w:color="auto" w:sz="12" w:space="0"/>
            </w:tcBorders>
            <w:vAlign w:val="center"/>
          </w:tcPr>
          <w:p w14:paraId="2F3C266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管道内无杂物，阀门开启灵活，无泄漏。</w:t>
            </w:r>
          </w:p>
        </w:tc>
      </w:tr>
      <w:tr w14:paraId="0B3E6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vMerge w:val="continue"/>
            <w:tcBorders>
              <w:top w:val="single" w:color="auto" w:sz="4" w:space="0"/>
              <w:left w:val="single" w:color="auto" w:sz="12" w:space="0"/>
              <w:bottom w:val="single" w:color="auto" w:sz="4" w:space="0"/>
              <w:right w:val="single" w:color="auto" w:sz="4" w:space="0"/>
            </w:tcBorders>
            <w:vAlign w:val="center"/>
          </w:tcPr>
          <w:p w14:paraId="506C12CE">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7E9C9E3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221D5B3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658" w:type="pct"/>
            <w:tcBorders>
              <w:top w:val="single" w:color="auto" w:sz="4" w:space="0"/>
              <w:left w:val="single" w:color="auto" w:sz="4" w:space="0"/>
              <w:bottom w:val="single" w:color="auto" w:sz="4" w:space="0"/>
              <w:right w:val="single" w:color="auto" w:sz="4" w:space="0"/>
            </w:tcBorders>
            <w:vAlign w:val="center"/>
          </w:tcPr>
          <w:p w14:paraId="4C3CBEB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1.重复上述内容；</w:t>
            </w:r>
          </w:p>
          <w:p w14:paraId="114C667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2.检查修整全部管架；</w:t>
            </w:r>
          </w:p>
          <w:p w14:paraId="7E9348C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3.管道及支架除锈刷漆：</w:t>
            </w:r>
          </w:p>
          <w:p w14:paraId="63596AC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4.检查止回阀、浮球阀、液位控制器是否正常；管道内部清洗、作防腐处理；</w:t>
            </w:r>
          </w:p>
          <w:p w14:paraId="6764B25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5.更换各类阀门标示，并标注管内水流方向；各类阀门丝杆上油并加装防护套。</w:t>
            </w:r>
          </w:p>
        </w:tc>
        <w:tc>
          <w:tcPr>
            <w:tcW w:w="1372" w:type="pct"/>
            <w:tcBorders>
              <w:top w:val="single" w:color="auto" w:sz="4" w:space="0"/>
              <w:left w:val="single" w:color="auto" w:sz="4" w:space="0"/>
              <w:bottom w:val="single" w:color="auto" w:sz="4" w:space="0"/>
              <w:right w:val="single" w:color="auto" w:sz="12" w:space="0"/>
            </w:tcBorders>
            <w:vAlign w:val="center"/>
          </w:tcPr>
          <w:p w14:paraId="07711BB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管架防锈良好，阀门工作正常，标示清晰。</w:t>
            </w:r>
          </w:p>
        </w:tc>
      </w:tr>
      <w:tr w14:paraId="1E1EED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vMerge w:val="restart"/>
            <w:tcBorders>
              <w:top w:val="single" w:color="auto" w:sz="4" w:space="0"/>
              <w:left w:val="single" w:color="auto" w:sz="12" w:space="0"/>
              <w:bottom w:val="single" w:color="auto" w:sz="12" w:space="0"/>
              <w:right w:val="single" w:color="auto" w:sz="4" w:space="0"/>
            </w:tcBorders>
            <w:vAlign w:val="center"/>
          </w:tcPr>
          <w:p w14:paraId="225B210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给水井</w:t>
            </w:r>
          </w:p>
          <w:p w14:paraId="55338A8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雨水井</w:t>
            </w:r>
          </w:p>
          <w:p w14:paraId="4DC59A3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污水井</w:t>
            </w:r>
          </w:p>
        </w:tc>
        <w:tc>
          <w:tcPr>
            <w:tcW w:w="455" w:type="pct"/>
            <w:tcBorders>
              <w:top w:val="single" w:color="auto" w:sz="4" w:space="0"/>
              <w:left w:val="single" w:color="auto" w:sz="4" w:space="0"/>
              <w:bottom w:val="single" w:color="auto" w:sz="4" w:space="0"/>
              <w:right w:val="single" w:color="auto" w:sz="4" w:space="0"/>
            </w:tcBorders>
            <w:vAlign w:val="center"/>
          </w:tcPr>
          <w:p w14:paraId="7EEEEA5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4529492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658" w:type="pct"/>
            <w:tcBorders>
              <w:top w:val="single" w:color="auto" w:sz="4" w:space="0"/>
              <w:left w:val="single" w:color="auto" w:sz="4" w:space="0"/>
              <w:bottom w:val="single" w:color="auto" w:sz="4" w:space="0"/>
              <w:right w:val="single" w:color="auto" w:sz="4" w:space="0"/>
            </w:tcBorders>
            <w:vAlign w:val="center"/>
          </w:tcPr>
          <w:p w14:paraId="088390D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1.检查井盖是否盖严、完好，开盖检查井底是否有污物，如有则清除干净；</w:t>
            </w:r>
          </w:p>
          <w:p w14:paraId="3EDA901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2.检查井盖铸造字迹是否清晰、正确。</w:t>
            </w:r>
          </w:p>
        </w:tc>
        <w:tc>
          <w:tcPr>
            <w:tcW w:w="1372" w:type="pct"/>
            <w:vMerge w:val="restart"/>
            <w:tcBorders>
              <w:top w:val="single" w:color="auto" w:sz="4" w:space="0"/>
              <w:left w:val="single" w:color="auto" w:sz="4" w:space="0"/>
              <w:bottom w:val="single" w:color="auto" w:sz="12" w:space="0"/>
              <w:right w:val="single" w:color="auto" w:sz="12" w:space="0"/>
            </w:tcBorders>
            <w:vAlign w:val="center"/>
          </w:tcPr>
          <w:p w14:paraId="17D8F51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无杂物，井盖盖严、完好。</w:t>
            </w:r>
          </w:p>
        </w:tc>
      </w:tr>
      <w:tr w14:paraId="042E6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3" w:type="pct"/>
            <w:vMerge w:val="continue"/>
            <w:tcBorders>
              <w:top w:val="single" w:color="auto" w:sz="4" w:space="0"/>
              <w:left w:val="single" w:color="auto" w:sz="12" w:space="0"/>
              <w:bottom w:val="single" w:color="auto" w:sz="12" w:space="0"/>
              <w:right w:val="single" w:color="auto" w:sz="4" w:space="0"/>
            </w:tcBorders>
            <w:vAlign w:val="center"/>
          </w:tcPr>
          <w:p w14:paraId="39FF3DDB">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12" w:space="0"/>
              <w:right w:val="single" w:color="auto" w:sz="4" w:space="0"/>
            </w:tcBorders>
            <w:vAlign w:val="center"/>
          </w:tcPr>
          <w:p w14:paraId="633FDC0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p w14:paraId="64A3DD8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658" w:type="pct"/>
            <w:tcBorders>
              <w:top w:val="single" w:color="auto" w:sz="4" w:space="0"/>
              <w:left w:val="single" w:color="auto" w:sz="4" w:space="0"/>
              <w:bottom w:val="single" w:color="auto" w:sz="12" w:space="0"/>
              <w:right w:val="single" w:color="auto" w:sz="4" w:space="0"/>
            </w:tcBorders>
            <w:vAlign w:val="center"/>
          </w:tcPr>
          <w:p w14:paraId="5516C36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1.重复上述检查；</w:t>
            </w:r>
          </w:p>
          <w:p w14:paraId="6BAA552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2.清理污泥，疏通下水管道；</w:t>
            </w:r>
          </w:p>
          <w:p w14:paraId="66613D7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3.各类井盖及金属构件刷漆。</w:t>
            </w:r>
          </w:p>
        </w:tc>
        <w:tc>
          <w:tcPr>
            <w:tcW w:w="1372" w:type="pct"/>
            <w:vMerge w:val="continue"/>
            <w:tcBorders>
              <w:top w:val="single" w:color="auto" w:sz="4" w:space="0"/>
              <w:left w:val="single" w:color="auto" w:sz="4" w:space="0"/>
              <w:bottom w:val="single" w:color="auto" w:sz="12" w:space="0"/>
              <w:right w:val="single" w:color="auto" w:sz="12" w:space="0"/>
            </w:tcBorders>
            <w:vAlign w:val="center"/>
          </w:tcPr>
          <w:p w14:paraId="5FF495AE">
            <w:pPr>
              <w:kinsoku/>
              <w:overflowPunct w:val="0"/>
              <w:rPr>
                <w:rFonts w:ascii="方正仿宋_GB2312" w:hAnsi="方正仿宋_GB2312" w:eastAsia="方正仿宋_GB2312" w:cs="方正仿宋_GB2312"/>
                <w:sz w:val="24"/>
                <w:szCs w:val="24"/>
              </w:rPr>
            </w:pPr>
          </w:p>
        </w:tc>
      </w:tr>
    </w:tbl>
    <w:p w14:paraId="489D5F9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（2）给排水系统</w:t>
      </w:r>
    </w:p>
    <w:p w14:paraId="46F47C9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（3）消防系统</w:t>
      </w:r>
    </w:p>
    <w:tbl>
      <w:tblPr>
        <w:tblStyle w:val="8"/>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876"/>
        <w:gridCol w:w="4928"/>
        <w:gridCol w:w="1844"/>
      </w:tblGrid>
      <w:tr w14:paraId="3BE8ED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tcBorders>
              <w:top w:val="single" w:color="auto" w:sz="12" w:space="0"/>
              <w:left w:val="single" w:color="auto" w:sz="12" w:space="0"/>
              <w:bottom w:val="single" w:color="auto" w:sz="4" w:space="0"/>
              <w:right w:val="single" w:color="auto" w:sz="4" w:space="0"/>
            </w:tcBorders>
            <w:shd w:val="clear" w:color="auto" w:fill="E6E6E6"/>
            <w:vAlign w:val="center"/>
          </w:tcPr>
          <w:p w14:paraId="0A82CB5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455" w:type="pct"/>
            <w:tcBorders>
              <w:top w:val="single" w:color="auto" w:sz="12" w:space="0"/>
              <w:left w:val="single" w:color="auto" w:sz="4" w:space="0"/>
              <w:bottom w:val="single" w:color="auto" w:sz="4" w:space="0"/>
              <w:right w:val="single" w:color="auto" w:sz="4" w:space="0"/>
            </w:tcBorders>
            <w:shd w:val="clear" w:color="auto" w:fill="E6E6E6"/>
            <w:vAlign w:val="center"/>
          </w:tcPr>
          <w:p w14:paraId="753036A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频次</w:t>
            </w:r>
          </w:p>
        </w:tc>
        <w:tc>
          <w:tcPr>
            <w:tcW w:w="2948" w:type="pct"/>
            <w:tcBorders>
              <w:top w:val="single" w:color="auto" w:sz="12" w:space="0"/>
              <w:left w:val="single" w:color="auto" w:sz="4" w:space="0"/>
              <w:bottom w:val="single" w:color="auto" w:sz="4" w:space="0"/>
              <w:right w:val="single" w:color="auto" w:sz="4" w:space="0"/>
            </w:tcBorders>
            <w:shd w:val="clear" w:color="auto" w:fill="E6E6E6"/>
            <w:vAlign w:val="center"/>
          </w:tcPr>
          <w:p w14:paraId="1C9649B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内容</w:t>
            </w:r>
          </w:p>
        </w:tc>
        <w:tc>
          <w:tcPr>
            <w:tcW w:w="1140" w:type="pct"/>
            <w:tcBorders>
              <w:top w:val="single" w:color="auto" w:sz="12" w:space="0"/>
              <w:left w:val="single" w:color="auto" w:sz="4" w:space="0"/>
              <w:bottom w:val="single" w:color="auto" w:sz="4" w:space="0"/>
              <w:right w:val="single" w:color="auto" w:sz="12" w:space="0"/>
            </w:tcBorders>
            <w:shd w:val="clear" w:color="auto" w:fill="E6E6E6"/>
            <w:vAlign w:val="center"/>
          </w:tcPr>
          <w:p w14:paraId="1B9270D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具体要求</w:t>
            </w:r>
          </w:p>
        </w:tc>
      </w:tr>
      <w:tr w14:paraId="7ABDEF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4" w:space="0"/>
              <w:left w:val="single" w:color="auto" w:sz="12" w:space="0"/>
              <w:bottom w:val="single" w:color="auto" w:sz="4" w:space="0"/>
              <w:right w:val="single" w:color="auto" w:sz="4" w:space="0"/>
            </w:tcBorders>
            <w:vAlign w:val="center"/>
          </w:tcPr>
          <w:p w14:paraId="7EE0E72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火灾自动报警</w:t>
            </w:r>
          </w:p>
          <w:p w14:paraId="5F32232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系统</w:t>
            </w:r>
          </w:p>
        </w:tc>
        <w:tc>
          <w:tcPr>
            <w:tcW w:w="455" w:type="pct"/>
            <w:tcBorders>
              <w:top w:val="single" w:color="auto" w:sz="4" w:space="0"/>
              <w:left w:val="single" w:color="auto" w:sz="4" w:space="0"/>
              <w:bottom w:val="single" w:color="auto" w:sz="4" w:space="0"/>
              <w:right w:val="single" w:color="auto" w:sz="4" w:space="0"/>
            </w:tcBorders>
            <w:vAlign w:val="center"/>
          </w:tcPr>
          <w:p w14:paraId="745A265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每天</w:t>
            </w:r>
          </w:p>
          <w:p w14:paraId="12F2CBF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55EE831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1.每天对火灾自动报警系统控制器运行状态进行检查，着重检查火警功能及故障监视状态及动作监视状态，一有故障，及时处理，并进行主、备电源切换试验：</w:t>
            </w:r>
          </w:p>
          <w:p w14:paraId="239C6E9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2.对主机及联运柜外表进行清洁。</w:t>
            </w:r>
          </w:p>
        </w:tc>
        <w:tc>
          <w:tcPr>
            <w:tcW w:w="1140" w:type="pct"/>
            <w:tcBorders>
              <w:top w:val="single" w:color="auto" w:sz="4" w:space="0"/>
              <w:left w:val="single" w:color="auto" w:sz="4" w:space="0"/>
              <w:bottom w:val="single" w:color="auto" w:sz="4" w:space="0"/>
              <w:right w:val="single" w:color="auto" w:sz="12" w:space="0"/>
            </w:tcBorders>
            <w:vAlign w:val="center"/>
          </w:tcPr>
          <w:p w14:paraId="72A9BB5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外观良好，功能正常。</w:t>
            </w:r>
          </w:p>
        </w:tc>
      </w:tr>
      <w:tr w14:paraId="1425A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14EB7A01">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4203B02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78A58A8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004B3AC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1.完成日检查保养全部内容；</w:t>
            </w:r>
          </w:p>
          <w:p w14:paraId="7BE11F4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2.控制器主要工作电压测试；</w:t>
            </w:r>
          </w:p>
          <w:p w14:paraId="513FD83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3.烟感、温感探头安装倾斜度不大于45度，与底座接触是否良好，外观是否洁净完好；</w:t>
            </w:r>
          </w:p>
          <w:p w14:paraId="0B78AC4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4.随机抽取不低于2％的温、烟感探头,检查报警是否正确；</w:t>
            </w:r>
          </w:p>
          <w:p w14:paraId="17B71E5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5.手动报警按钮，检查安装是否牢固，有无破损及丢失：</w:t>
            </w:r>
          </w:p>
          <w:p w14:paraId="741E198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6.任选手动报警按钮，进行模拟报警，测试报警功能是否正常。</w:t>
            </w:r>
          </w:p>
        </w:tc>
        <w:tc>
          <w:tcPr>
            <w:tcW w:w="1140" w:type="pct"/>
            <w:tcBorders>
              <w:top w:val="single" w:color="auto" w:sz="4" w:space="0"/>
              <w:left w:val="single" w:color="auto" w:sz="4" w:space="0"/>
              <w:bottom w:val="single" w:color="auto" w:sz="4" w:space="0"/>
              <w:right w:val="single" w:color="auto" w:sz="12" w:space="0"/>
            </w:tcBorders>
            <w:vAlign w:val="center"/>
          </w:tcPr>
          <w:p w14:paraId="62287D2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设备运行正常,各项功能正常。</w:t>
            </w:r>
          </w:p>
        </w:tc>
      </w:tr>
      <w:tr w14:paraId="5E469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35A33CDA">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67BFE66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3E1987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0B25A52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1.重复每月一次的工作；</w:t>
            </w:r>
          </w:p>
          <w:p w14:paraId="52B79FC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2.对楼层内弱电井中各模块箱进行外观检查，外接线是否固定良好；火灾报警控制柜、联动柜等进行清扫除尘。线路松动，应进行紧固。对自检、消音、复位功能检查，主电源与备用电源切换、报警检查。</w:t>
            </w:r>
          </w:p>
        </w:tc>
        <w:tc>
          <w:tcPr>
            <w:tcW w:w="1140" w:type="pct"/>
            <w:tcBorders>
              <w:top w:val="single" w:color="auto" w:sz="4" w:space="0"/>
              <w:left w:val="single" w:color="auto" w:sz="4" w:space="0"/>
              <w:bottom w:val="single" w:color="auto" w:sz="4" w:space="0"/>
              <w:right w:val="single" w:color="auto" w:sz="12" w:space="0"/>
            </w:tcBorders>
            <w:vAlign w:val="center"/>
          </w:tcPr>
          <w:p w14:paraId="30CEFBB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设备运行正常,各项功能正常。</w:t>
            </w:r>
          </w:p>
        </w:tc>
      </w:tr>
      <w:tr w14:paraId="44F157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tcBorders>
              <w:top w:val="single" w:color="auto" w:sz="4" w:space="0"/>
              <w:left w:val="single" w:color="auto" w:sz="12" w:space="0"/>
              <w:bottom w:val="single" w:color="auto" w:sz="4" w:space="0"/>
              <w:right w:val="single" w:color="auto" w:sz="4" w:space="0"/>
            </w:tcBorders>
            <w:vAlign w:val="center"/>
          </w:tcPr>
          <w:p w14:paraId="3C837CF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应急广播和消防对讲电话</w:t>
            </w:r>
          </w:p>
        </w:tc>
        <w:tc>
          <w:tcPr>
            <w:tcW w:w="455" w:type="pct"/>
            <w:tcBorders>
              <w:top w:val="single" w:color="auto" w:sz="4" w:space="0"/>
              <w:left w:val="single" w:color="auto" w:sz="4" w:space="0"/>
              <w:bottom w:val="single" w:color="auto" w:sz="4" w:space="0"/>
              <w:right w:val="single" w:color="auto" w:sz="4" w:space="0"/>
            </w:tcBorders>
            <w:vAlign w:val="center"/>
          </w:tcPr>
          <w:p w14:paraId="2835105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3AEABA6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7D0914A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1.清洁设备：</w:t>
            </w:r>
          </w:p>
          <w:p w14:paraId="14B249E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2.检查外观是否良好，检查线路及设备是正常；</w:t>
            </w:r>
          </w:p>
          <w:p w14:paraId="7828B37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3.检测每层广播喇叭和电话的效果,有故障,马上更换。</w:t>
            </w:r>
          </w:p>
        </w:tc>
        <w:tc>
          <w:tcPr>
            <w:tcW w:w="1140" w:type="pct"/>
            <w:tcBorders>
              <w:top w:val="single" w:color="auto" w:sz="4" w:space="0"/>
              <w:left w:val="single" w:color="auto" w:sz="4" w:space="0"/>
              <w:bottom w:val="single" w:color="auto" w:sz="4" w:space="0"/>
              <w:right w:val="single" w:color="auto" w:sz="12" w:space="0"/>
            </w:tcBorders>
            <w:vAlign w:val="center"/>
          </w:tcPr>
          <w:p w14:paraId="0D56835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通信畅通，音响效果达到要求</w:t>
            </w:r>
          </w:p>
        </w:tc>
      </w:tr>
      <w:tr w14:paraId="475E70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4" w:space="0"/>
              <w:left w:val="single" w:color="auto" w:sz="12" w:space="0"/>
              <w:bottom w:val="single" w:color="auto" w:sz="4" w:space="0"/>
              <w:right w:val="single" w:color="auto" w:sz="4" w:space="0"/>
            </w:tcBorders>
            <w:vAlign w:val="center"/>
          </w:tcPr>
          <w:p w14:paraId="5EFB621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防排烟</w:t>
            </w:r>
          </w:p>
          <w:p w14:paraId="793A4C7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风机</w:t>
            </w:r>
          </w:p>
        </w:tc>
        <w:tc>
          <w:tcPr>
            <w:tcW w:w="455" w:type="pct"/>
            <w:tcBorders>
              <w:top w:val="single" w:color="auto" w:sz="4" w:space="0"/>
              <w:left w:val="single" w:color="auto" w:sz="4" w:space="0"/>
              <w:bottom w:val="single" w:color="auto" w:sz="4" w:space="0"/>
              <w:right w:val="single" w:color="auto" w:sz="4" w:space="0"/>
            </w:tcBorders>
            <w:vAlign w:val="center"/>
          </w:tcPr>
          <w:p w14:paraId="6E6E0B6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000D975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14AD822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1.清洁卫生；</w:t>
            </w:r>
          </w:p>
          <w:p w14:paraId="0AE2739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2.手动运行一次；</w:t>
            </w:r>
          </w:p>
          <w:p w14:paraId="4753F57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3.设备标示。</w:t>
            </w:r>
          </w:p>
        </w:tc>
        <w:tc>
          <w:tcPr>
            <w:tcW w:w="1140" w:type="pct"/>
            <w:tcBorders>
              <w:top w:val="single" w:color="auto" w:sz="4" w:space="0"/>
              <w:left w:val="single" w:color="auto" w:sz="4" w:space="0"/>
              <w:bottom w:val="single" w:color="auto" w:sz="4" w:space="0"/>
              <w:right w:val="single" w:color="auto" w:sz="12" w:space="0"/>
            </w:tcBorders>
            <w:vAlign w:val="center"/>
          </w:tcPr>
          <w:p w14:paraId="5B9CA6C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外观良好、运行正常、标示清楚。</w:t>
            </w:r>
          </w:p>
        </w:tc>
      </w:tr>
      <w:tr w14:paraId="250656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1E3A0B2C">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634B86E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p w14:paraId="2448AFB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0D341AE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1.断开主电源，挂上标示牌，检查电机接地是否良好；</w:t>
            </w:r>
          </w:p>
          <w:p w14:paraId="083AD64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2.紧固各部分松动的螺丝及联轴器；</w:t>
            </w:r>
          </w:p>
          <w:p w14:paraId="7E9AE62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3.检测电动机的绝缘电阻，检查主回路接触点；</w:t>
            </w:r>
          </w:p>
          <w:p w14:paraId="7C8E956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4.调整皮带松紧，手转皮带轮，观察转动是否良好；</w:t>
            </w:r>
          </w:p>
          <w:p w14:paraId="7F387A9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5.清洁电机及风滤器和机壳内部；</w:t>
            </w:r>
          </w:p>
          <w:p w14:paraId="454B627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6.向转动部位加润滑油，保证联轴器及轴承的灵活性及稳定性：</w:t>
            </w:r>
          </w:p>
          <w:p w14:paraId="7864F91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7.检查防火阀的机械开闭动作、开闭角度标志：</w:t>
            </w:r>
          </w:p>
          <w:p w14:paraId="3E1654B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8.手动开机测定三相电流值，检查指示灯电压、电流表，听查风机各部件运行声音；</w:t>
            </w:r>
          </w:p>
          <w:p w14:paraId="22F23BC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9.各远控点的控制箱(含箱内元件)全面检查；</w:t>
            </w:r>
          </w:p>
          <w:p w14:paraId="222CA75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10.连续三次停开机检查手动各点远控的正确性、可靠性；</w:t>
            </w:r>
          </w:p>
          <w:p w14:paraId="1A1551E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11.连续运转半小时验证风机运转正常。</w:t>
            </w:r>
          </w:p>
        </w:tc>
        <w:tc>
          <w:tcPr>
            <w:tcW w:w="1140" w:type="pct"/>
            <w:tcBorders>
              <w:top w:val="single" w:color="auto" w:sz="4" w:space="0"/>
              <w:left w:val="single" w:color="auto" w:sz="4" w:space="0"/>
              <w:bottom w:val="single" w:color="auto" w:sz="4" w:space="0"/>
              <w:right w:val="single" w:color="auto" w:sz="12" w:space="0"/>
            </w:tcBorders>
            <w:vAlign w:val="center"/>
          </w:tcPr>
          <w:p w14:paraId="4DB3723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润滑良好，运行正常。</w:t>
            </w:r>
          </w:p>
        </w:tc>
      </w:tr>
      <w:tr w14:paraId="74AE01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19E88CA0">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25B2FAD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4911C28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629B3E6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1.重复以上内容；</w:t>
            </w:r>
          </w:p>
          <w:p w14:paraId="05F2135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2.清洗、更换风机轴承，检测接地电阻；</w:t>
            </w:r>
          </w:p>
          <w:p w14:paraId="66B2A6D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3.风机外壳清锈、刷漆。</w:t>
            </w:r>
          </w:p>
        </w:tc>
        <w:tc>
          <w:tcPr>
            <w:tcW w:w="1140" w:type="pct"/>
            <w:tcBorders>
              <w:top w:val="single" w:color="auto" w:sz="4" w:space="0"/>
              <w:left w:val="single" w:color="auto" w:sz="4" w:space="0"/>
              <w:bottom w:val="single" w:color="auto" w:sz="4" w:space="0"/>
              <w:right w:val="single" w:color="auto" w:sz="12" w:space="0"/>
            </w:tcBorders>
            <w:vAlign w:val="center"/>
          </w:tcPr>
          <w:p w14:paraId="3FFF210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外观良好，标示清晰。</w:t>
            </w:r>
          </w:p>
        </w:tc>
      </w:tr>
      <w:tr w14:paraId="0FAE5A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4" w:space="0"/>
              <w:left w:val="single" w:color="auto" w:sz="12" w:space="0"/>
              <w:bottom w:val="single" w:color="auto" w:sz="4" w:space="0"/>
              <w:right w:val="single" w:color="auto" w:sz="4" w:space="0"/>
            </w:tcBorders>
            <w:vAlign w:val="center"/>
          </w:tcPr>
          <w:p w14:paraId="670D3A6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气体灭火系统</w:t>
            </w:r>
          </w:p>
        </w:tc>
        <w:tc>
          <w:tcPr>
            <w:tcW w:w="455" w:type="pct"/>
            <w:tcBorders>
              <w:top w:val="single" w:color="auto" w:sz="4" w:space="0"/>
              <w:left w:val="single" w:color="auto" w:sz="4" w:space="0"/>
              <w:bottom w:val="single" w:color="auto" w:sz="4" w:space="0"/>
              <w:right w:val="single" w:color="auto" w:sz="4" w:space="0"/>
            </w:tcBorders>
            <w:vAlign w:val="center"/>
          </w:tcPr>
          <w:p w14:paraId="4A0607C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6E7C1C9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11D14E4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1.清洁卫生；</w:t>
            </w:r>
          </w:p>
          <w:p w14:paraId="6E61FD3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2.检查外观是否完好，有无泄漏气体现象；</w:t>
            </w:r>
          </w:p>
          <w:p w14:paraId="644AA4B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3.检查气压表的完好情况。</w:t>
            </w:r>
          </w:p>
        </w:tc>
        <w:tc>
          <w:tcPr>
            <w:tcW w:w="1140" w:type="pct"/>
            <w:tcBorders>
              <w:top w:val="single" w:color="auto" w:sz="4" w:space="0"/>
              <w:left w:val="single" w:color="auto" w:sz="4" w:space="0"/>
              <w:bottom w:val="single" w:color="auto" w:sz="4" w:space="0"/>
              <w:right w:val="single" w:color="auto" w:sz="12" w:space="0"/>
            </w:tcBorders>
            <w:vAlign w:val="center"/>
          </w:tcPr>
          <w:p w14:paraId="1DACA11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外观良好，压力正常。</w:t>
            </w:r>
          </w:p>
        </w:tc>
      </w:tr>
      <w:tr w14:paraId="503A7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6BF4FD12">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55EBB39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每半年一次</w:t>
            </w:r>
          </w:p>
        </w:tc>
        <w:tc>
          <w:tcPr>
            <w:tcW w:w="2948" w:type="pct"/>
            <w:tcBorders>
              <w:top w:val="single" w:color="auto" w:sz="4" w:space="0"/>
              <w:left w:val="single" w:color="auto" w:sz="4" w:space="0"/>
              <w:bottom w:val="single" w:color="auto" w:sz="4" w:space="0"/>
              <w:right w:val="single" w:color="auto" w:sz="4" w:space="0"/>
            </w:tcBorders>
            <w:vAlign w:val="center"/>
          </w:tcPr>
          <w:p w14:paraId="7075CE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1.检查气瓶压力；</w:t>
            </w:r>
          </w:p>
          <w:p w14:paraId="182560C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2.气瓶外壳除锈，刷保护漆；</w:t>
            </w:r>
          </w:p>
          <w:p w14:paraId="576431E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3.模拟测试气体消防灭火系统的动作情况。</w:t>
            </w:r>
          </w:p>
        </w:tc>
        <w:tc>
          <w:tcPr>
            <w:tcW w:w="1140" w:type="pct"/>
            <w:tcBorders>
              <w:top w:val="single" w:color="auto" w:sz="4" w:space="0"/>
              <w:left w:val="single" w:color="auto" w:sz="4" w:space="0"/>
              <w:bottom w:val="single" w:color="auto" w:sz="4" w:space="0"/>
              <w:right w:val="single" w:color="auto" w:sz="12" w:space="0"/>
            </w:tcBorders>
            <w:vAlign w:val="center"/>
          </w:tcPr>
          <w:p w14:paraId="02CED4F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压力正常、运行正常。</w:t>
            </w:r>
          </w:p>
        </w:tc>
      </w:tr>
      <w:tr w14:paraId="2F98CA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4" w:space="0"/>
              <w:left w:val="single" w:color="auto" w:sz="12" w:space="0"/>
              <w:bottom w:val="single" w:color="auto" w:sz="4" w:space="0"/>
              <w:right w:val="single" w:color="auto" w:sz="4" w:space="0"/>
            </w:tcBorders>
            <w:vAlign w:val="center"/>
          </w:tcPr>
          <w:p w14:paraId="3C19C0C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消火栓</w:t>
            </w:r>
          </w:p>
          <w:p w14:paraId="45DC73F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及管网</w:t>
            </w:r>
          </w:p>
        </w:tc>
        <w:tc>
          <w:tcPr>
            <w:tcW w:w="455" w:type="pct"/>
            <w:tcBorders>
              <w:top w:val="single" w:color="auto" w:sz="4" w:space="0"/>
              <w:left w:val="single" w:color="auto" w:sz="4" w:space="0"/>
              <w:bottom w:val="single" w:color="auto" w:sz="4" w:space="0"/>
              <w:right w:val="single" w:color="auto" w:sz="4" w:space="0"/>
            </w:tcBorders>
            <w:vAlign w:val="center"/>
          </w:tcPr>
          <w:p w14:paraId="6D4F473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61EF355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7E0730D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1.清洁箱内卫生；</w:t>
            </w:r>
          </w:p>
          <w:p w14:paraId="6632E32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2.检查箱件是否齐全。</w:t>
            </w:r>
          </w:p>
        </w:tc>
        <w:tc>
          <w:tcPr>
            <w:tcW w:w="1140" w:type="pct"/>
            <w:tcBorders>
              <w:top w:val="single" w:color="auto" w:sz="4" w:space="0"/>
              <w:left w:val="single" w:color="auto" w:sz="4" w:space="0"/>
              <w:bottom w:val="single" w:color="auto" w:sz="4" w:space="0"/>
              <w:right w:val="single" w:color="auto" w:sz="12" w:space="0"/>
            </w:tcBorders>
            <w:vAlign w:val="center"/>
          </w:tcPr>
          <w:p w14:paraId="325DF51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卫生良好，配件齐全</w:t>
            </w:r>
          </w:p>
        </w:tc>
      </w:tr>
      <w:tr w14:paraId="5BDE28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1C10C876">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2B793F6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每半年一次</w:t>
            </w:r>
          </w:p>
        </w:tc>
        <w:tc>
          <w:tcPr>
            <w:tcW w:w="2948" w:type="pct"/>
            <w:tcBorders>
              <w:top w:val="single" w:color="auto" w:sz="4" w:space="0"/>
              <w:left w:val="single" w:color="auto" w:sz="4" w:space="0"/>
              <w:bottom w:val="single" w:color="auto" w:sz="4" w:space="0"/>
              <w:right w:val="single" w:color="auto" w:sz="4" w:space="0"/>
            </w:tcBorders>
            <w:vAlign w:val="center"/>
          </w:tcPr>
          <w:p w14:paraId="6F3D1C6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1.消防栓水压测试射程在13米，能实现联动；</w:t>
            </w:r>
          </w:p>
          <w:p w14:paraId="3EBFB7F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2.对水带进行防霉处理。</w:t>
            </w:r>
          </w:p>
        </w:tc>
        <w:tc>
          <w:tcPr>
            <w:tcW w:w="1140" w:type="pct"/>
            <w:tcBorders>
              <w:top w:val="single" w:color="auto" w:sz="4" w:space="0"/>
              <w:left w:val="single" w:color="auto" w:sz="4" w:space="0"/>
              <w:bottom w:val="single" w:color="auto" w:sz="4" w:space="0"/>
              <w:right w:val="single" w:color="auto" w:sz="12" w:space="0"/>
            </w:tcBorders>
            <w:vAlign w:val="center"/>
          </w:tcPr>
          <w:p w14:paraId="139F038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无滴漏、压力正常、工作正常。</w:t>
            </w:r>
          </w:p>
        </w:tc>
      </w:tr>
      <w:tr w14:paraId="0091A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4" w:space="0"/>
              <w:left w:val="single" w:color="auto" w:sz="12" w:space="0"/>
              <w:bottom w:val="single" w:color="auto" w:sz="4" w:space="0"/>
              <w:right w:val="single" w:color="auto" w:sz="4" w:space="0"/>
            </w:tcBorders>
            <w:vAlign w:val="center"/>
          </w:tcPr>
          <w:p w14:paraId="4711676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疏散</w:t>
            </w:r>
          </w:p>
          <w:p w14:paraId="3884AEB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指示牌</w:t>
            </w:r>
          </w:p>
        </w:tc>
        <w:tc>
          <w:tcPr>
            <w:tcW w:w="455" w:type="pct"/>
            <w:tcBorders>
              <w:top w:val="single" w:color="auto" w:sz="4" w:space="0"/>
              <w:left w:val="single" w:color="auto" w:sz="4" w:space="0"/>
              <w:bottom w:val="single" w:color="auto" w:sz="4" w:space="0"/>
              <w:right w:val="single" w:color="auto" w:sz="4" w:space="0"/>
            </w:tcBorders>
            <w:vAlign w:val="center"/>
          </w:tcPr>
          <w:p w14:paraId="322CAD1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每天</w:t>
            </w:r>
          </w:p>
          <w:p w14:paraId="6BD0FB4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4EF3F5D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检查外观有无破损及不亮，一旦发现及时维修。</w:t>
            </w:r>
          </w:p>
        </w:tc>
        <w:tc>
          <w:tcPr>
            <w:tcW w:w="1140" w:type="pct"/>
            <w:tcBorders>
              <w:top w:val="single" w:color="auto" w:sz="4" w:space="0"/>
              <w:left w:val="single" w:color="auto" w:sz="4" w:space="0"/>
              <w:bottom w:val="single" w:color="auto" w:sz="4" w:space="0"/>
              <w:right w:val="single" w:color="auto" w:sz="12" w:space="0"/>
            </w:tcBorders>
            <w:vAlign w:val="center"/>
          </w:tcPr>
          <w:p w14:paraId="27328B6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设施完好。</w:t>
            </w:r>
          </w:p>
        </w:tc>
      </w:tr>
      <w:tr w14:paraId="7699B4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11DED8FE">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2EA069A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p w14:paraId="69B499F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1187C59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1.面板有无划伤或破裂现象；</w:t>
            </w:r>
          </w:p>
          <w:p w14:paraId="7F68EA8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2.检查安装是否牢固；</w:t>
            </w:r>
          </w:p>
          <w:p w14:paraId="69B3334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3.针对检查中发现的缺陷取下来进行修复，再装回原位：</w:t>
            </w:r>
          </w:p>
          <w:p w14:paraId="1F8919E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4.面板擦拭干净。</w:t>
            </w:r>
          </w:p>
        </w:tc>
        <w:tc>
          <w:tcPr>
            <w:tcW w:w="1140" w:type="pct"/>
            <w:tcBorders>
              <w:top w:val="single" w:color="auto" w:sz="4" w:space="0"/>
              <w:left w:val="single" w:color="auto" w:sz="4" w:space="0"/>
              <w:bottom w:val="single" w:color="auto" w:sz="4" w:space="0"/>
              <w:right w:val="single" w:color="auto" w:sz="12" w:space="0"/>
            </w:tcBorders>
            <w:vAlign w:val="center"/>
          </w:tcPr>
          <w:p w14:paraId="5CAEB94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设施完好，运行正常。</w:t>
            </w:r>
          </w:p>
        </w:tc>
      </w:tr>
      <w:tr w14:paraId="61F07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restart"/>
            <w:tcBorders>
              <w:top w:val="single" w:color="auto" w:sz="4" w:space="0"/>
              <w:left w:val="single" w:color="auto" w:sz="12" w:space="0"/>
              <w:bottom w:val="single" w:color="auto" w:sz="4" w:space="0"/>
              <w:right w:val="single" w:color="auto" w:sz="4" w:space="0"/>
            </w:tcBorders>
            <w:vAlign w:val="center"/>
          </w:tcPr>
          <w:p w14:paraId="61A07BA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消防泵</w:t>
            </w:r>
          </w:p>
          <w:p w14:paraId="5255174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喷淋泵</w:t>
            </w:r>
          </w:p>
        </w:tc>
        <w:tc>
          <w:tcPr>
            <w:tcW w:w="455" w:type="pct"/>
            <w:tcBorders>
              <w:top w:val="single" w:color="auto" w:sz="4" w:space="0"/>
              <w:left w:val="single" w:color="auto" w:sz="4" w:space="0"/>
              <w:bottom w:val="single" w:color="auto" w:sz="4" w:space="0"/>
              <w:right w:val="single" w:color="auto" w:sz="4" w:space="0"/>
            </w:tcBorders>
            <w:vAlign w:val="center"/>
          </w:tcPr>
          <w:p w14:paraId="7E377B4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2ABCFF6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5630D53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1.手动试运行，查看盘根滴水是否符合规范；</w:t>
            </w:r>
          </w:p>
          <w:p w14:paraId="1D7B46A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2.水压是否正常，是否有异声异味；</w:t>
            </w:r>
          </w:p>
          <w:p w14:paraId="7216155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3.控制柜指示灯，柜内元器件工作是否正常。</w:t>
            </w:r>
          </w:p>
        </w:tc>
        <w:tc>
          <w:tcPr>
            <w:tcW w:w="1140" w:type="pct"/>
            <w:tcBorders>
              <w:top w:val="single" w:color="auto" w:sz="4" w:space="0"/>
              <w:left w:val="single" w:color="auto" w:sz="4" w:space="0"/>
              <w:bottom w:val="single" w:color="auto" w:sz="4" w:space="0"/>
              <w:right w:val="single" w:color="auto" w:sz="12" w:space="0"/>
            </w:tcBorders>
            <w:vAlign w:val="center"/>
          </w:tcPr>
          <w:p w14:paraId="4E9C0DC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外观良好，运行正常。</w:t>
            </w:r>
          </w:p>
        </w:tc>
      </w:tr>
      <w:tr w14:paraId="3692FD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vMerge w:val="continue"/>
            <w:tcBorders>
              <w:top w:val="single" w:color="auto" w:sz="4" w:space="0"/>
              <w:left w:val="single" w:color="auto" w:sz="12" w:space="0"/>
              <w:bottom w:val="single" w:color="auto" w:sz="4" w:space="0"/>
              <w:right w:val="single" w:color="auto" w:sz="4" w:space="0"/>
            </w:tcBorders>
            <w:vAlign w:val="center"/>
          </w:tcPr>
          <w:p w14:paraId="475519CB">
            <w:pPr>
              <w:kinsoku/>
              <w:overflowPunct w:val="0"/>
              <w:rPr>
                <w:rFonts w:ascii="方正仿宋_GB2312" w:hAnsi="方正仿宋_GB2312" w:eastAsia="方正仿宋_GB2312" w:cs="方正仿宋_GB2312"/>
                <w:sz w:val="24"/>
                <w:szCs w:val="24"/>
              </w:rPr>
            </w:pPr>
          </w:p>
        </w:tc>
        <w:tc>
          <w:tcPr>
            <w:tcW w:w="455" w:type="pct"/>
            <w:tcBorders>
              <w:top w:val="single" w:color="auto" w:sz="4" w:space="0"/>
              <w:left w:val="single" w:color="auto" w:sz="4" w:space="0"/>
              <w:bottom w:val="single" w:color="auto" w:sz="4" w:space="0"/>
              <w:right w:val="single" w:color="auto" w:sz="4" w:space="0"/>
            </w:tcBorders>
            <w:vAlign w:val="center"/>
          </w:tcPr>
          <w:p w14:paraId="0714964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5DF989B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51E61A1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1.电机、轴承加注黄油；如有异响，应更换轴承；</w:t>
            </w:r>
          </w:p>
          <w:p w14:paraId="6372A6F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2.泵体及管道阀门除锈刷漆：</w:t>
            </w:r>
          </w:p>
          <w:p w14:paraId="6D883E7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3.喷淋泵应启动管网末端试水装置放水试验；</w:t>
            </w:r>
          </w:p>
          <w:p w14:paraId="2B850F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4.消防栓泵应启动消防栓按钮试验，是否联动。</w:t>
            </w:r>
          </w:p>
        </w:tc>
        <w:tc>
          <w:tcPr>
            <w:tcW w:w="1140" w:type="pct"/>
            <w:tcBorders>
              <w:top w:val="single" w:color="auto" w:sz="4" w:space="0"/>
              <w:left w:val="single" w:color="auto" w:sz="4" w:space="0"/>
              <w:bottom w:val="single" w:color="auto" w:sz="4" w:space="0"/>
              <w:right w:val="single" w:color="auto" w:sz="12" w:space="0"/>
            </w:tcBorders>
            <w:vAlign w:val="center"/>
          </w:tcPr>
          <w:p w14:paraId="2BC9938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润滑良好，运行正常。</w:t>
            </w:r>
          </w:p>
        </w:tc>
      </w:tr>
      <w:tr w14:paraId="3AF07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 w:type="pct"/>
            <w:tcBorders>
              <w:top w:val="single" w:color="auto" w:sz="4" w:space="0"/>
              <w:left w:val="single" w:color="auto" w:sz="12" w:space="0"/>
              <w:bottom w:val="single" w:color="auto" w:sz="4" w:space="0"/>
              <w:right w:val="single" w:color="auto" w:sz="4" w:space="0"/>
            </w:tcBorders>
            <w:vAlign w:val="center"/>
          </w:tcPr>
          <w:p w14:paraId="7B4C2B5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喷淋</w:t>
            </w:r>
          </w:p>
          <w:p w14:paraId="6084172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管网</w:t>
            </w:r>
          </w:p>
        </w:tc>
        <w:tc>
          <w:tcPr>
            <w:tcW w:w="455" w:type="pct"/>
            <w:tcBorders>
              <w:top w:val="single" w:color="auto" w:sz="4" w:space="0"/>
              <w:left w:val="single" w:color="auto" w:sz="4" w:space="0"/>
              <w:bottom w:val="single" w:color="auto" w:sz="4" w:space="0"/>
              <w:right w:val="single" w:color="auto" w:sz="4" w:space="0"/>
            </w:tcBorders>
            <w:vAlign w:val="center"/>
          </w:tcPr>
          <w:p w14:paraId="39C7512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p w14:paraId="145F99D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948" w:type="pct"/>
            <w:tcBorders>
              <w:top w:val="single" w:color="auto" w:sz="4" w:space="0"/>
              <w:left w:val="single" w:color="auto" w:sz="4" w:space="0"/>
              <w:bottom w:val="single" w:color="auto" w:sz="4" w:space="0"/>
              <w:right w:val="single" w:color="auto" w:sz="4" w:space="0"/>
            </w:tcBorders>
            <w:vAlign w:val="center"/>
          </w:tcPr>
          <w:p w14:paraId="1F669A6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检查喷淋头是否滴漏，喷淋管网压力是否正常。</w:t>
            </w:r>
          </w:p>
        </w:tc>
        <w:tc>
          <w:tcPr>
            <w:tcW w:w="1140" w:type="pct"/>
            <w:tcBorders>
              <w:top w:val="single" w:color="auto" w:sz="4" w:space="0"/>
              <w:left w:val="single" w:color="auto" w:sz="4" w:space="0"/>
              <w:bottom w:val="single" w:color="auto" w:sz="4" w:space="0"/>
              <w:right w:val="single" w:color="auto" w:sz="12" w:space="0"/>
            </w:tcBorders>
            <w:vAlign w:val="center"/>
          </w:tcPr>
          <w:p w14:paraId="186E2BF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无滴漏、压力正靠。</w:t>
            </w:r>
          </w:p>
        </w:tc>
      </w:tr>
    </w:tbl>
    <w:tbl>
      <w:tblPr>
        <w:tblStyle w:val="8"/>
        <w:tblpPr w:leftFromText="180" w:rightFromText="180" w:vertAnchor="text" w:horzAnchor="page" w:tblpXSpec="center" w:tblpY="269"/>
        <w:tblOverlap w:val="never"/>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876"/>
        <w:gridCol w:w="4621"/>
        <w:gridCol w:w="2072"/>
      </w:tblGrid>
      <w:tr w14:paraId="2A7753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tcBorders>
              <w:top w:val="single" w:color="auto" w:sz="12" w:space="0"/>
              <w:left w:val="single" w:color="auto" w:sz="12" w:space="0"/>
              <w:bottom w:val="single" w:color="auto" w:sz="4" w:space="0"/>
              <w:right w:val="single" w:color="auto" w:sz="4" w:space="0"/>
            </w:tcBorders>
            <w:shd w:val="clear" w:color="auto" w:fill="E6E6E6"/>
            <w:vAlign w:val="center"/>
          </w:tcPr>
          <w:p w14:paraId="59BC59E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454" w:type="pct"/>
            <w:tcBorders>
              <w:top w:val="single" w:color="auto" w:sz="12" w:space="0"/>
              <w:left w:val="single" w:color="auto" w:sz="4" w:space="0"/>
              <w:bottom w:val="single" w:color="auto" w:sz="4" w:space="0"/>
              <w:right w:val="single" w:color="auto" w:sz="4" w:space="0"/>
            </w:tcBorders>
            <w:shd w:val="clear" w:color="auto" w:fill="E6E6E6"/>
            <w:vAlign w:val="center"/>
          </w:tcPr>
          <w:p w14:paraId="4ECBA8E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频次</w:t>
            </w:r>
          </w:p>
        </w:tc>
        <w:tc>
          <w:tcPr>
            <w:tcW w:w="2730" w:type="pct"/>
            <w:tcBorders>
              <w:top w:val="single" w:color="auto" w:sz="12" w:space="0"/>
              <w:left w:val="single" w:color="auto" w:sz="4" w:space="0"/>
              <w:bottom w:val="single" w:color="auto" w:sz="4" w:space="0"/>
              <w:right w:val="single" w:color="auto" w:sz="4" w:space="0"/>
            </w:tcBorders>
            <w:shd w:val="clear" w:color="auto" w:fill="E6E6E6"/>
            <w:vAlign w:val="center"/>
          </w:tcPr>
          <w:p w14:paraId="0282784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内容</w:t>
            </w:r>
          </w:p>
        </w:tc>
        <w:tc>
          <w:tcPr>
            <w:tcW w:w="1235" w:type="pct"/>
            <w:tcBorders>
              <w:top w:val="single" w:color="auto" w:sz="12" w:space="0"/>
              <w:left w:val="single" w:color="auto" w:sz="4" w:space="0"/>
              <w:bottom w:val="single" w:color="auto" w:sz="4" w:space="0"/>
              <w:right w:val="single" w:color="auto" w:sz="12" w:space="0"/>
            </w:tcBorders>
            <w:shd w:val="clear" w:color="auto" w:fill="E6E6E6"/>
            <w:vAlign w:val="center"/>
          </w:tcPr>
          <w:p w14:paraId="37A53C3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具体要求</w:t>
            </w:r>
          </w:p>
        </w:tc>
      </w:tr>
      <w:tr w14:paraId="1CADE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tcBorders>
              <w:top w:val="single" w:color="auto" w:sz="4" w:space="0"/>
              <w:left w:val="single" w:color="auto" w:sz="12" w:space="0"/>
              <w:bottom w:val="single" w:color="auto" w:sz="4" w:space="0"/>
              <w:right w:val="single" w:color="auto" w:sz="4" w:space="0"/>
            </w:tcBorders>
            <w:vAlign w:val="center"/>
          </w:tcPr>
          <w:p w14:paraId="030B732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冷却泵</w:t>
            </w:r>
          </w:p>
          <w:p w14:paraId="2878CC4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冷冻泵</w:t>
            </w:r>
          </w:p>
        </w:tc>
        <w:tc>
          <w:tcPr>
            <w:tcW w:w="454" w:type="pct"/>
            <w:tcBorders>
              <w:top w:val="single" w:color="auto" w:sz="4" w:space="0"/>
              <w:left w:val="single" w:color="auto" w:sz="4" w:space="0"/>
              <w:bottom w:val="single" w:color="auto" w:sz="4" w:space="0"/>
              <w:right w:val="single" w:color="auto" w:sz="4" w:space="0"/>
            </w:tcBorders>
            <w:vAlign w:val="center"/>
          </w:tcPr>
          <w:p w14:paraId="1BDA130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日常</w:t>
            </w:r>
          </w:p>
          <w:p w14:paraId="7F1BC32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维护</w:t>
            </w:r>
          </w:p>
        </w:tc>
        <w:tc>
          <w:tcPr>
            <w:tcW w:w="2730" w:type="pct"/>
            <w:tcBorders>
              <w:top w:val="single" w:color="auto" w:sz="4" w:space="0"/>
              <w:left w:val="single" w:color="auto" w:sz="4" w:space="0"/>
              <w:bottom w:val="single" w:color="auto" w:sz="4" w:space="0"/>
              <w:right w:val="single" w:color="auto" w:sz="4" w:space="0"/>
            </w:tcBorders>
            <w:vAlign w:val="center"/>
          </w:tcPr>
          <w:p w14:paraId="4CB8E90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1.检查电机电流、电压、温度，观察有无异常现象；</w:t>
            </w:r>
          </w:p>
          <w:p w14:paraId="747A78B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2.泵体盘根处滴水是否符合要求。</w:t>
            </w:r>
          </w:p>
        </w:tc>
        <w:tc>
          <w:tcPr>
            <w:tcW w:w="1235" w:type="pct"/>
            <w:tcBorders>
              <w:top w:val="single" w:color="auto" w:sz="4" w:space="0"/>
              <w:left w:val="single" w:color="auto" w:sz="4" w:space="0"/>
              <w:bottom w:val="single" w:color="auto" w:sz="4" w:space="0"/>
              <w:right w:val="single" w:color="auto" w:sz="12" w:space="0"/>
            </w:tcBorders>
            <w:vAlign w:val="center"/>
          </w:tcPr>
          <w:p w14:paraId="224BFD7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电压、电流等正常，盘根无漏水。</w:t>
            </w:r>
          </w:p>
        </w:tc>
      </w:tr>
      <w:tr w14:paraId="667A0C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488B2CAA">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42C07A4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p w14:paraId="66FEA1B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2BEB657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1.检查运行记录，检查联轴器及盘根的使用状况；</w:t>
            </w:r>
          </w:p>
          <w:p w14:paraId="72AA456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2.转动阀门，检查阀门能否灵活开启、关闭。</w:t>
            </w:r>
          </w:p>
        </w:tc>
        <w:tc>
          <w:tcPr>
            <w:tcW w:w="1235" w:type="pct"/>
            <w:tcBorders>
              <w:top w:val="single" w:color="auto" w:sz="4" w:space="0"/>
              <w:left w:val="single" w:color="auto" w:sz="4" w:space="0"/>
              <w:bottom w:val="single" w:color="auto" w:sz="4" w:space="0"/>
              <w:right w:val="single" w:color="auto" w:sz="12" w:space="0"/>
            </w:tcBorders>
            <w:vAlign w:val="center"/>
          </w:tcPr>
          <w:p w14:paraId="362E3DA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联轴器、阀门正常有效。</w:t>
            </w:r>
          </w:p>
        </w:tc>
      </w:tr>
      <w:tr w14:paraId="55616C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7277843B">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3EF7424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7FAAD67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59EF75A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1.清洗水泵及电机轴承并加注润滑油；</w:t>
            </w:r>
          </w:p>
          <w:p w14:paraId="2795CFD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2.检测电机绕组对地绝缘电阻，并记录；</w:t>
            </w:r>
          </w:p>
          <w:p w14:paraId="367986B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3.更换水泵轴衬套，重新加装填料；</w:t>
            </w:r>
          </w:p>
          <w:p w14:paraId="6656C11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4.泵体清洁除锈刷漆。</w:t>
            </w:r>
          </w:p>
        </w:tc>
        <w:tc>
          <w:tcPr>
            <w:tcW w:w="1235" w:type="pct"/>
            <w:tcBorders>
              <w:top w:val="single" w:color="auto" w:sz="4" w:space="0"/>
              <w:left w:val="single" w:color="auto" w:sz="4" w:space="0"/>
              <w:bottom w:val="single" w:color="auto" w:sz="4" w:space="0"/>
              <w:right w:val="single" w:color="auto" w:sz="12" w:space="0"/>
            </w:tcBorders>
            <w:vAlign w:val="center"/>
          </w:tcPr>
          <w:p w14:paraId="60A3D2C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外观良好,润滑良好,阻值符合要求。</w:t>
            </w:r>
          </w:p>
        </w:tc>
      </w:tr>
      <w:tr w14:paraId="43EF4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tcBorders>
              <w:top w:val="single" w:color="auto" w:sz="4" w:space="0"/>
              <w:left w:val="single" w:color="auto" w:sz="12" w:space="0"/>
              <w:bottom w:val="single" w:color="auto" w:sz="4" w:space="0"/>
              <w:right w:val="single" w:color="auto" w:sz="4" w:space="0"/>
            </w:tcBorders>
            <w:vAlign w:val="center"/>
          </w:tcPr>
          <w:p w14:paraId="196C89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冷却</w:t>
            </w:r>
          </w:p>
          <w:p w14:paraId="40D1B8E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水塔</w:t>
            </w:r>
          </w:p>
        </w:tc>
        <w:tc>
          <w:tcPr>
            <w:tcW w:w="454" w:type="pct"/>
            <w:tcBorders>
              <w:top w:val="single" w:color="auto" w:sz="4" w:space="0"/>
              <w:left w:val="single" w:color="auto" w:sz="4" w:space="0"/>
              <w:bottom w:val="single" w:color="auto" w:sz="4" w:space="0"/>
              <w:right w:val="single" w:color="auto" w:sz="4" w:space="0"/>
            </w:tcBorders>
            <w:vAlign w:val="center"/>
          </w:tcPr>
          <w:p w14:paraId="4B5A9D4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日常</w:t>
            </w:r>
          </w:p>
          <w:p w14:paraId="1798725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维护</w:t>
            </w:r>
          </w:p>
        </w:tc>
        <w:tc>
          <w:tcPr>
            <w:tcW w:w="2730" w:type="pct"/>
            <w:tcBorders>
              <w:top w:val="single" w:color="auto" w:sz="4" w:space="0"/>
              <w:left w:val="single" w:color="auto" w:sz="4" w:space="0"/>
              <w:bottom w:val="single" w:color="auto" w:sz="4" w:space="0"/>
              <w:right w:val="single" w:color="auto" w:sz="4" w:space="0"/>
            </w:tcBorders>
            <w:vAlign w:val="center"/>
          </w:tcPr>
          <w:p w14:paraId="22EDC9A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1.检查水阀浮球阀是否正常；</w:t>
            </w:r>
          </w:p>
          <w:p w14:paraId="2E13DD8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2.观察电流、电压及布水器及冷却水塔供水运行情况。</w:t>
            </w:r>
          </w:p>
        </w:tc>
        <w:tc>
          <w:tcPr>
            <w:tcW w:w="1235" w:type="pct"/>
            <w:tcBorders>
              <w:top w:val="single" w:color="auto" w:sz="4" w:space="0"/>
              <w:left w:val="single" w:color="auto" w:sz="4" w:space="0"/>
              <w:bottom w:val="single" w:color="auto" w:sz="4" w:space="0"/>
              <w:right w:val="single" w:color="auto" w:sz="12" w:space="0"/>
            </w:tcBorders>
            <w:vAlign w:val="center"/>
          </w:tcPr>
          <w:p w14:paraId="6CC8DBD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电流、电压正常，阀门开启正常有效。</w:t>
            </w:r>
          </w:p>
        </w:tc>
      </w:tr>
      <w:tr w14:paraId="4F83D8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548B9C13">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0CA39A2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p w14:paraId="1FF9C49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7011F94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1.每季检查2-3次布水器，并进行水处理；</w:t>
            </w:r>
          </w:p>
          <w:p w14:paraId="095FC7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2.检查电机皮带是否正常，清洗冷却水塔和本体。</w:t>
            </w:r>
          </w:p>
        </w:tc>
        <w:tc>
          <w:tcPr>
            <w:tcW w:w="1235" w:type="pct"/>
            <w:tcBorders>
              <w:top w:val="single" w:color="auto" w:sz="4" w:space="0"/>
              <w:left w:val="single" w:color="auto" w:sz="4" w:space="0"/>
              <w:bottom w:val="single" w:color="auto" w:sz="4" w:space="0"/>
              <w:right w:val="single" w:color="auto" w:sz="12" w:space="0"/>
            </w:tcBorders>
            <w:vAlign w:val="center"/>
          </w:tcPr>
          <w:p w14:paraId="155B985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皮带正常有效，水质处理合格，冷却水塔外观良好。</w:t>
            </w:r>
          </w:p>
        </w:tc>
      </w:tr>
      <w:tr w14:paraId="72DE4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7F97B741">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09FD275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6C6A0D5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1049BD3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1.用500V摇表检测电机绕组绝缘对地电阻不低于0.5MΩ，否则应干燥处理，达到符合要求；</w:t>
            </w:r>
          </w:p>
          <w:p w14:paraId="2A3E21B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2.检查电机、风扇是否转动灵活，如轴承有阻滞现象应</w:t>
            </w:r>
          </w:p>
          <w:p w14:paraId="44A9235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3.加润滑油；若有异常，则换新。</w:t>
            </w:r>
          </w:p>
          <w:p w14:paraId="5188ECB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4.检查皮带是否完好，如断裂则换新；</w:t>
            </w:r>
          </w:p>
          <w:p w14:paraId="5E89771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5.检查布水器是否出水均匀，否则管道应清理；</w:t>
            </w:r>
          </w:p>
          <w:p w14:paraId="2D5176A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6.清洗冷却水塔及风扇和叶片；</w:t>
            </w:r>
          </w:p>
          <w:p w14:paraId="3C1A07F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7.检查补水浮球阀开关是否有效，拧紧所有紧固件；</w:t>
            </w:r>
          </w:p>
          <w:p w14:paraId="4FE85E1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8.冷却水塔整体清洁。</w:t>
            </w:r>
          </w:p>
        </w:tc>
        <w:tc>
          <w:tcPr>
            <w:tcW w:w="1235" w:type="pct"/>
            <w:tcBorders>
              <w:top w:val="single" w:color="auto" w:sz="4" w:space="0"/>
              <w:left w:val="single" w:color="auto" w:sz="4" w:space="0"/>
              <w:bottom w:val="single" w:color="auto" w:sz="4" w:space="0"/>
              <w:right w:val="single" w:color="auto" w:sz="12" w:space="0"/>
            </w:tcBorders>
            <w:vAlign w:val="center"/>
          </w:tcPr>
          <w:p w14:paraId="060C193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电机风扇连接良好,塔体整洁。</w:t>
            </w:r>
          </w:p>
        </w:tc>
      </w:tr>
      <w:tr w14:paraId="10658A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tcBorders>
              <w:top w:val="single" w:color="auto" w:sz="4" w:space="0"/>
              <w:left w:val="single" w:color="auto" w:sz="12" w:space="0"/>
              <w:bottom w:val="single" w:color="auto" w:sz="4" w:space="0"/>
              <w:right w:val="single" w:color="auto" w:sz="4" w:space="0"/>
            </w:tcBorders>
            <w:vAlign w:val="center"/>
          </w:tcPr>
          <w:p w14:paraId="245BB14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风机</w:t>
            </w:r>
          </w:p>
          <w:p w14:paraId="0188D31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盘管</w:t>
            </w:r>
          </w:p>
        </w:tc>
        <w:tc>
          <w:tcPr>
            <w:tcW w:w="454" w:type="pct"/>
            <w:tcBorders>
              <w:top w:val="single" w:color="auto" w:sz="4" w:space="0"/>
              <w:left w:val="single" w:color="auto" w:sz="4" w:space="0"/>
              <w:bottom w:val="single" w:color="auto" w:sz="4" w:space="0"/>
              <w:right w:val="single" w:color="auto" w:sz="4" w:space="0"/>
            </w:tcBorders>
            <w:vAlign w:val="center"/>
          </w:tcPr>
          <w:p w14:paraId="5E901D0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日常</w:t>
            </w:r>
          </w:p>
          <w:p w14:paraId="4EF3FBD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维护</w:t>
            </w:r>
          </w:p>
        </w:tc>
        <w:tc>
          <w:tcPr>
            <w:tcW w:w="2730" w:type="pct"/>
            <w:tcBorders>
              <w:top w:val="single" w:color="auto" w:sz="4" w:space="0"/>
              <w:left w:val="single" w:color="auto" w:sz="4" w:space="0"/>
              <w:bottom w:val="single" w:color="auto" w:sz="4" w:space="0"/>
              <w:right w:val="single" w:color="auto" w:sz="4" w:space="0"/>
            </w:tcBorders>
            <w:vAlign w:val="center"/>
          </w:tcPr>
          <w:p w14:paraId="17F767A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1.观察风机是否正常运行；</w:t>
            </w:r>
          </w:p>
          <w:p w14:paraId="1F8D248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2.空调开关及电磁阀工作是否正常；</w:t>
            </w:r>
          </w:p>
          <w:p w14:paraId="4C1C0F4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3.每月清洗一次空气过滤网,不定期排除管内空气。</w:t>
            </w:r>
          </w:p>
        </w:tc>
        <w:tc>
          <w:tcPr>
            <w:tcW w:w="1235" w:type="pct"/>
            <w:tcBorders>
              <w:top w:val="single" w:color="auto" w:sz="4" w:space="0"/>
              <w:left w:val="single" w:color="auto" w:sz="4" w:space="0"/>
              <w:bottom w:val="single" w:color="auto" w:sz="4" w:space="0"/>
              <w:right w:val="single" w:color="auto" w:sz="12" w:space="0"/>
            </w:tcBorders>
            <w:vAlign w:val="center"/>
          </w:tcPr>
          <w:p w14:paraId="452913A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运行正常。</w:t>
            </w:r>
          </w:p>
        </w:tc>
      </w:tr>
      <w:tr w14:paraId="52605E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34B90480">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120B557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p w14:paraId="618C1D3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1D029DB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1.检查冷凝水接水盘管道是否畅通排水；</w:t>
            </w:r>
          </w:p>
          <w:p w14:paraId="3CA34C5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2.保温要求达到标准是否良好,自动排气阀工作有效。</w:t>
            </w:r>
          </w:p>
        </w:tc>
        <w:tc>
          <w:tcPr>
            <w:tcW w:w="1235" w:type="pct"/>
            <w:tcBorders>
              <w:top w:val="single" w:color="auto" w:sz="4" w:space="0"/>
              <w:left w:val="single" w:color="auto" w:sz="4" w:space="0"/>
              <w:bottom w:val="single" w:color="auto" w:sz="4" w:space="0"/>
              <w:right w:val="single" w:color="auto" w:sz="12" w:space="0"/>
            </w:tcBorders>
            <w:vAlign w:val="center"/>
          </w:tcPr>
          <w:p w14:paraId="7656281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阀门工作正常，盘管畅通。</w:t>
            </w:r>
          </w:p>
        </w:tc>
      </w:tr>
      <w:tr w14:paraId="783EFE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21A7070C">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337A406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37A56DC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47B2486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1.检查电机、风扇是否转动灵活，如轴承有阻滞现象应加润滑油；若有异常，则换新；</w:t>
            </w:r>
          </w:p>
          <w:p w14:paraId="690DF33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2.用500V摇表检测电机绕组绝缘对地电阻不低于0.5MΩ，否则应干燥处理，达到符合要求；</w:t>
            </w:r>
          </w:p>
          <w:p w14:paraId="73A0D1F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3.检查各节点螺栓紧固；</w:t>
            </w:r>
          </w:p>
          <w:p w14:paraId="4576BDB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4.清洁风机叶片、盘管、积水盘上的污垢；</w:t>
            </w:r>
          </w:p>
          <w:p w14:paraId="5A09CC0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5.整体清洁。</w:t>
            </w:r>
          </w:p>
        </w:tc>
        <w:tc>
          <w:tcPr>
            <w:tcW w:w="1235" w:type="pct"/>
            <w:tcBorders>
              <w:top w:val="single" w:color="auto" w:sz="4" w:space="0"/>
              <w:left w:val="single" w:color="auto" w:sz="4" w:space="0"/>
              <w:bottom w:val="single" w:color="auto" w:sz="4" w:space="0"/>
              <w:right w:val="single" w:color="auto" w:sz="12" w:space="0"/>
            </w:tcBorders>
            <w:vAlign w:val="center"/>
          </w:tcPr>
          <w:p w14:paraId="340D0D8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出口风速、温度达到要求；电机运行无噪声，设备无漏水。</w:t>
            </w:r>
          </w:p>
        </w:tc>
      </w:tr>
      <w:tr w14:paraId="2CE8B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tcBorders>
              <w:top w:val="single" w:color="auto" w:sz="4" w:space="0"/>
              <w:left w:val="single" w:color="auto" w:sz="12" w:space="0"/>
              <w:bottom w:val="single" w:color="auto" w:sz="4" w:space="0"/>
              <w:right w:val="single" w:color="auto" w:sz="4" w:space="0"/>
            </w:tcBorders>
            <w:vAlign w:val="center"/>
          </w:tcPr>
          <w:p w14:paraId="291FF96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新风</w:t>
            </w:r>
          </w:p>
          <w:p w14:paraId="0128EE5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机柜</w:t>
            </w:r>
          </w:p>
        </w:tc>
        <w:tc>
          <w:tcPr>
            <w:tcW w:w="454" w:type="pct"/>
            <w:tcBorders>
              <w:top w:val="single" w:color="auto" w:sz="4" w:space="0"/>
              <w:left w:val="single" w:color="auto" w:sz="4" w:space="0"/>
              <w:bottom w:val="single" w:color="auto" w:sz="4" w:space="0"/>
              <w:right w:val="single" w:color="auto" w:sz="4" w:space="0"/>
            </w:tcBorders>
            <w:vAlign w:val="center"/>
          </w:tcPr>
          <w:p w14:paraId="67C2E81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日常</w:t>
            </w:r>
          </w:p>
          <w:p w14:paraId="310C63B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维护</w:t>
            </w:r>
          </w:p>
        </w:tc>
        <w:tc>
          <w:tcPr>
            <w:tcW w:w="2730" w:type="pct"/>
            <w:tcBorders>
              <w:top w:val="single" w:color="auto" w:sz="4" w:space="0"/>
              <w:left w:val="single" w:color="auto" w:sz="4" w:space="0"/>
              <w:bottom w:val="single" w:color="auto" w:sz="4" w:space="0"/>
              <w:right w:val="single" w:color="auto" w:sz="4" w:space="0"/>
            </w:tcBorders>
            <w:vAlign w:val="center"/>
          </w:tcPr>
          <w:p w14:paraId="01FAE7C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1.机组外部清洁；</w:t>
            </w:r>
          </w:p>
          <w:p w14:paraId="2EDE237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2.检查电磁阀、温控器工作是否正常、接水盘排水是否畅通。</w:t>
            </w:r>
          </w:p>
        </w:tc>
        <w:tc>
          <w:tcPr>
            <w:tcW w:w="1235" w:type="pct"/>
            <w:tcBorders>
              <w:top w:val="single" w:color="auto" w:sz="4" w:space="0"/>
              <w:left w:val="single" w:color="auto" w:sz="4" w:space="0"/>
              <w:bottom w:val="single" w:color="auto" w:sz="4" w:space="0"/>
              <w:right w:val="single" w:color="auto" w:sz="12" w:space="0"/>
            </w:tcBorders>
            <w:vAlign w:val="center"/>
          </w:tcPr>
          <w:p w14:paraId="5B7662A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外观良好，设备运行正常。</w:t>
            </w:r>
          </w:p>
        </w:tc>
      </w:tr>
      <w:tr w14:paraId="4436D8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11C6D4E9">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3682DDC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p w14:paraId="772E167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3E4E969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1.清洗风机过滤器；</w:t>
            </w:r>
          </w:p>
          <w:p w14:paraId="2B8A514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2.风机轴承加注润滑油。</w:t>
            </w:r>
          </w:p>
        </w:tc>
        <w:tc>
          <w:tcPr>
            <w:tcW w:w="1235" w:type="pct"/>
            <w:tcBorders>
              <w:top w:val="single" w:color="auto" w:sz="4" w:space="0"/>
              <w:left w:val="single" w:color="auto" w:sz="4" w:space="0"/>
              <w:bottom w:val="single" w:color="auto" w:sz="4" w:space="0"/>
              <w:right w:val="single" w:color="auto" w:sz="12" w:space="0"/>
            </w:tcBorders>
            <w:vAlign w:val="center"/>
          </w:tcPr>
          <w:p w14:paraId="22A3051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过滤器干净，润滑良好。</w:t>
            </w:r>
          </w:p>
        </w:tc>
      </w:tr>
      <w:tr w14:paraId="1F629F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07B91B0B">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58C5DD8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2C340D2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45EA0EA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1.清洗风机及管道过滤网；</w:t>
            </w:r>
          </w:p>
          <w:p w14:paraId="75DA2B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2.清洗公共场所风机出风口；</w:t>
            </w:r>
          </w:p>
          <w:p w14:paraId="4CFD362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3.更换清洗电机轴承，并加注润滑油；</w:t>
            </w:r>
          </w:p>
          <w:p w14:paraId="44AED9D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4.风机及风柜外壳除锈补刷油漆；</w:t>
            </w:r>
          </w:p>
          <w:p w14:paraId="791D43E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5.检查、测试控制线路节点螺栓紧固。</w:t>
            </w:r>
          </w:p>
        </w:tc>
        <w:tc>
          <w:tcPr>
            <w:tcW w:w="1235" w:type="pct"/>
            <w:tcBorders>
              <w:top w:val="single" w:color="auto" w:sz="4" w:space="0"/>
              <w:left w:val="single" w:color="auto" w:sz="4" w:space="0"/>
              <w:bottom w:val="single" w:color="auto" w:sz="4" w:space="0"/>
              <w:right w:val="single" w:color="auto" w:sz="12" w:space="0"/>
            </w:tcBorders>
            <w:vAlign w:val="center"/>
          </w:tcPr>
          <w:p w14:paraId="1E40AD5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制冷嘲热讽效果良好、空气循环顺畅，无泄漏。</w:t>
            </w:r>
          </w:p>
        </w:tc>
      </w:tr>
      <w:tr w14:paraId="35E79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tcBorders>
              <w:top w:val="single" w:color="auto" w:sz="4" w:space="0"/>
              <w:left w:val="single" w:color="auto" w:sz="12" w:space="0"/>
              <w:bottom w:val="single" w:color="auto" w:sz="4" w:space="0"/>
              <w:right w:val="single" w:color="auto" w:sz="4" w:space="0"/>
            </w:tcBorders>
            <w:vAlign w:val="center"/>
          </w:tcPr>
          <w:p w14:paraId="03AE662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阀类</w:t>
            </w:r>
          </w:p>
        </w:tc>
        <w:tc>
          <w:tcPr>
            <w:tcW w:w="454" w:type="pct"/>
            <w:tcBorders>
              <w:top w:val="single" w:color="auto" w:sz="4" w:space="0"/>
              <w:left w:val="single" w:color="auto" w:sz="4" w:space="0"/>
              <w:bottom w:val="single" w:color="auto" w:sz="4" w:space="0"/>
              <w:right w:val="single" w:color="auto" w:sz="4" w:space="0"/>
            </w:tcBorders>
            <w:vAlign w:val="center"/>
          </w:tcPr>
          <w:p w14:paraId="6AC82CC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p w14:paraId="5422AE7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4D601CB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A、节制阀与调节阀的维修保养：</w:t>
            </w:r>
          </w:p>
          <w:p w14:paraId="7E9B010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1.检查是否泄漏税，如是则应加压填料；</w:t>
            </w:r>
          </w:p>
          <w:p w14:paraId="22BD2D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2.检查阀门开闭是否灵活，如有阻力则加注润滑油，如有破损则应换新；</w:t>
            </w:r>
          </w:p>
          <w:p w14:paraId="1EE8559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B、磁调节阀、压差调节阀：</w:t>
            </w:r>
          </w:p>
          <w:p w14:paraId="7CB9DB5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1.检查干燥过滤器是否已脏堵或吸潮，如是则应作处理或更换；</w:t>
            </w:r>
          </w:p>
          <w:p w14:paraId="7855A8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2.能断电检查电磁调节阀、压差调节阀是否动作可靠，如有问题则更换新或进行维修处理；</w:t>
            </w:r>
          </w:p>
          <w:p w14:paraId="5312E2E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3.阀门本体除锈，补刷油漆。</w:t>
            </w:r>
          </w:p>
        </w:tc>
        <w:tc>
          <w:tcPr>
            <w:tcW w:w="1235" w:type="pct"/>
            <w:tcBorders>
              <w:top w:val="single" w:color="auto" w:sz="4" w:space="0"/>
              <w:left w:val="single" w:color="auto" w:sz="4" w:space="0"/>
              <w:bottom w:val="single" w:color="auto" w:sz="4" w:space="0"/>
              <w:right w:val="single" w:color="auto" w:sz="12" w:space="0"/>
            </w:tcBorders>
            <w:vAlign w:val="center"/>
          </w:tcPr>
          <w:p w14:paraId="53450EB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开闭灵活，无破损和渗漏。</w:t>
            </w:r>
          </w:p>
        </w:tc>
      </w:tr>
      <w:tr w14:paraId="59FD0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tcBorders>
              <w:top w:val="single" w:color="auto" w:sz="4" w:space="0"/>
              <w:left w:val="single" w:color="auto" w:sz="12" w:space="0"/>
              <w:bottom w:val="single" w:color="auto" w:sz="4" w:space="0"/>
              <w:right w:val="single" w:color="auto" w:sz="4" w:space="0"/>
            </w:tcBorders>
            <w:vAlign w:val="center"/>
          </w:tcPr>
          <w:p w14:paraId="437543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控制</w:t>
            </w:r>
          </w:p>
          <w:p w14:paraId="6E7EDDD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系统</w:t>
            </w:r>
          </w:p>
        </w:tc>
        <w:tc>
          <w:tcPr>
            <w:tcW w:w="454" w:type="pct"/>
            <w:tcBorders>
              <w:top w:val="single" w:color="auto" w:sz="4" w:space="0"/>
              <w:left w:val="single" w:color="auto" w:sz="4" w:space="0"/>
              <w:bottom w:val="single" w:color="auto" w:sz="4" w:space="0"/>
              <w:right w:val="single" w:color="auto" w:sz="4" w:space="0"/>
            </w:tcBorders>
            <w:vAlign w:val="center"/>
          </w:tcPr>
          <w:p w14:paraId="6C2DB54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日常</w:t>
            </w:r>
          </w:p>
          <w:p w14:paraId="7367132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维护</w:t>
            </w:r>
          </w:p>
        </w:tc>
        <w:tc>
          <w:tcPr>
            <w:tcW w:w="2730" w:type="pct"/>
            <w:tcBorders>
              <w:top w:val="single" w:color="auto" w:sz="4" w:space="0"/>
              <w:left w:val="single" w:color="auto" w:sz="4" w:space="0"/>
              <w:bottom w:val="single" w:color="auto" w:sz="4" w:space="0"/>
              <w:right w:val="single" w:color="auto" w:sz="4" w:space="0"/>
            </w:tcBorders>
            <w:vAlign w:val="center"/>
          </w:tcPr>
          <w:p w14:paraId="58E5041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1.定期清洁；</w:t>
            </w:r>
          </w:p>
          <w:p w14:paraId="61F26FE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2.检测电流、电压是否正常。</w:t>
            </w:r>
          </w:p>
        </w:tc>
        <w:tc>
          <w:tcPr>
            <w:tcW w:w="1235" w:type="pct"/>
            <w:tcBorders>
              <w:top w:val="single" w:color="auto" w:sz="4" w:space="0"/>
              <w:left w:val="single" w:color="auto" w:sz="4" w:space="0"/>
              <w:bottom w:val="single" w:color="auto" w:sz="4" w:space="0"/>
              <w:right w:val="single" w:color="auto" w:sz="12" w:space="0"/>
            </w:tcBorders>
            <w:vAlign w:val="center"/>
          </w:tcPr>
          <w:p w14:paraId="52AA1B5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运行正常。</w:t>
            </w:r>
          </w:p>
        </w:tc>
      </w:tr>
      <w:tr w14:paraId="1F56A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516AFB61">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0F0B88D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p w14:paraId="23787CE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399770F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1.检查配电开关、线路等有无过热现象；</w:t>
            </w:r>
          </w:p>
          <w:p w14:paraId="0CA836F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2.检查各节点螺栓紧固。</w:t>
            </w:r>
          </w:p>
        </w:tc>
        <w:tc>
          <w:tcPr>
            <w:tcW w:w="1235" w:type="pct"/>
            <w:tcBorders>
              <w:top w:val="single" w:color="auto" w:sz="4" w:space="0"/>
              <w:left w:val="single" w:color="auto" w:sz="4" w:space="0"/>
              <w:bottom w:val="single" w:color="auto" w:sz="4" w:space="0"/>
              <w:right w:val="single" w:color="auto" w:sz="12" w:space="0"/>
            </w:tcBorders>
            <w:vAlign w:val="center"/>
          </w:tcPr>
          <w:p w14:paraId="30CDC63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线路接点无过热现象、控制装置良好。</w:t>
            </w:r>
          </w:p>
        </w:tc>
      </w:tr>
      <w:tr w14:paraId="2BE50B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tcBorders>
              <w:top w:val="single" w:color="auto" w:sz="4" w:space="0"/>
              <w:left w:val="single" w:color="auto" w:sz="12" w:space="0"/>
              <w:bottom w:val="single" w:color="auto" w:sz="4" w:space="0"/>
              <w:right w:val="single" w:color="auto" w:sz="4" w:space="0"/>
            </w:tcBorders>
            <w:vAlign w:val="center"/>
          </w:tcPr>
          <w:p w14:paraId="287126B3">
            <w:pPr>
              <w:kinsoku/>
              <w:overflowPunct w:val="0"/>
              <w:rPr>
                <w:rFonts w:ascii="方正仿宋_GB2312" w:hAnsi="方正仿宋_GB2312" w:eastAsia="方正仿宋_GB2312" w:cs="方正仿宋_GB2312"/>
                <w:sz w:val="24"/>
                <w:szCs w:val="24"/>
              </w:rPr>
            </w:pPr>
          </w:p>
        </w:tc>
        <w:tc>
          <w:tcPr>
            <w:tcW w:w="454" w:type="pct"/>
            <w:tcBorders>
              <w:top w:val="single" w:color="auto" w:sz="4" w:space="0"/>
              <w:left w:val="single" w:color="auto" w:sz="4" w:space="0"/>
              <w:bottom w:val="single" w:color="auto" w:sz="4" w:space="0"/>
              <w:right w:val="single" w:color="auto" w:sz="4" w:space="0"/>
            </w:tcBorders>
            <w:vAlign w:val="center"/>
          </w:tcPr>
          <w:p w14:paraId="1839E8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2E2C430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4FE2410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1.检测控制箱的接地电阻；</w:t>
            </w:r>
          </w:p>
          <w:p w14:paraId="7686ECB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2.更换接触不良的配件。</w:t>
            </w:r>
          </w:p>
        </w:tc>
        <w:tc>
          <w:tcPr>
            <w:tcW w:w="1235" w:type="pct"/>
            <w:tcBorders>
              <w:top w:val="single" w:color="auto" w:sz="4" w:space="0"/>
              <w:left w:val="single" w:color="auto" w:sz="4" w:space="0"/>
              <w:bottom w:val="single" w:color="auto" w:sz="4" w:space="0"/>
              <w:right w:val="single" w:color="auto" w:sz="12" w:space="0"/>
            </w:tcBorders>
            <w:vAlign w:val="center"/>
          </w:tcPr>
          <w:p w14:paraId="2014EEC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阻值符合规范要求。</w:t>
            </w:r>
          </w:p>
        </w:tc>
      </w:tr>
      <w:tr w14:paraId="0F548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tcBorders>
              <w:top w:val="single" w:color="auto" w:sz="4" w:space="0"/>
              <w:left w:val="single" w:color="auto" w:sz="12" w:space="0"/>
              <w:bottom w:val="single" w:color="auto" w:sz="4" w:space="0"/>
              <w:right w:val="single" w:color="auto" w:sz="4" w:space="0"/>
            </w:tcBorders>
            <w:vAlign w:val="center"/>
          </w:tcPr>
          <w:p w14:paraId="121E777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水处理</w:t>
            </w:r>
          </w:p>
        </w:tc>
        <w:tc>
          <w:tcPr>
            <w:tcW w:w="454" w:type="pct"/>
            <w:tcBorders>
              <w:top w:val="single" w:color="auto" w:sz="4" w:space="0"/>
              <w:left w:val="single" w:color="auto" w:sz="4" w:space="0"/>
              <w:bottom w:val="single" w:color="auto" w:sz="4" w:space="0"/>
              <w:right w:val="single" w:color="auto" w:sz="4" w:space="0"/>
            </w:tcBorders>
            <w:vAlign w:val="center"/>
          </w:tcPr>
          <w:p w14:paraId="6BFD6E4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每年</w:t>
            </w:r>
          </w:p>
          <w:p w14:paraId="2943461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一次</w:t>
            </w:r>
          </w:p>
        </w:tc>
        <w:tc>
          <w:tcPr>
            <w:tcW w:w="2730" w:type="pct"/>
            <w:tcBorders>
              <w:top w:val="single" w:color="auto" w:sz="4" w:space="0"/>
              <w:left w:val="single" w:color="auto" w:sz="4" w:space="0"/>
              <w:bottom w:val="single" w:color="auto" w:sz="4" w:space="0"/>
              <w:right w:val="single" w:color="auto" w:sz="4" w:space="0"/>
            </w:tcBorders>
            <w:vAlign w:val="center"/>
          </w:tcPr>
          <w:p w14:paraId="0C8F440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委托专业公司进行水质处理，达到相关规程规定；并记录归档保存。</w:t>
            </w:r>
          </w:p>
        </w:tc>
        <w:tc>
          <w:tcPr>
            <w:tcW w:w="1235" w:type="pct"/>
            <w:tcBorders>
              <w:top w:val="single" w:color="auto" w:sz="4" w:space="0"/>
              <w:left w:val="single" w:color="auto" w:sz="4" w:space="0"/>
              <w:bottom w:val="single" w:color="auto" w:sz="4" w:space="0"/>
              <w:right w:val="single" w:color="auto" w:sz="12" w:space="0"/>
            </w:tcBorders>
            <w:vAlign w:val="center"/>
          </w:tcPr>
          <w:p w14:paraId="3D2C224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合格。</w:t>
            </w:r>
          </w:p>
        </w:tc>
      </w:tr>
      <w:tr w14:paraId="3369E4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tcBorders>
              <w:top w:val="single" w:color="auto" w:sz="4" w:space="0"/>
              <w:left w:val="single" w:color="auto" w:sz="12" w:space="0"/>
              <w:bottom w:val="single" w:color="auto" w:sz="12" w:space="0"/>
              <w:right w:val="single" w:color="auto" w:sz="4" w:space="0"/>
            </w:tcBorders>
            <w:vAlign w:val="center"/>
          </w:tcPr>
          <w:p w14:paraId="68D2AEE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变频多联</w:t>
            </w:r>
          </w:p>
          <w:p w14:paraId="2E27FAA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空调</w:t>
            </w:r>
          </w:p>
        </w:tc>
        <w:tc>
          <w:tcPr>
            <w:tcW w:w="454" w:type="pct"/>
            <w:tcBorders>
              <w:top w:val="single" w:color="auto" w:sz="4" w:space="0"/>
              <w:left w:val="single" w:color="auto" w:sz="4" w:space="0"/>
              <w:bottom w:val="single" w:color="auto" w:sz="12" w:space="0"/>
              <w:right w:val="single" w:color="auto" w:sz="4" w:space="0"/>
            </w:tcBorders>
            <w:vAlign w:val="center"/>
          </w:tcPr>
          <w:p w14:paraId="145C709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每半年一次</w:t>
            </w:r>
          </w:p>
        </w:tc>
        <w:tc>
          <w:tcPr>
            <w:tcW w:w="2730" w:type="pct"/>
            <w:tcBorders>
              <w:top w:val="single" w:color="auto" w:sz="4" w:space="0"/>
              <w:left w:val="single" w:color="auto" w:sz="4" w:space="0"/>
              <w:bottom w:val="single" w:color="auto" w:sz="12" w:space="0"/>
              <w:right w:val="single" w:color="auto" w:sz="4" w:space="0"/>
            </w:tcBorders>
            <w:vAlign w:val="center"/>
          </w:tcPr>
          <w:p w14:paraId="743D147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清洗过滤网、检查室外机。</w:t>
            </w:r>
          </w:p>
        </w:tc>
        <w:tc>
          <w:tcPr>
            <w:tcW w:w="1235" w:type="pct"/>
            <w:tcBorders>
              <w:top w:val="single" w:color="auto" w:sz="4" w:space="0"/>
              <w:left w:val="single" w:color="auto" w:sz="4" w:space="0"/>
              <w:bottom w:val="single" w:color="auto" w:sz="12" w:space="0"/>
              <w:right w:val="single" w:color="auto" w:sz="12" w:space="0"/>
            </w:tcBorders>
            <w:vAlign w:val="center"/>
          </w:tcPr>
          <w:p w14:paraId="39A787C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运行正常。</w:t>
            </w:r>
          </w:p>
        </w:tc>
      </w:tr>
    </w:tbl>
    <w:p w14:paraId="4C7D888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（4）空调系统</w:t>
      </w:r>
    </w:p>
    <w:p w14:paraId="24A49C6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（5）电梯系统</w:t>
      </w:r>
    </w:p>
    <w:tbl>
      <w:tblPr>
        <w:tblStyle w:val="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 w:type="dxa"/>
          <w:bottom w:w="0" w:type="dxa"/>
          <w:right w:w="10" w:type="dxa"/>
        </w:tblCellMar>
      </w:tblPr>
      <w:tblGrid>
        <w:gridCol w:w="573"/>
        <w:gridCol w:w="680"/>
        <w:gridCol w:w="680"/>
        <w:gridCol w:w="5091"/>
        <w:gridCol w:w="1313"/>
      </w:tblGrid>
      <w:tr w14:paraId="163254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12" w:space="0"/>
              <w:left w:val="single" w:color="auto" w:sz="12" w:space="0"/>
              <w:bottom w:val="single" w:color="auto" w:sz="4" w:space="0"/>
              <w:right w:val="single" w:color="auto" w:sz="4" w:space="0"/>
            </w:tcBorders>
            <w:shd w:val="clear" w:color="auto" w:fill="E6E6E6"/>
            <w:vAlign w:val="center"/>
          </w:tcPr>
          <w:p w14:paraId="2B52BFD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序号</w:t>
            </w:r>
          </w:p>
        </w:tc>
        <w:tc>
          <w:tcPr>
            <w:tcW w:w="706" w:type="pct"/>
            <w:gridSpan w:val="2"/>
            <w:tcBorders>
              <w:top w:val="single" w:color="auto" w:sz="12" w:space="0"/>
              <w:left w:val="single" w:color="auto" w:sz="4" w:space="0"/>
              <w:bottom w:val="single" w:color="auto" w:sz="4" w:space="0"/>
              <w:right w:val="single" w:color="auto" w:sz="4" w:space="0"/>
            </w:tcBorders>
            <w:shd w:val="clear" w:color="auto" w:fill="E6E6E6"/>
            <w:vAlign w:val="center"/>
          </w:tcPr>
          <w:p w14:paraId="3DE8AC7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保养项目</w:t>
            </w:r>
          </w:p>
        </w:tc>
        <w:tc>
          <w:tcPr>
            <w:tcW w:w="3089" w:type="pct"/>
            <w:tcBorders>
              <w:top w:val="single" w:color="auto" w:sz="12" w:space="0"/>
              <w:left w:val="single" w:color="auto" w:sz="4" w:space="0"/>
              <w:bottom w:val="single" w:color="auto" w:sz="4" w:space="0"/>
              <w:right w:val="single" w:color="auto" w:sz="4" w:space="0"/>
            </w:tcBorders>
            <w:shd w:val="clear" w:color="auto" w:fill="E6E6E6"/>
            <w:vAlign w:val="center"/>
          </w:tcPr>
          <w:p w14:paraId="2C884AC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保养内容及要求</w:t>
            </w:r>
          </w:p>
        </w:tc>
        <w:tc>
          <w:tcPr>
            <w:tcW w:w="823" w:type="pct"/>
            <w:tcBorders>
              <w:top w:val="single" w:color="auto" w:sz="12" w:space="0"/>
              <w:left w:val="single" w:color="auto" w:sz="4" w:space="0"/>
              <w:bottom w:val="single" w:color="auto" w:sz="4" w:space="0"/>
              <w:right w:val="single" w:color="auto" w:sz="12" w:space="0"/>
            </w:tcBorders>
            <w:shd w:val="clear" w:color="auto" w:fill="E6E6E6"/>
            <w:vAlign w:val="center"/>
          </w:tcPr>
          <w:p w14:paraId="70F1568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保养周期</w:t>
            </w:r>
          </w:p>
        </w:tc>
      </w:tr>
      <w:tr w14:paraId="3A1F15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7CCA631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1348E9B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机房的通道,</w:t>
            </w:r>
          </w:p>
          <w:p w14:paraId="1BD9F54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出入口门</w:t>
            </w:r>
          </w:p>
        </w:tc>
        <w:tc>
          <w:tcPr>
            <w:tcW w:w="3089" w:type="pct"/>
            <w:tcBorders>
              <w:top w:val="single" w:color="auto" w:sz="4" w:space="0"/>
              <w:left w:val="single" w:color="auto" w:sz="4" w:space="0"/>
              <w:bottom w:val="single" w:color="auto" w:sz="4" w:space="0"/>
              <w:right w:val="single" w:color="auto" w:sz="4" w:space="0"/>
            </w:tcBorders>
            <w:vAlign w:val="center"/>
          </w:tcPr>
          <w:p w14:paraId="3B897ED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通道应通畅无障碍物、应有适当的照明设施且有效</w:t>
            </w:r>
          </w:p>
          <w:p w14:paraId="23A89DB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机房门应有告示牌、出入口锁紧装置要良好</w:t>
            </w:r>
          </w:p>
          <w:p w14:paraId="7E38C02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机房内应清洁卫生，不得堆放非电梯用物品</w:t>
            </w:r>
          </w:p>
        </w:tc>
        <w:tc>
          <w:tcPr>
            <w:tcW w:w="823" w:type="pct"/>
            <w:tcBorders>
              <w:top w:val="single" w:color="auto" w:sz="4" w:space="0"/>
              <w:left w:val="single" w:color="auto" w:sz="4" w:space="0"/>
              <w:bottom w:val="single" w:color="auto" w:sz="4" w:space="0"/>
              <w:right w:val="single" w:color="auto" w:sz="12" w:space="0"/>
            </w:tcBorders>
            <w:vAlign w:val="center"/>
          </w:tcPr>
          <w:p w14:paraId="0B76439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7天</w:t>
            </w:r>
          </w:p>
        </w:tc>
      </w:tr>
      <w:tr w14:paraId="32C105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2B2FC43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05E774F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机房设施</w:t>
            </w:r>
          </w:p>
        </w:tc>
        <w:tc>
          <w:tcPr>
            <w:tcW w:w="3089" w:type="pct"/>
            <w:tcBorders>
              <w:top w:val="single" w:color="auto" w:sz="4" w:space="0"/>
              <w:left w:val="single" w:color="auto" w:sz="4" w:space="0"/>
              <w:bottom w:val="single" w:color="auto" w:sz="4" w:space="0"/>
              <w:right w:val="single" w:color="auto" w:sz="4" w:space="0"/>
            </w:tcBorders>
            <w:vAlign w:val="center"/>
          </w:tcPr>
          <w:p w14:paraId="1AF1BCC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机房内温度要维持5℃~40℃、天花板或窗户不应漏水</w:t>
            </w:r>
          </w:p>
          <w:p w14:paraId="04F96D5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消防器材在有效期内</w:t>
            </w:r>
          </w:p>
        </w:tc>
        <w:tc>
          <w:tcPr>
            <w:tcW w:w="823" w:type="pct"/>
            <w:tcBorders>
              <w:top w:val="single" w:color="auto" w:sz="4" w:space="0"/>
              <w:left w:val="single" w:color="auto" w:sz="4" w:space="0"/>
              <w:bottom w:val="single" w:color="auto" w:sz="4" w:space="0"/>
              <w:right w:val="single" w:color="auto" w:sz="12" w:space="0"/>
            </w:tcBorders>
            <w:vAlign w:val="center"/>
          </w:tcPr>
          <w:p w14:paraId="6457923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7天</w:t>
            </w:r>
          </w:p>
        </w:tc>
      </w:tr>
      <w:tr w14:paraId="7C3D53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3917B5F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6D22970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滑轮间</w:t>
            </w:r>
          </w:p>
        </w:tc>
        <w:tc>
          <w:tcPr>
            <w:tcW w:w="3089" w:type="pct"/>
            <w:tcBorders>
              <w:top w:val="single" w:color="auto" w:sz="4" w:space="0"/>
              <w:left w:val="single" w:color="auto" w:sz="4" w:space="0"/>
              <w:bottom w:val="single" w:color="auto" w:sz="4" w:space="0"/>
              <w:right w:val="single" w:color="auto" w:sz="4" w:space="0"/>
            </w:tcBorders>
            <w:vAlign w:val="center"/>
          </w:tcPr>
          <w:p w14:paraId="1CF4B11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滑轮间应有足够的固定照明、电源插座</w:t>
            </w:r>
          </w:p>
          <w:p w14:paraId="76D636D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滑轮间入口，急停开关动作可靠</w:t>
            </w:r>
          </w:p>
          <w:p w14:paraId="3517B66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滑轮间地面清洁无油污</w:t>
            </w:r>
          </w:p>
        </w:tc>
        <w:tc>
          <w:tcPr>
            <w:tcW w:w="823" w:type="pct"/>
            <w:tcBorders>
              <w:top w:val="single" w:color="auto" w:sz="4" w:space="0"/>
              <w:left w:val="single" w:color="auto" w:sz="4" w:space="0"/>
              <w:bottom w:val="single" w:color="auto" w:sz="4" w:space="0"/>
              <w:right w:val="single" w:color="auto" w:sz="12" w:space="0"/>
            </w:tcBorders>
            <w:vAlign w:val="center"/>
          </w:tcPr>
          <w:p w14:paraId="79EF504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7A95FD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48D5864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5D6419F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手动盘车装置</w:t>
            </w:r>
          </w:p>
        </w:tc>
        <w:tc>
          <w:tcPr>
            <w:tcW w:w="3089" w:type="pct"/>
            <w:tcBorders>
              <w:top w:val="single" w:color="auto" w:sz="4" w:space="0"/>
              <w:left w:val="single" w:color="auto" w:sz="4" w:space="0"/>
              <w:bottom w:val="single" w:color="auto" w:sz="4" w:space="0"/>
              <w:right w:val="single" w:color="auto" w:sz="4" w:space="0"/>
            </w:tcBorders>
            <w:vAlign w:val="center"/>
          </w:tcPr>
          <w:p w14:paraId="62C06AE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手动盘车装置齐全,标识明确，操作说明清晰详细</w:t>
            </w:r>
          </w:p>
          <w:p w14:paraId="34AE9D8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制动器松闸板手应挂在制动器附近容易接近的墙上</w:t>
            </w:r>
          </w:p>
        </w:tc>
        <w:tc>
          <w:tcPr>
            <w:tcW w:w="823" w:type="pct"/>
            <w:tcBorders>
              <w:top w:val="single" w:color="auto" w:sz="4" w:space="0"/>
              <w:left w:val="single" w:color="auto" w:sz="4" w:space="0"/>
              <w:bottom w:val="single" w:color="auto" w:sz="4" w:space="0"/>
              <w:right w:val="single" w:color="auto" w:sz="12" w:space="0"/>
            </w:tcBorders>
            <w:vAlign w:val="center"/>
          </w:tcPr>
          <w:p w14:paraId="2C572F6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1CC045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136F851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0618506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配电盘</w:t>
            </w:r>
          </w:p>
          <w:p w14:paraId="5FA99E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控制柜屏</w:t>
            </w:r>
          </w:p>
        </w:tc>
        <w:tc>
          <w:tcPr>
            <w:tcW w:w="3089" w:type="pct"/>
            <w:tcBorders>
              <w:top w:val="single" w:color="auto" w:sz="4" w:space="0"/>
              <w:left w:val="single" w:color="auto" w:sz="4" w:space="0"/>
              <w:bottom w:val="single" w:color="auto" w:sz="4" w:space="0"/>
              <w:right w:val="single" w:color="auto" w:sz="4" w:space="0"/>
            </w:tcBorders>
            <w:vAlign w:val="center"/>
          </w:tcPr>
          <w:p w14:paraId="59E7AAD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各开关装置及保险标识明确、工作可靠无异常</w:t>
            </w:r>
          </w:p>
          <w:p w14:paraId="43F0C8F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接触器、继电器等电器元件固定良好、工作可靠无异常</w:t>
            </w:r>
          </w:p>
          <w:p w14:paraId="7E27DF7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电子板插件固定要良好，表面无积尘，无异味</w:t>
            </w:r>
          </w:p>
          <w:p w14:paraId="3801D1F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门锁及安全回路无短接线</w:t>
            </w:r>
          </w:p>
          <w:p w14:paraId="08D3CC5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设置有故障检测功能的微机电梯,需检查故障记录并做相应处理</w:t>
            </w:r>
          </w:p>
          <w:p w14:paraId="0136C8C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布线整齐，线槽盖板齐全、严密，接地良好</w:t>
            </w:r>
          </w:p>
        </w:tc>
        <w:tc>
          <w:tcPr>
            <w:tcW w:w="823" w:type="pct"/>
            <w:tcBorders>
              <w:top w:val="single" w:color="auto" w:sz="4" w:space="0"/>
              <w:left w:val="single" w:color="auto" w:sz="4" w:space="0"/>
              <w:bottom w:val="single" w:color="auto" w:sz="4" w:space="0"/>
              <w:right w:val="single" w:color="auto" w:sz="12" w:space="0"/>
            </w:tcBorders>
            <w:vAlign w:val="center"/>
          </w:tcPr>
          <w:p w14:paraId="726E119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08155D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297427AE">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0AF9FAE4">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44F6005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各接线端子标志编号清晰、并紧固，无氧化及接触不良</w:t>
            </w:r>
          </w:p>
          <w:p w14:paraId="5428A41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清洁卫生良好</w:t>
            </w:r>
          </w:p>
        </w:tc>
        <w:tc>
          <w:tcPr>
            <w:tcW w:w="823" w:type="pct"/>
            <w:tcBorders>
              <w:top w:val="single" w:color="auto" w:sz="4" w:space="0"/>
              <w:left w:val="single" w:color="auto" w:sz="4" w:space="0"/>
              <w:bottom w:val="single" w:color="auto" w:sz="4" w:space="0"/>
              <w:right w:val="single" w:color="auto" w:sz="12" w:space="0"/>
            </w:tcBorders>
            <w:vAlign w:val="center"/>
          </w:tcPr>
          <w:p w14:paraId="3E1B696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5D40B4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2898AC35">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31F60AAC">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4B19ACF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各电气部件的工作状态及检测点的工作参数符合产品说明要求</w:t>
            </w:r>
          </w:p>
        </w:tc>
        <w:tc>
          <w:tcPr>
            <w:tcW w:w="823" w:type="pct"/>
            <w:tcBorders>
              <w:top w:val="single" w:color="auto" w:sz="4" w:space="0"/>
              <w:left w:val="single" w:color="auto" w:sz="4" w:space="0"/>
              <w:bottom w:val="single" w:color="auto" w:sz="4" w:space="0"/>
              <w:right w:val="single" w:color="auto" w:sz="12" w:space="0"/>
            </w:tcBorders>
            <w:vAlign w:val="center"/>
          </w:tcPr>
          <w:p w14:paraId="671467C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131E8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160D9358">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1495A09C">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21A4715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断错相保护功能正常</w:t>
            </w:r>
          </w:p>
          <w:p w14:paraId="2324FFF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动力和控制回路的电气绝缘符合标准要求</w:t>
            </w:r>
          </w:p>
        </w:tc>
        <w:tc>
          <w:tcPr>
            <w:tcW w:w="823" w:type="pct"/>
            <w:tcBorders>
              <w:top w:val="single" w:color="auto" w:sz="4" w:space="0"/>
              <w:left w:val="single" w:color="auto" w:sz="4" w:space="0"/>
              <w:bottom w:val="single" w:color="auto" w:sz="4" w:space="0"/>
              <w:right w:val="single" w:color="auto" w:sz="12" w:space="0"/>
            </w:tcBorders>
            <w:vAlign w:val="center"/>
          </w:tcPr>
          <w:p w14:paraId="580DC0A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0B8A3F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055621C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w:t>
            </w:r>
          </w:p>
        </w:tc>
        <w:tc>
          <w:tcPr>
            <w:tcW w:w="345" w:type="pct"/>
            <w:vMerge w:val="restart"/>
            <w:tcBorders>
              <w:top w:val="single" w:color="auto" w:sz="4" w:space="0"/>
              <w:left w:val="single" w:color="auto" w:sz="4" w:space="0"/>
              <w:bottom w:val="single" w:color="auto" w:sz="4" w:space="0"/>
              <w:right w:val="single" w:color="auto" w:sz="4" w:space="0"/>
            </w:tcBorders>
            <w:vAlign w:val="center"/>
          </w:tcPr>
          <w:p w14:paraId="724640F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曳</w:t>
            </w:r>
          </w:p>
          <w:p w14:paraId="1DA55F5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引</w:t>
            </w:r>
          </w:p>
          <w:p w14:paraId="23D9A5C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w:t>
            </w:r>
          </w:p>
        </w:tc>
        <w:tc>
          <w:tcPr>
            <w:tcW w:w="360" w:type="pct"/>
            <w:vMerge w:val="restart"/>
            <w:tcBorders>
              <w:top w:val="single" w:color="auto" w:sz="4" w:space="0"/>
              <w:left w:val="single" w:color="auto" w:sz="4" w:space="0"/>
              <w:bottom w:val="single" w:color="auto" w:sz="4" w:space="0"/>
              <w:right w:val="single" w:color="auto" w:sz="4" w:space="0"/>
            </w:tcBorders>
            <w:vAlign w:val="center"/>
          </w:tcPr>
          <w:p w14:paraId="1AD5920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减</w:t>
            </w:r>
          </w:p>
          <w:p w14:paraId="10DBB2F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速</w:t>
            </w:r>
          </w:p>
          <w:p w14:paraId="1626D31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箱</w:t>
            </w:r>
          </w:p>
        </w:tc>
        <w:tc>
          <w:tcPr>
            <w:tcW w:w="3089" w:type="pct"/>
            <w:tcBorders>
              <w:top w:val="single" w:color="auto" w:sz="4" w:space="0"/>
              <w:left w:val="single" w:color="auto" w:sz="4" w:space="0"/>
              <w:bottom w:val="single" w:color="auto" w:sz="4" w:space="0"/>
              <w:right w:val="single" w:color="auto" w:sz="4" w:space="0"/>
            </w:tcBorders>
            <w:vAlign w:val="center"/>
          </w:tcPr>
          <w:p w14:paraId="392F7C0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表面无积尘及油污，油漆无剥落；箱体密封可靠，漏油无异常</w:t>
            </w:r>
          </w:p>
          <w:p w14:paraId="00C043E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运转时应无异常响声及振动</w:t>
            </w:r>
          </w:p>
          <w:p w14:paraId="156E9DC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传动部件啮合状态良好，无异常温升</w:t>
            </w:r>
          </w:p>
        </w:tc>
        <w:tc>
          <w:tcPr>
            <w:tcW w:w="823" w:type="pct"/>
            <w:tcBorders>
              <w:top w:val="single" w:color="auto" w:sz="4" w:space="0"/>
              <w:left w:val="single" w:color="auto" w:sz="4" w:space="0"/>
              <w:bottom w:val="single" w:color="auto" w:sz="4" w:space="0"/>
              <w:right w:val="single" w:color="auto" w:sz="12" w:space="0"/>
            </w:tcBorders>
            <w:vAlign w:val="center"/>
          </w:tcPr>
          <w:p w14:paraId="2AD1CC8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7743F9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7262B67D">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6D4CF116">
            <w:pPr>
              <w:kinsoku/>
              <w:overflowPunct w:val="0"/>
              <w:rPr>
                <w:rFonts w:ascii="方正仿宋_GB2312" w:hAnsi="方正仿宋_GB2312" w:eastAsia="方正仿宋_GB2312" w:cs="方正仿宋_GB2312"/>
                <w:sz w:val="24"/>
                <w:szCs w:val="24"/>
              </w:rPr>
            </w:pPr>
          </w:p>
        </w:tc>
        <w:tc>
          <w:tcPr>
            <w:tcW w:w="360" w:type="pct"/>
            <w:vMerge w:val="continue"/>
            <w:tcBorders>
              <w:top w:val="single" w:color="auto" w:sz="4" w:space="0"/>
              <w:left w:val="single" w:color="auto" w:sz="4" w:space="0"/>
              <w:bottom w:val="single" w:color="auto" w:sz="4" w:space="0"/>
              <w:right w:val="single" w:color="auto" w:sz="4" w:space="0"/>
            </w:tcBorders>
            <w:vAlign w:val="center"/>
          </w:tcPr>
          <w:p w14:paraId="75821EC0">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44F1FE0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油位正常，无杂质，按厂家要求定期更换</w:t>
            </w:r>
          </w:p>
        </w:tc>
        <w:tc>
          <w:tcPr>
            <w:tcW w:w="823" w:type="pct"/>
            <w:tcBorders>
              <w:top w:val="single" w:color="auto" w:sz="4" w:space="0"/>
              <w:left w:val="single" w:color="auto" w:sz="4" w:space="0"/>
              <w:bottom w:val="single" w:color="auto" w:sz="4" w:space="0"/>
              <w:right w:val="single" w:color="auto" w:sz="12" w:space="0"/>
            </w:tcBorders>
            <w:vAlign w:val="center"/>
          </w:tcPr>
          <w:p w14:paraId="6D6D086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02030D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14F21EF1">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18D04A1A">
            <w:pPr>
              <w:kinsoku/>
              <w:overflowPunct w:val="0"/>
              <w:rPr>
                <w:rFonts w:ascii="方正仿宋_GB2312" w:hAnsi="方正仿宋_GB2312" w:eastAsia="方正仿宋_GB2312" w:cs="方正仿宋_GB2312"/>
                <w:sz w:val="24"/>
                <w:szCs w:val="24"/>
              </w:rPr>
            </w:pPr>
          </w:p>
        </w:tc>
        <w:tc>
          <w:tcPr>
            <w:tcW w:w="360" w:type="pct"/>
            <w:vMerge w:val="restart"/>
            <w:tcBorders>
              <w:top w:val="single" w:color="auto" w:sz="4" w:space="0"/>
              <w:left w:val="single" w:color="auto" w:sz="4" w:space="0"/>
              <w:bottom w:val="single" w:color="auto" w:sz="4" w:space="0"/>
              <w:right w:val="single" w:color="auto" w:sz="4" w:space="0"/>
            </w:tcBorders>
            <w:vAlign w:val="center"/>
          </w:tcPr>
          <w:p w14:paraId="473FB5A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曳</w:t>
            </w:r>
          </w:p>
          <w:p w14:paraId="7270C78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引</w:t>
            </w:r>
          </w:p>
          <w:p w14:paraId="654423F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轮</w:t>
            </w:r>
          </w:p>
        </w:tc>
        <w:tc>
          <w:tcPr>
            <w:tcW w:w="3089" w:type="pct"/>
            <w:tcBorders>
              <w:top w:val="single" w:color="auto" w:sz="4" w:space="0"/>
              <w:left w:val="single" w:color="auto" w:sz="4" w:space="0"/>
              <w:bottom w:val="single" w:color="auto" w:sz="4" w:space="0"/>
              <w:right w:val="single" w:color="auto" w:sz="4" w:space="0"/>
            </w:tcBorders>
            <w:vAlign w:val="center"/>
          </w:tcPr>
          <w:p w14:paraId="08B47D5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曳引轮绳槽无严重油垢，磨损无异常</w:t>
            </w:r>
          </w:p>
          <w:p w14:paraId="206693A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正常运行时曳引轮与钢丝绳之间无严重滑移现象</w:t>
            </w:r>
          </w:p>
          <w:p w14:paraId="628F733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曳引轮线槽磨损严重时，需满足曳引条件要求，并确认更换或监控使用</w:t>
            </w:r>
          </w:p>
          <w:p w14:paraId="3971396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所设置的防止机械伤害的安全装置固定可靠，警告标识清晰</w:t>
            </w:r>
          </w:p>
          <w:p w14:paraId="78C3334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所设置的防止钢丝绳脱离装置应稳固</w:t>
            </w:r>
          </w:p>
        </w:tc>
        <w:tc>
          <w:tcPr>
            <w:tcW w:w="823" w:type="pct"/>
            <w:tcBorders>
              <w:top w:val="single" w:color="auto" w:sz="4" w:space="0"/>
              <w:left w:val="single" w:color="auto" w:sz="4" w:space="0"/>
              <w:bottom w:val="single" w:color="auto" w:sz="4" w:space="0"/>
              <w:right w:val="single" w:color="auto" w:sz="12" w:space="0"/>
            </w:tcBorders>
            <w:vAlign w:val="center"/>
          </w:tcPr>
          <w:p w14:paraId="552374D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710B8A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5EE64031">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230B74F0">
            <w:pPr>
              <w:kinsoku/>
              <w:overflowPunct w:val="0"/>
              <w:rPr>
                <w:rFonts w:ascii="方正仿宋_GB2312" w:hAnsi="方正仿宋_GB2312" w:eastAsia="方正仿宋_GB2312" w:cs="方正仿宋_GB2312"/>
                <w:sz w:val="24"/>
                <w:szCs w:val="24"/>
              </w:rPr>
            </w:pPr>
          </w:p>
        </w:tc>
        <w:tc>
          <w:tcPr>
            <w:tcW w:w="360" w:type="pct"/>
            <w:vMerge w:val="continue"/>
            <w:tcBorders>
              <w:top w:val="single" w:color="auto" w:sz="4" w:space="0"/>
              <w:left w:val="single" w:color="auto" w:sz="4" w:space="0"/>
              <w:bottom w:val="single" w:color="auto" w:sz="4" w:space="0"/>
              <w:right w:val="single" w:color="auto" w:sz="4" w:space="0"/>
            </w:tcBorders>
            <w:vAlign w:val="center"/>
          </w:tcPr>
          <w:p w14:paraId="0F506D6C">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6D40768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曳引轮在各负荷状态下的垂直度偏差不大于2mm</w:t>
            </w:r>
          </w:p>
        </w:tc>
        <w:tc>
          <w:tcPr>
            <w:tcW w:w="823" w:type="pct"/>
            <w:tcBorders>
              <w:top w:val="single" w:color="auto" w:sz="4" w:space="0"/>
              <w:left w:val="single" w:color="auto" w:sz="4" w:space="0"/>
              <w:bottom w:val="single" w:color="auto" w:sz="4" w:space="0"/>
              <w:right w:val="single" w:color="auto" w:sz="12" w:space="0"/>
            </w:tcBorders>
            <w:vAlign w:val="center"/>
          </w:tcPr>
          <w:p w14:paraId="26CCF23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2905E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2296B81C">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5C411B72">
            <w:pPr>
              <w:kinsoku/>
              <w:overflowPunct w:val="0"/>
              <w:rPr>
                <w:rFonts w:ascii="方正仿宋_GB2312" w:hAnsi="方正仿宋_GB2312" w:eastAsia="方正仿宋_GB2312" w:cs="方正仿宋_GB2312"/>
                <w:sz w:val="24"/>
                <w:szCs w:val="24"/>
              </w:rPr>
            </w:pPr>
          </w:p>
        </w:tc>
        <w:tc>
          <w:tcPr>
            <w:tcW w:w="360" w:type="pct"/>
            <w:vMerge w:val="restart"/>
            <w:tcBorders>
              <w:top w:val="single" w:color="auto" w:sz="4" w:space="0"/>
              <w:left w:val="single" w:color="auto" w:sz="4" w:space="0"/>
              <w:bottom w:val="single" w:color="auto" w:sz="4" w:space="0"/>
              <w:right w:val="single" w:color="auto" w:sz="4" w:space="0"/>
            </w:tcBorders>
            <w:vAlign w:val="center"/>
          </w:tcPr>
          <w:p w14:paraId="1A349A2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轴承</w:t>
            </w:r>
          </w:p>
        </w:tc>
        <w:tc>
          <w:tcPr>
            <w:tcW w:w="3089" w:type="pct"/>
            <w:tcBorders>
              <w:top w:val="single" w:color="auto" w:sz="4" w:space="0"/>
              <w:left w:val="single" w:color="auto" w:sz="4" w:space="0"/>
              <w:bottom w:val="single" w:color="auto" w:sz="4" w:space="0"/>
              <w:right w:val="single" w:color="auto" w:sz="4" w:space="0"/>
            </w:tcBorders>
            <w:vAlign w:val="center"/>
          </w:tcPr>
          <w:p w14:paraId="515EC8B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应无异常发热、无异常声音</w:t>
            </w:r>
          </w:p>
        </w:tc>
        <w:tc>
          <w:tcPr>
            <w:tcW w:w="823" w:type="pct"/>
            <w:tcBorders>
              <w:top w:val="single" w:color="auto" w:sz="4" w:space="0"/>
              <w:left w:val="single" w:color="auto" w:sz="4" w:space="0"/>
              <w:bottom w:val="single" w:color="auto" w:sz="4" w:space="0"/>
              <w:right w:val="single" w:color="auto" w:sz="12" w:space="0"/>
            </w:tcBorders>
            <w:vAlign w:val="center"/>
          </w:tcPr>
          <w:p w14:paraId="17637A9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1CCCA3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36BCD9EC">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48179FF7">
            <w:pPr>
              <w:kinsoku/>
              <w:overflowPunct w:val="0"/>
              <w:rPr>
                <w:rFonts w:ascii="方正仿宋_GB2312" w:hAnsi="方正仿宋_GB2312" w:eastAsia="方正仿宋_GB2312" w:cs="方正仿宋_GB2312"/>
                <w:sz w:val="24"/>
                <w:szCs w:val="24"/>
              </w:rPr>
            </w:pPr>
          </w:p>
        </w:tc>
        <w:tc>
          <w:tcPr>
            <w:tcW w:w="360" w:type="pct"/>
            <w:vMerge w:val="continue"/>
            <w:tcBorders>
              <w:top w:val="single" w:color="auto" w:sz="4" w:space="0"/>
              <w:left w:val="single" w:color="auto" w:sz="4" w:space="0"/>
              <w:bottom w:val="single" w:color="auto" w:sz="4" w:space="0"/>
              <w:right w:val="single" w:color="auto" w:sz="4" w:space="0"/>
            </w:tcBorders>
            <w:vAlign w:val="center"/>
          </w:tcPr>
          <w:p w14:paraId="049A6CFB">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4D09714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按润滑要求定期加注</w:t>
            </w:r>
          </w:p>
        </w:tc>
        <w:tc>
          <w:tcPr>
            <w:tcW w:w="823" w:type="pct"/>
            <w:tcBorders>
              <w:top w:val="single" w:color="auto" w:sz="4" w:space="0"/>
              <w:left w:val="single" w:color="auto" w:sz="4" w:space="0"/>
              <w:bottom w:val="single" w:color="auto" w:sz="4" w:space="0"/>
              <w:right w:val="single" w:color="auto" w:sz="12" w:space="0"/>
            </w:tcBorders>
            <w:vAlign w:val="center"/>
          </w:tcPr>
          <w:p w14:paraId="1B2DE84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09D8B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39C357AE">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28606DA9">
            <w:pPr>
              <w:kinsoku/>
              <w:overflowPunct w:val="0"/>
              <w:rPr>
                <w:rFonts w:ascii="方正仿宋_GB2312" w:hAnsi="方正仿宋_GB2312" w:eastAsia="方正仿宋_GB2312" w:cs="方正仿宋_GB2312"/>
                <w:sz w:val="24"/>
                <w:szCs w:val="24"/>
              </w:rPr>
            </w:pPr>
          </w:p>
        </w:tc>
        <w:tc>
          <w:tcPr>
            <w:tcW w:w="360" w:type="pct"/>
            <w:vMerge w:val="restart"/>
            <w:tcBorders>
              <w:top w:val="single" w:color="auto" w:sz="4" w:space="0"/>
              <w:left w:val="single" w:color="auto" w:sz="4" w:space="0"/>
              <w:bottom w:val="single" w:color="auto" w:sz="4" w:space="0"/>
              <w:right w:val="single" w:color="auto" w:sz="4" w:space="0"/>
            </w:tcBorders>
            <w:vAlign w:val="center"/>
          </w:tcPr>
          <w:p w14:paraId="3E7F8BF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制动器</w:t>
            </w:r>
          </w:p>
        </w:tc>
        <w:tc>
          <w:tcPr>
            <w:tcW w:w="3089" w:type="pct"/>
            <w:tcBorders>
              <w:top w:val="single" w:color="auto" w:sz="4" w:space="0"/>
              <w:left w:val="single" w:color="auto" w:sz="4" w:space="0"/>
              <w:bottom w:val="single" w:color="auto" w:sz="4" w:space="0"/>
              <w:right w:val="single" w:color="auto" w:sz="4" w:space="0"/>
            </w:tcBorders>
            <w:vAlign w:val="center"/>
          </w:tcPr>
          <w:p w14:paraId="4735ECD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制动器动作灵活、各部件齐全并可靠固定、所设置的电气触点接触良好</w:t>
            </w:r>
          </w:p>
          <w:p w14:paraId="0385D9E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制动轮光洁、无异常划痕，运行时无异响</w:t>
            </w:r>
          </w:p>
          <w:p w14:paraId="1497C52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制动器线圈表面无异常发热、电气接线可靠</w:t>
            </w:r>
          </w:p>
          <w:p w14:paraId="74FC570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制动器机械机构各相关尺寸按产品标准要求调整正确</w:t>
            </w:r>
          </w:p>
          <w:p w14:paraId="6C52E7E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制动器闸瓦工作可靠、磨损无异常，接近使用期限时应更换</w:t>
            </w:r>
          </w:p>
        </w:tc>
        <w:tc>
          <w:tcPr>
            <w:tcW w:w="823" w:type="pct"/>
            <w:tcBorders>
              <w:top w:val="single" w:color="auto" w:sz="4" w:space="0"/>
              <w:left w:val="single" w:color="auto" w:sz="4" w:space="0"/>
              <w:bottom w:val="single" w:color="auto" w:sz="4" w:space="0"/>
              <w:right w:val="single" w:color="auto" w:sz="12" w:space="0"/>
            </w:tcBorders>
            <w:vAlign w:val="center"/>
          </w:tcPr>
          <w:p w14:paraId="39E5DC0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2C9367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62AEA02C">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0126C36D">
            <w:pPr>
              <w:kinsoku/>
              <w:overflowPunct w:val="0"/>
              <w:rPr>
                <w:rFonts w:ascii="方正仿宋_GB2312" w:hAnsi="方正仿宋_GB2312" w:eastAsia="方正仿宋_GB2312" w:cs="方正仿宋_GB2312"/>
                <w:sz w:val="24"/>
                <w:szCs w:val="24"/>
              </w:rPr>
            </w:pPr>
          </w:p>
        </w:tc>
        <w:tc>
          <w:tcPr>
            <w:tcW w:w="360" w:type="pct"/>
            <w:vMerge w:val="continue"/>
            <w:tcBorders>
              <w:top w:val="single" w:color="auto" w:sz="4" w:space="0"/>
              <w:left w:val="single" w:color="auto" w:sz="4" w:space="0"/>
              <w:bottom w:val="single" w:color="auto" w:sz="4" w:space="0"/>
              <w:right w:val="single" w:color="auto" w:sz="4" w:space="0"/>
            </w:tcBorders>
            <w:vAlign w:val="center"/>
          </w:tcPr>
          <w:p w14:paraId="670D3639">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196CD1C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制动器解体清理、各运动部件选用规定润滑剂。</w:t>
            </w:r>
          </w:p>
          <w:p w14:paraId="62C760C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解体清理装配完毕的制动器性能应满足相关制动要求</w:t>
            </w:r>
          </w:p>
        </w:tc>
        <w:tc>
          <w:tcPr>
            <w:tcW w:w="823" w:type="pct"/>
            <w:tcBorders>
              <w:top w:val="single" w:color="auto" w:sz="4" w:space="0"/>
              <w:left w:val="single" w:color="auto" w:sz="4" w:space="0"/>
              <w:bottom w:val="single" w:color="auto" w:sz="4" w:space="0"/>
              <w:right w:val="single" w:color="auto" w:sz="12" w:space="0"/>
            </w:tcBorders>
            <w:vAlign w:val="center"/>
          </w:tcPr>
          <w:p w14:paraId="2F49E49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239C1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5D05948C">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1F9BC62D">
            <w:pPr>
              <w:kinsoku/>
              <w:overflowPunct w:val="0"/>
              <w:rPr>
                <w:rFonts w:ascii="方正仿宋_GB2312" w:hAnsi="方正仿宋_GB2312" w:eastAsia="方正仿宋_GB2312" w:cs="方正仿宋_GB2312"/>
                <w:sz w:val="24"/>
                <w:szCs w:val="24"/>
              </w:rPr>
            </w:pPr>
          </w:p>
        </w:tc>
        <w:tc>
          <w:tcPr>
            <w:tcW w:w="360" w:type="pct"/>
            <w:tcBorders>
              <w:top w:val="single" w:color="auto" w:sz="4" w:space="0"/>
              <w:left w:val="single" w:color="auto" w:sz="4" w:space="0"/>
              <w:bottom w:val="single" w:color="auto" w:sz="4" w:space="0"/>
              <w:right w:val="single" w:color="auto" w:sz="4" w:space="0"/>
            </w:tcBorders>
            <w:vAlign w:val="center"/>
          </w:tcPr>
          <w:p w14:paraId="2492B8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导向轮复绕轮</w:t>
            </w:r>
          </w:p>
        </w:tc>
        <w:tc>
          <w:tcPr>
            <w:tcW w:w="3089" w:type="pct"/>
            <w:tcBorders>
              <w:top w:val="single" w:color="auto" w:sz="4" w:space="0"/>
              <w:left w:val="single" w:color="auto" w:sz="4" w:space="0"/>
              <w:bottom w:val="single" w:color="auto" w:sz="4" w:space="0"/>
              <w:right w:val="single" w:color="auto" w:sz="4" w:space="0"/>
            </w:tcBorders>
            <w:vAlign w:val="center"/>
          </w:tcPr>
          <w:p w14:paraId="7591FD2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旋转顺畅、无异常声响；绳槽无严重油垢，磨损无异常</w:t>
            </w:r>
          </w:p>
          <w:p w14:paraId="679B9FC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所设置的防止机械伤害的安全装置固定可靠，警告标识清晰</w:t>
            </w:r>
          </w:p>
        </w:tc>
        <w:tc>
          <w:tcPr>
            <w:tcW w:w="823" w:type="pct"/>
            <w:tcBorders>
              <w:top w:val="single" w:color="auto" w:sz="4" w:space="0"/>
              <w:left w:val="single" w:color="auto" w:sz="4" w:space="0"/>
              <w:bottom w:val="single" w:color="auto" w:sz="4" w:space="0"/>
              <w:right w:val="single" w:color="auto" w:sz="12" w:space="0"/>
            </w:tcBorders>
            <w:vAlign w:val="center"/>
          </w:tcPr>
          <w:p w14:paraId="1E4118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3A688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0E896506">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0FED0637">
            <w:pPr>
              <w:kinsoku/>
              <w:overflowPunct w:val="0"/>
              <w:rPr>
                <w:rFonts w:ascii="方正仿宋_GB2312" w:hAnsi="方正仿宋_GB2312" w:eastAsia="方正仿宋_GB2312" w:cs="方正仿宋_GB2312"/>
                <w:sz w:val="24"/>
                <w:szCs w:val="24"/>
              </w:rPr>
            </w:pPr>
          </w:p>
        </w:tc>
        <w:tc>
          <w:tcPr>
            <w:tcW w:w="360" w:type="pct"/>
            <w:vMerge w:val="restart"/>
            <w:tcBorders>
              <w:top w:val="single" w:color="auto" w:sz="4" w:space="0"/>
              <w:left w:val="single" w:color="auto" w:sz="4" w:space="0"/>
              <w:bottom w:val="single" w:color="auto" w:sz="4" w:space="0"/>
              <w:right w:val="single" w:color="auto" w:sz="4" w:space="0"/>
            </w:tcBorders>
            <w:vAlign w:val="center"/>
          </w:tcPr>
          <w:p w14:paraId="0B3D2CC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电机</w:t>
            </w:r>
          </w:p>
        </w:tc>
        <w:tc>
          <w:tcPr>
            <w:tcW w:w="3089" w:type="pct"/>
            <w:tcBorders>
              <w:top w:val="single" w:color="auto" w:sz="4" w:space="0"/>
              <w:left w:val="single" w:color="auto" w:sz="4" w:space="0"/>
              <w:bottom w:val="single" w:color="auto" w:sz="4" w:space="0"/>
              <w:right w:val="single" w:color="auto" w:sz="4" w:space="0"/>
            </w:tcBorders>
            <w:vAlign w:val="center"/>
          </w:tcPr>
          <w:p w14:paraId="652A2A5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工作无异常发热和异常声响、表面清洁卫生</w:t>
            </w:r>
          </w:p>
        </w:tc>
        <w:tc>
          <w:tcPr>
            <w:tcW w:w="823" w:type="pct"/>
            <w:tcBorders>
              <w:top w:val="single" w:color="auto" w:sz="4" w:space="0"/>
              <w:left w:val="single" w:color="auto" w:sz="4" w:space="0"/>
              <w:bottom w:val="single" w:color="auto" w:sz="4" w:space="0"/>
              <w:right w:val="single" w:color="auto" w:sz="12" w:space="0"/>
            </w:tcBorders>
            <w:vAlign w:val="center"/>
          </w:tcPr>
          <w:p w14:paraId="161A521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64E4CC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01E5F76E">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11D8F0DC">
            <w:pPr>
              <w:kinsoku/>
              <w:overflowPunct w:val="0"/>
              <w:rPr>
                <w:rFonts w:ascii="方正仿宋_GB2312" w:hAnsi="方正仿宋_GB2312" w:eastAsia="方正仿宋_GB2312" w:cs="方正仿宋_GB2312"/>
                <w:sz w:val="24"/>
                <w:szCs w:val="24"/>
              </w:rPr>
            </w:pPr>
          </w:p>
        </w:tc>
        <w:tc>
          <w:tcPr>
            <w:tcW w:w="360" w:type="pct"/>
            <w:vMerge w:val="continue"/>
            <w:tcBorders>
              <w:top w:val="single" w:color="auto" w:sz="4" w:space="0"/>
              <w:left w:val="single" w:color="auto" w:sz="4" w:space="0"/>
              <w:bottom w:val="single" w:color="auto" w:sz="4" w:space="0"/>
              <w:right w:val="single" w:color="auto" w:sz="4" w:space="0"/>
            </w:tcBorders>
            <w:vAlign w:val="center"/>
          </w:tcPr>
          <w:p w14:paraId="5102382D">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193A2B6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定子线圈应清洁、无积尘</w:t>
            </w:r>
          </w:p>
        </w:tc>
        <w:tc>
          <w:tcPr>
            <w:tcW w:w="823" w:type="pct"/>
            <w:tcBorders>
              <w:top w:val="single" w:color="auto" w:sz="4" w:space="0"/>
              <w:left w:val="single" w:color="auto" w:sz="4" w:space="0"/>
              <w:bottom w:val="single" w:color="auto" w:sz="4" w:space="0"/>
              <w:right w:val="single" w:color="auto" w:sz="12" w:space="0"/>
            </w:tcBorders>
            <w:vAlign w:val="center"/>
          </w:tcPr>
          <w:p w14:paraId="5B3EEA0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6A5804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5D370F8E">
            <w:pPr>
              <w:kinsoku/>
              <w:overflowPunct w:val="0"/>
              <w:rPr>
                <w:rFonts w:ascii="方正仿宋_GB2312" w:hAnsi="方正仿宋_GB2312" w:eastAsia="方正仿宋_GB2312" w:cs="方正仿宋_GB2312"/>
                <w:sz w:val="24"/>
                <w:szCs w:val="24"/>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5490A104">
            <w:pPr>
              <w:kinsoku/>
              <w:overflowPunct w:val="0"/>
              <w:rPr>
                <w:rFonts w:ascii="方正仿宋_GB2312" w:hAnsi="方正仿宋_GB2312" w:eastAsia="方正仿宋_GB2312" w:cs="方正仿宋_GB2312"/>
                <w:sz w:val="24"/>
                <w:szCs w:val="24"/>
              </w:rPr>
            </w:pPr>
          </w:p>
        </w:tc>
        <w:tc>
          <w:tcPr>
            <w:tcW w:w="360" w:type="pct"/>
            <w:vMerge w:val="continue"/>
            <w:tcBorders>
              <w:top w:val="single" w:color="auto" w:sz="4" w:space="0"/>
              <w:left w:val="single" w:color="auto" w:sz="4" w:space="0"/>
              <w:bottom w:val="single" w:color="auto" w:sz="4" w:space="0"/>
              <w:right w:val="single" w:color="auto" w:sz="4" w:space="0"/>
            </w:tcBorders>
            <w:vAlign w:val="center"/>
          </w:tcPr>
          <w:p w14:paraId="04B9694C">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4127A00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电机的接线端子固定可靠、接触良好，无明显氧化及锈蚀</w:t>
            </w:r>
          </w:p>
        </w:tc>
        <w:tc>
          <w:tcPr>
            <w:tcW w:w="823" w:type="pct"/>
            <w:tcBorders>
              <w:top w:val="single" w:color="auto" w:sz="4" w:space="0"/>
              <w:left w:val="single" w:color="auto" w:sz="4" w:space="0"/>
              <w:bottom w:val="single" w:color="auto" w:sz="4" w:space="0"/>
              <w:right w:val="single" w:color="auto" w:sz="12" w:space="0"/>
            </w:tcBorders>
            <w:vAlign w:val="center"/>
          </w:tcPr>
          <w:p w14:paraId="6C03411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2F8C8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7D1DEBD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1AE6602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编码器</w:t>
            </w:r>
          </w:p>
          <w:p w14:paraId="42EE21A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测速电机</w:t>
            </w:r>
          </w:p>
        </w:tc>
        <w:tc>
          <w:tcPr>
            <w:tcW w:w="3089" w:type="pct"/>
            <w:tcBorders>
              <w:top w:val="single" w:color="auto" w:sz="4" w:space="0"/>
              <w:left w:val="single" w:color="auto" w:sz="4" w:space="0"/>
              <w:bottom w:val="single" w:color="auto" w:sz="4" w:space="0"/>
              <w:right w:val="single" w:color="auto" w:sz="4" w:space="0"/>
            </w:tcBorders>
            <w:vAlign w:val="center"/>
          </w:tcPr>
          <w:p w14:paraId="4AADC71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固定可靠、清洁卫生、转动灵活，无异常声响</w:t>
            </w:r>
          </w:p>
        </w:tc>
        <w:tc>
          <w:tcPr>
            <w:tcW w:w="823" w:type="pct"/>
            <w:tcBorders>
              <w:top w:val="single" w:color="auto" w:sz="4" w:space="0"/>
              <w:left w:val="single" w:color="auto" w:sz="4" w:space="0"/>
              <w:bottom w:val="single" w:color="auto" w:sz="4" w:space="0"/>
              <w:right w:val="single" w:color="auto" w:sz="12" w:space="0"/>
            </w:tcBorders>
            <w:vAlign w:val="center"/>
          </w:tcPr>
          <w:p w14:paraId="6319646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0A133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7137661E">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51EFCD1A">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5306A91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接线端固定可靠、接触良好</w:t>
            </w:r>
          </w:p>
        </w:tc>
        <w:tc>
          <w:tcPr>
            <w:tcW w:w="823" w:type="pct"/>
            <w:tcBorders>
              <w:top w:val="single" w:color="auto" w:sz="4" w:space="0"/>
              <w:left w:val="single" w:color="auto" w:sz="4" w:space="0"/>
              <w:bottom w:val="single" w:color="auto" w:sz="4" w:space="0"/>
              <w:right w:val="single" w:color="auto" w:sz="12" w:space="0"/>
            </w:tcBorders>
            <w:vAlign w:val="center"/>
          </w:tcPr>
          <w:p w14:paraId="70605F4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24F7F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557050B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2A0713C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选层器</w:t>
            </w:r>
          </w:p>
        </w:tc>
        <w:tc>
          <w:tcPr>
            <w:tcW w:w="3089" w:type="pct"/>
            <w:tcBorders>
              <w:top w:val="single" w:color="auto" w:sz="4" w:space="0"/>
              <w:left w:val="single" w:color="auto" w:sz="4" w:space="0"/>
              <w:bottom w:val="single" w:color="auto" w:sz="4" w:space="0"/>
              <w:right w:val="single" w:color="auto" w:sz="4" w:space="0"/>
            </w:tcBorders>
            <w:vAlign w:val="center"/>
          </w:tcPr>
          <w:p w14:paraId="2BD1724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所设置的传动钢带受力均匀无扭曲，无裂痕或破损现象</w:t>
            </w:r>
          </w:p>
        </w:tc>
        <w:tc>
          <w:tcPr>
            <w:tcW w:w="823" w:type="pct"/>
            <w:tcBorders>
              <w:top w:val="single" w:color="auto" w:sz="4" w:space="0"/>
              <w:left w:val="single" w:color="auto" w:sz="4" w:space="0"/>
              <w:bottom w:val="single" w:color="auto" w:sz="4" w:space="0"/>
              <w:right w:val="single" w:color="auto" w:sz="12" w:space="0"/>
            </w:tcBorders>
            <w:vAlign w:val="center"/>
          </w:tcPr>
          <w:p w14:paraId="4158F85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524DE2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4AE7AD49">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3A8C8381">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17D8031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固定/运动各触点位置固定可靠、表面清洁、磨损值在允许范围内</w:t>
            </w:r>
          </w:p>
          <w:p w14:paraId="4345CA2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电气接线标志清晰、接触良好、无明显氧化</w:t>
            </w:r>
          </w:p>
        </w:tc>
        <w:tc>
          <w:tcPr>
            <w:tcW w:w="823" w:type="pct"/>
            <w:tcBorders>
              <w:top w:val="single" w:color="auto" w:sz="4" w:space="0"/>
              <w:left w:val="single" w:color="auto" w:sz="4" w:space="0"/>
              <w:bottom w:val="single" w:color="auto" w:sz="4" w:space="0"/>
              <w:right w:val="single" w:color="auto" w:sz="12" w:space="0"/>
            </w:tcBorders>
            <w:vAlign w:val="center"/>
          </w:tcPr>
          <w:p w14:paraId="64B519C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408D40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1F4AC28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29E32AB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限速器</w:t>
            </w:r>
          </w:p>
          <w:p w14:paraId="7218155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安全钳</w:t>
            </w:r>
          </w:p>
        </w:tc>
        <w:tc>
          <w:tcPr>
            <w:tcW w:w="3089" w:type="pct"/>
            <w:tcBorders>
              <w:top w:val="single" w:color="auto" w:sz="4" w:space="0"/>
              <w:left w:val="single" w:color="auto" w:sz="4" w:space="0"/>
              <w:bottom w:val="single" w:color="auto" w:sz="4" w:space="0"/>
              <w:right w:val="single" w:color="auto" w:sz="4" w:space="0"/>
            </w:tcBorders>
            <w:vAlign w:val="center"/>
          </w:tcPr>
          <w:p w14:paraId="77ECB9E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各运动部件转动灵活、无异常声响，铅封或漆封标记齐全，无移动痕迹</w:t>
            </w:r>
          </w:p>
        </w:tc>
        <w:tc>
          <w:tcPr>
            <w:tcW w:w="823" w:type="pct"/>
            <w:tcBorders>
              <w:top w:val="single" w:color="auto" w:sz="4" w:space="0"/>
              <w:left w:val="single" w:color="auto" w:sz="4" w:space="0"/>
              <w:bottom w:val="single" w:color="auto" w:sz="4" w:space="0"/>
              <w:right w:val="single" w:color="auto" w:sz="12" w:space="0"/>
            </w:tcBorders>
            <w:vAlign w:val="center"/>
          </w:tcPr>
          <w:p w14:paraId="24EFD05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67163D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0DC9006A">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65992700">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79D382D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钢丝绳及绳槽无严重油垢，磨损无异常</w:t>
            </w:r>
          </w:p>
          <w:p w14:paraId="723686F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所设置的电气开关及触点工作可靠，接线良好</w:t>
            </w:r>
          </w:p>
        </w:tc>
        <w:tc>
          <w:tcPr>
            <w:tcW w:w="823" w:type="pct"/>
            <w:tcBorders>
              <w:top w:val="single" w:color="auto" w:sz="4" w:space="0"/>
              <w:left w:val="single" w:color="auto" w:sz="4" w:space="0"/>
              <w:bottom w:val="single" w:color="auto" w:sz="4" w:space="0"/>
              <w:right w:val="single" w:color="auto" w:sz="12" w:space="0"/>
            </w:tcBorders>
            <w:vAlign w:val="center"/>
          </w:tcPr>
          <w:p w14:paraId="209C1CE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1BB3A9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3034D53B">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207C9018">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6440C66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限速器、安全钳联动试验可靠；限速器可靠固定、垂直度偏差不大于0.5mm</w:t>
            </w:r>
          </w:p>
        </w:tc>
        <w:tc>
          <w:tcPr>
            <w:tcW w:w="823" w:type="pct"/>
            <w:tcBorders>
              <w:top w:val="single" w:color="auto" w:sz="4" w:space="0"/>
              <w:left w:val="single" w:color="auto" w:sz="4" w:space="0"/>
              <w:bottom w:val="single" w:color="auto" w:sz="4" w:space="0"/>
              <w:right w:val="single" w:color="auto" w:sz="12" w:space="0"/>
            </w:tcBorders>
            <w:vAlign w:val="center"/>
          </w:tcPr>
          <w:p w14:paraId="19B15DC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5DB44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3BEC9EA4">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522542B6">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4E06BC4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定期现场检测限速器各动作速度符合铭牌及标准要求</w:t>
            </w:r>
          </w:p>
        </w:tc>
        <w:tc>
          <w:tcPr>
            <w:tcW w:w="823" w:type="pct"/>
            <w:tcBorders>
              <w:top w:val="single" w:color="auto" w:sz="4" w:space="0"/>
              <w:left w:val="single" w:color="auto" w:sz="4" w:space="0"/>
              <w:bottom w:val="single" w:color="auto" w:sz="4" w:space="0"/>
              <w:right w:val="single" w:color="auto" w:sz="12" w:space="0"/>
            </w:tcBorders>
            <w:vAlign w:val="center"/>
          </w:tcPr>
          <w:p w14:paraId="04F1CB5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24个月</w:t>
            </w:r>
          </w:p>
        </w:tc>
      </w:tr>
      <w:tr w14:paraId="31575A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561FCF7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4DFF2A3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曳引机减震装置</w:t>
            </w:r>
          </w:p>
        </w:tc>
        <w:tc>
          <w:tcPr>
            <w:tcW w:w="3089" w:type="pct"/>
            <w:tcBorders>
              <w:top w:val="single" w:color="auto" w:sz="4" w:space="0"/>
              <w:left w:val="single" w:color="auto" w:sz="4" w:space="0"/>
              <w:bottom w:val="single" w:color="auto" w:sz="4" w:space="0"/>
              <w:right w:val="single" w:color="auto" w:sz="4" w:space="0"/>
            </w:tcBorders>
            <w:vAlign w:val="center"/>
          </w:tcPr>
          <w:p w14:paraId="1DEF659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限位挡块及缓冲橡胶齐全并固定可靠；橡胶表面无裂痕、老化现象</w:t>
            </w:r>
          </w:p>
        </w:tc>
        <w:tc>
          <w:tcPr>
            <w:tcW w:w="823" w:type="pct"/>
            <w:tcBorders>
              <w:top w:val="single" w:color="auto" w:sz="4" w:space="0"/>
              <w:left w:val="single" w:color="auto" w:sz="4" w:space="0"/>
              <w:bottom w:val="single" w:color="auto" w:sz="4" w:space="0"/>
              <w:right w:val="single" w:color="auto" w:sz="12" w:space="0"/>
            </w:tcBorders>
            <w:vAlign w:val="center"/>
          </w:tcPr>
          <w:p w14:paraId="155C101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21091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364F1F6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5C88EF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停电自动救援装置</w:t>
            </w:r>
          </w:p>
        </w:tc>
        <w:tc>
          <w:tcPr>
            <w:tcW w:w="3089" w:type="pct"/>
            <w:tcBorders>
              <w:top w:val="single" w:color="auto" w:sz="4" w:space="0"/>
              <w:left w:val="single" w:color="auto" w:sz="4" w:space="0"/>
              <w:bottom w:val="single" w:color="auto" w:sz="4" w:space="0"/>
              <w:right w:val="single" w:color="auto" w:sz="4" w:space="0"/>
            </w:tcBorders>
            <w:vAlign w:val="center"/>
          </w:tcPr>
          <w:p w14:paraId="7F57DD2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所使用的蓄电池接线端子无明显的氧化腐蚀</w:t>
            </w:r>
          </w:p>
        </w:tc>
        <w:tc>
          <w:tcPr>
            <w:tcW w:w="823" w:type="pct"/>
            <w:tcBorders>
              <w:top w:val="single" w:color="auto" w:sz="4" w:space="0"/>
              <w:left w:val="single" w:color="auto" w:sz="4" w:space="0"/>
              <w:bottom w:val="single" w:color="auto" w:sz="4" w:space="0"/>
              <w:right w:val="single" w:color="auto" w:sz="12" w:space="0"/>
            </w:tcBorders>
            <w:vAlign w:val="center"/>
          </w:tcPr>
          <w:p w14:paraId="5ADB8EF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4B4099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62AE4758">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79469C29">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574C167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定期检查其功能正常。如需停电检修,应采取措施,防止误动作</w:t>
            </w:r>
          </w:p>
        </w:tc>
        <w:tc>
          <w:tcPr>
            <w:tcW w:w="823" w:type="pct"/>
            <w:tcBorders>
              <w:top w:val="single" w:color="auto" w:sz="4" w:space="0"/>
              <w:left w:val="single" w:color="auto" w:sz="4" w:space="0"/>
              <w:bottom w:val="single" w:color="auto" w:sz="4" w:space="0"/>
              <w:right w:val="single" w:color="auto" w:sz="12" w:space="0"/>
            </w:tcBorders>
            <w:vAlign w:val="center"/>
          </w:tcPr>
          <w:p w14:paraId="3CA6393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13C8F1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3B7B984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3F3720B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轿内标示牌</w:t>
            </w:r>
          </w:p>
        </w:tc>
        <w:tc>
          <w:tcPr>
            <w:tcW w:w="3089" w:type="pct"/>
            <w:tcBorders>
              <w:top w:val="single" w:color="auto" w:sz="4" w:space="0"/>
              <w:left w:val="single" w:color="auto" w:sz="4" w:space="0"/>
              <w:bottom w:val="single" w:color="auto" w:sz="4" w:space="0"/>
              <w:right w:val="single" w:color="auto" w:sz="4" w:space="0"/>
            </w:tcBorders>
            <w:vAlign w:val="center"/>
          </w:tcPr>
          <w:p w14:paraId="70E3875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轿内应有标明额定载重量、人数和制造单位的铭牌</w:t>
            </w:r>
          </w:p>
          <w:p w14:paraId="5FE09DB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电梯使用守则、紧急情况时联络电话</w:t>
            </w:r>
          </w:p>
          <w:p w14:paraId="3B441C5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电梯注册登记标志</w:t>
            </w:r>
          </w:p>
        </w:tc>
        <w:tc>
          <w:tcPr>
            <w:tcW w:w="823" w:type="pct"/>
            <w:tcBorders>
              <w:top w:val="single" w:color="auto" w:sz="4" w:space="0"/>
              <w:left w:val="single" w:color="auto" w:sz="4" w:space="0"/>
              <w:bottom w:val="single" w:color="auto" w:sz="4" w:space="0"/>
              <w:right w:val="single" w:color="auto" w:sz="12" w:space="0"/>
            </w:tcBorders>
            <w:vAlign w:val="center"/>
          </w:tcPr>
          <w:p w14:paraId="2ADDEB4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504112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393D33E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13</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611A567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轿厢壁、天花板及地板</w:t>
            </w:r>
          </w:p>
        </w:tc>
        <w:tc>
          <w:tcPr>
            <w:tcW w:w="3089" w:type="pct"/>
            <w:tcBorders>
              <w:top w:val="single" w:color="auto" w:sz="4" w:space="0"/>
              <w:left w:val="single" w:color="auto" w:sz="4" w:space="0"/>
              <w:bottom w:val="single" w:color="auto" w:sz="4" w:space="0"/>
              <w:right w:val="single" w:color="auto" w:sz="4" w:space="0"/>
            </w:tcBorders>
            <w:vAlign w:val="center"/>
          </w:tcPr>
          <w:p w14:paraId="6154EF0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不应存在严重的变形、磨损、生锈、腐蚀</w:t>
            </w:r>
          </w:p>
          <w:p w14:paraId="748135C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如轿厢重新装修,不应使用易燃材料,且需检查及调整平衡系数</w:t>
            </w:r>
          </w:p>
        </w:tc>
        <w:tc>
          <w:tcPr>
            <w:tcW w:w="823" w:type="pct"/>
            <w:tcBorders>
              <w:top w:val="single" w:color="auto" w:sz="4" w:space="0"/>
              <w:left w:val="single" w:color="auto" w:sz="4" w:space="0"/>
              <w:bottom w:val="single" w:color="auto" w:sz="4" w:space="0"/>
              <w:right w:val="single" w:color="auto" w:sz="12" w:space="0"/>
            </w:tcBorders>
            <w:vAlign w:val="center"/>
          </w:tcPr>
          <w:p w14:paraId="2464727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296C79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0C793F1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14</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3BE894B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轿内操纵箱及显示器</w:t>
            </w:r>
          </w:p>
        </w:tc>
        <w:tc>
          <w:tcPr>
            <w:tcW w:w="3089" w:type="pct"/>
            <w:tcBorders>
              <w:top w:val="single" w:color="auto" w:sz="4" w:space="0"/>
              <w:left w:val="single" w:color="auto" w:sz="4" w:space="0"/>
              <w:bottom w:val="single" w:color="auto" w:sz="4" w:space="0"/>
              <w:right w:val="single" w:color="auto" w:sz="4" w:space="0"/>
            </w:tcBorders>
            <w:vAlign w:val="center"/>
          </w:tcPr>
          <w:p w14:paraId="416B9B2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按钮、开关无明显的老化、损伤，标记清晰、功能正常</w:t>
            </w:r>
          </w:p>
          <w:p w14:paraId="5C2DE9D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所设置的轿内检修盒面板锁有效，检修盒内各开关功能正常</w:t>
            </w:r>
          </w:p>
          <w:p w14:paraId="5EF5D2D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显示器表面无破损，显示状态正确无误</w:t>
            </w:r>
          </w:p>
        </w:tc>
        <w:tc>
          <w:tcPr>
            <w:tcW w:w="823" w:type="pct"/>
            <w:tcBorders>
              <w:top w:val="single" w:color="auto" w:sz="4" w:space="0"/>
              <w:left w:val="single" w:color="auto" w:sz="4" w:space="0"/>
              <w:bottom w:val="single" w:color="auto" w:sz="4" w:space="0"/>
              <w:right w:val="single" w:color="auto" w:sz="12" w:space="0"/>
            </w:tcBorders>
            <w:vAlign w:val="center"/>
          </w:tcPr>
          <w:p w14:paraId="0E2DC5F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70543C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7091FF4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50F8679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轿厢照明和通风装置</w:t>
            </w:r>
          </w:p>
        </w:tc>
        <w:tc>
          <w:tcPr>
            <w:tcW w:w="3089" w:type="pct"/>
            <w:tcBorders>
              <w:top w:val="single" w:color="auto" w:sz="4" w:space="0"/>
              <w:left w:val="single" w:color="auto" w:sz="4" w:space="0"/>
              <w:bottom w:val="single" w:color="auto" w:sz="4" w:space="0"/>
              <w:right w:val="single" w:color="auto" w:sz="4" w:space="0"/>
            </w:tcBorders>
            <w:vAlign w:val="center"/>
          </w:tcPr>
          <w:p w14:paraId="19685BB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轿厢内照明和通风装置工作应正常,轿内地板的照明度要在50Lx以上</w:t>
            </w:r>
          </w:p>
        </w:tc>
        <w:tc>
          <w:tcPr>
            <w:tcW w:w="823" w:type="pct"/>
            <w:tcBorders>
              <w:top w:val="single" w:color="auto" w:sz="4" w:space="0"/>
              <w:left w:val="single" w:color="auto" w:sz="4" w:space="0"/>
              <w:bottom w:val="single" w:color="auto" w:sz="4" w:space="0"/>
              <w:right w:val="single" w:color="auto" w:sz="12" w:space="0"/>
            </w:tcBorders>
            <w:vAlign w:val="center"/>
          </w:tcPr>
          <w:p w14:paraId="3DAE7A8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4BA68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089C2775">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6CE0AE19">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2F6AEF6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应定期检查及清洁轿厢风扇，风扇轴承应定期注油润滑</w:t>
            </w:r>
          </w:p>
        </w:tc>
        <w:tc>
          <w:tcPr>
            <w:tcW w:w="823" w:type="pct"/>
            <w:tcBorders>
              <w:top w:val="single" w:color="auto" w:sz="4" w:space="0"/>
              <w:left w:val="single" w:color="auto" w:sz="4" w:space="0"/>
              <w:bottom w:val="single" w:color="auto" w:sz="4" w:space="0"/>
              <w:right w:val="single" w:color="auto" w:sz="12" w:space="0"/>
            </w:tcBorders>
            <w:vAlign w:val="center"/>
          </w:tcPr>
          <w:p w14:paraId="30AB03D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34628D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3DC0973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16</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771315C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轿厢门、地坎、护脚板</w:t>
            </w:r>
          </w:p>
        </w:tc>
        <w:tc>
          <w:tcPr>
            <w:tcW w:w="3089" w:type="pct"/>
            <w:tcBorders>
              <w:top w:val="single" w:color="auto" w:sz="4" w:space="0"/>
              <w:left w:val="single" w:color="auto" w:sz="4" w:space="0"/>
              <w:bottom w:val="single" w:color="auto" w:sz="4" w:space="0"/>
              <w:right w:val="single" w:color="auto" w:sz="4" w:space="0"/>
            </w:tcBorders>
            <w:vAlign w:val="center"/>
          </w:tcPr>
          <w:p w14:paraId="5C0B910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不应存在严重的变形、磨损、生锈、腐蚀</w:t>
            </w:r>
          </w:p>
          <w:p w14:paraId="48CB5DC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轿厢地坎及上坎清洁无积尘</w:t>
            </w:r>
          </w:p>
          <w:p w14:paraId="5B53C06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轿门门门滑块齐全，无脱落</w:t>
            </w:r>
          </w:p>
        </w:tc>
        <w:tc>
          <w:tcPr>
            <w:tcW w:w="823" w:type="pct"/>
            <w:tcBorders>
              <w:top w:val="single" w:color="auto" w:sz="4" w:space="0"/>
              <w:left w:val="single" w:color="auto" w:sz="4" w:space="0"/>
              <w:bottom w:val="single" w:color="auto" w:sz="4" w:space="0"/>
              <w:right w:val="single" w:color="auto" w:sz="12" w:space="0"/>
            </w:tcBorders>
            <w:vAlign w:val="center"/>
          </w:tcPr>
          <w:p w14:paraId="04D44ED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7171BB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24BC74F1">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4F74DAB4">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2140FFB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护脚板符合标准要求并固定可靠</w:t>
            </w:r>
          </w:p>
          <w:p w14:paraId="07DAC5C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阻止关门所需的力不应大于150N</w:t>
            </w:r>
          </w:p>
          <w:p w14:paraId="3386D73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门扇与门扇，门扇与门框、地坎之间的间隙符合标准要求</w:t>
            </w:r>
          </w:p>
          <w:p w14:paraId="3932F3D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轿门门滑块、轿门门挂轮、门挂板偏心轮检查磨损及间隙调整</w:t>
            </w:r>
          </w:p>
          <w:p w14:paraId="683AA8E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不应出现因轿门滑块磨损而产生噪音</w:t>
            </w:r>
          </w:p>
        </w:tc>
        <w:tc>
          <w:tcPr>
            <w:tcW w:w="823" w:type="pct"/>
            <w:tcBorders>
              <w:top w:val="single" w:color="auto" w:sz="4" w:space="0"/>
              <w:left w:val="single" w:color="auto" w:sz="4" w:space="0"/>
              <w:bottom w:val="single" w:color="auto" w:sz="4" w:space="0"/>
              <w:right w:val="single" w:color="auto" w:sz="12" w:space="0"/>
            </w:tcBorders>
            <w:vAlign w:val="center"/>
          </w:tcPr>
          <w:p w14:paraId="42A2C2D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0BD3DA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31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352C0A2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17</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08FB1A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轿门开关</w:t>
            </w:r>
          </w:p>
        </w:tc>
        <w:tc>
          <w:tcPr>
            <w:tcW w:w="3089" w:type="pct"/>
            <w:tcBorders>
              <w:top w:val="single" w:color="auto" w:sz="4" w:space="0"/>
              <w:left w:val="single" w:color="auto" w:sz="4" w:space="0"/>
              <w:bottom w:val="single" w:color="auto" w:sz="4" w:space="0"/>
              <w:right w:val="single" w:color="auto" w:sz="4" w:space="0"/>
            </w:tcBorders>
            <w:vAlign w:val="center"/>
          </w:tcPr>
          <w:p w14:paraId="197FA54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开关安装应紧固、无松动</w:t>
            </w:r>
          </w:p>
          <w:p w14:paraId="09E6289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开关动作位置应适当，开关动作时电梯不能启动或停止运行</w:t>
            </w:r>
          </w:p>
          <w:p w14:paraId="6B8C203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如两扇轿门不是直接连接，副门锁也应正常动作</w:t>
            </w:r>
          </w:p>
        </w:tc>
        <w:tc>
          <w:tcPr>
            <w:tcW w:w="823" w:type="pct"/>
            <w:tcBorders>
              <w:top w:val="single" w:color="auto" w:sz="4" w:space="0"/>
              <w:left w:val="single" w:color="auto" w:sz="4" w:space="0"/>
              <w:bottom w:val="single" w:color="auto" w:sz="4" w:space="0"/>
              <w:right w:val="single" w:color="auto" w:sz="12" w:space="0"/>
            </w:tcBorders>
            <w:vAlign w:val="center"/>
          </w:tcPr>
          <w:p w14:paraId="45A947A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13557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54F24DF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18</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445C17D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门机系统</w:t>
            </w:r>
          </w:p>
        </w:tc>
        <w:tc>
          <w:tcPr>
            <w:tcW w:w="3089" w:type="pct"/>
            <w:tcBorders>
              <w:top w:val="single" w:color="auto" w:sz="4" w:space="0"/>
              <w:left w:val="single" w:color="auto" w:sz="4" w:space="0"/>
              <w:bottom w:val="single" w:color="auto" w:sz="4" w:space="0"/>
              <w:right w:val="single" w:color="auto" w:sz="4" w:space="0"/>
            </w:tcBorders>
            <w:vAlign w:val="center"/>
          </w:tcPr>
          <w:p w14:paraId="06BE29C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各部件固定可靠、运动机构传动灵活、润滑良好</w:t>
            </w:r>
          </w:p>
          <w:p w14:paraId="79BCB73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开关门顺畅，无异响及卡阻</w:t>
            </w:r>
          </w:p>
          <w:p w14:paraId="77EF296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开、关门装置的传动链、带不应松驰和过度磨损</w:t>
            </w:r>
          </w:p>
          <w:p w14:paraId="0B0A0BF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所设置的光电安全触板清洁无积尘，发射接收准确无误动作</w:t>
            </w:r>
          </w:p>
        </w:tc>
        <w:tc>
          <w:tcPr>
            <w:tcW w:w="823" w:type="pct"/>
            <w:tcBorders>
              <w:top w:val="single" w:color="auto" w:sz="4" w:space="0"/>
              <w:left w:val="single" w:color="auto" w:sz="4" w:space="0"/>
              <w:bottom w:val="single" w:color="auto" w:sz="4" w:space="0"/>
              <w:right w:val="single" w:color="auto" w:sz="12" w:space="0"/>
            </w:tcBorders>
            <w:vAlign w:val="center"/>
          </w:tcPr>
          <w:p w14:paraId="7D14C69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30D7D0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0B27C4AF">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23AFEAF0">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01ED05A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接线端子标记清晰、固定可靠、接触良好，无明显氧化及锈蚀</w:t>
            </w:r>
          </w:p>
          <w:p w14:paraId="7B9BE91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机械安全触板相关尺寸调整符合产品要求</w:t>
            </w:r>
          </w:p>
          <w:p w14:paraId="161E3E0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安全装置动作应迅速可靠；安全装置动作时轿门应反向开门，运转应平稳</w:t>
            </w:r>
          </w:p>
          <w:p w14:paraId="5DA3158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开关门位置、速度传感装置工作正常</w:t>
            </w:r>
          </w:p>
        </w:tc>
        <w:tc>
          <w:tcPr>
            <w:tcW w:w="823" w:type="pct"/>
            <w:tcBorders>
              <w:top w:val="single" w:color="auto" w:sz="4" w:space="0"/>
              <w:left w:val="single" w:color="auto" w:sz="4" w:space="0"/>
              <w:bottom w:val="single" w:color="auto" w:sz="4" w:space="0"/>
              <w:right w:val="single" w:color="auto" w:sz="12" w:space="0"/>
            </w:tcBorders>
            <w:vAlign w:val="center"/>
          </w:tcPr>
          <w:p w14:paraId="1248432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12DB1B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28097F0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19</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219F96D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轿厢地坎、轿门边缘与井道壁之间的距离</w:t>
            </w:r>
          </w:p>
        </w:tc>
        <w:tc>
          <w:tcPr>
            <w:tcW w:w="3089" w:type="pct"/>
            <w:tcBorders>
              <w:top w:val="single" w:color="auto" w:sz="4" w:space="0"/>
              <w:left w:val="single" w:color="auto" w:sz="4" w:space="0"/>
              <w:bottom w:val="single" w:color="auto" w:sz="4" w:space="0"/>
              <w:right w:val="single" w:color="auto" w:sz="4" w:space="0"/>
            </w:tcBorders>
            <w:vAlign w:val="center"/>
          </w:tcPr>
          <w:p w14:paraId="5FEDA35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不能超越规定尺寸150mm</w:t>
            </w:r>
          </w:p>
        </w:tc>
        <w:tc>
          <w:tcPr>
            <w:tcW w:w="823" w:type="pct"/>
            <w:tcBorders>
              <w:top w:val="single" w:color="auto" w:sz="4" w:space="0"/>
              <w:left w:val="single" w:color="auto" w:sz="4" w:space="0"/>
              <w:bottom w:val="single" w:color="auto" w:sz="4" w:space="0"/>
              <w:right w:val="single" w:color="auto" w:sz="12" w:space="0"/>
            </w:tcBorders>
            <w:vAlign w:val="center"/>
          </w:tcPr>
          <w:p w14:paraId="1CCE9F6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324D6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6AE593CD">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578718AC">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0BFB2D5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轿厢地坎与厅门地坎间隙、轿厢地坎与厅门门锁轮间隙检查符合标准</w:t>
            </w:r>
          </w:p>
        </w:tc>
        <w:tc>
          <w:tcPr>
            <w:tcW w:w="823" w:type="pct"/>
            <w:tcBorders>
              <w:top w:val="single" w:color="auto" w:sz="4" w:space="0"/>
              <w:left w:val="single" w:color="auto" w:sz="4" w:space="0"/>
              <w:bottom w:val="single" w:color="auto" w:sz="4" w:space="0"/>
              <w:right w:val="single" w:color="auto" w:sz="12" w:space="0"/>
            </w:tcBorders>
            <w:vAlign w:val="center"/>
          </w:tcPr>
          <w:p w14:paraId="6BE4371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3E09E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10AF8B3C">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5A39A994">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6AD0732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如装有井道壁防护网或防护板，防护网（板）不应松脱或损坏</w:t>
            </w:r>
          </w:p>
        </w:tc>
        <w:tc>
          <w:tcPr>
            <w:tcW w:w="823" w:type="pct"/>
            <w:tcBorders>
              <w:top w:val="single" w:color="auto" w:sz="4" w:space="0"/>
              <w:left w:val="single" w:color="auto" w:sz="4" w:space="0"/>
              <w:bottom w:val="single" w:color="auto" w:sz="4" w:space="0"/>
              <w:right w:val="single" w:color="auto" w:sz="12" w:space="0"/>
            </w:tcBorders>
            <w:vAlign w:val="center"/>
          </w:tcPr>
          <w:p w14:paraId="05FC72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0ED93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4D473FF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2DA13B3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紧急出口（安全窗、安全门、检修门、活板门）</w:t>
            </w:r>
          </w:p>
        </w:tc>
        <w:tc>
          <w:tcPr>
            <w:tcW w:w="3089" w:type="pct"/>
            <w:tcBorders>
              <w:top w:val="single" w:color="auto" w:sz="4" w:space="0"/>
              <w:left w:val="single" w:color="auto" w:sz="4" w:space="0"/>
              <w:bottom w:val="single" w:color="auto" w:sz="4" w:space="0"/>
              <w:right w:val="single" w:color="auto" w:sz="4" w:space="0"/>
            </w:tcBorders>
            <w:vAlign w:val="center"/>
          </w:tcPr>
          <w:p w14:paraId="5381608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出口门（窗）开、关顺畅，锁紧装置可靠有效并符合标准要求</w:t>
            </w:r>
          </w:p>
          <w:p w14:paraId="432482D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出口门（窗）应附带开关，打开出口时电梯停止</w:t>
            </w:r>
          </w:p>
          <w:p w14:paraId="1964AE0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出口门（窗）强度足够，不应破损</w:t>
            </w:r>
          </w:p>
        </w:tc>
        <w:tc>
          <w:tcPr>
            <w:tcW w:w="823" w:type="pct"/>
            <w:tcBorders>
              <w:top w:val="single" w:color="auto" w:sz="4" w:space="0"/>
              <w:left w:val="single" w:color="auto" w:sz="4" w:space="0"/>
              <w:bottom w:val="single" w:color="auto" w:sz="4" w:space="0"/>
              <w:right w:val="single" w:color="auto" w:sz="12" w:space="0"/>
            </w:tcBorders>
            <w:vAlign w:val="center"/>
          </w:tcPr>
          <w:p w14:paraId="09F45C7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7424BD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037AD10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21</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614C4EB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轿门机械锁装置</w:t>
            </w:r>
          </w:p>
        </w:tc>
        <w:tc>
          <w:tcPr>
            <w:tcW w:w="3089" w:type="pct"/>
            <w:tcBorders>
              <w:top w:val="single" w:color="auto" w:sz="4" w:space="0"/>
              <w:left w:val="single" w:color="auto" w:sz="4" w:space="0"/>
              <w:bottom w:val="single" w:color="auto" w:sz="4" w:space="0"/>
              <w:right w:val="single" w:color="auto" w:sz="4" w:space="0"/>
            </w:tcBorders>
            <w:vAlign w:val="center"/>
          </w:tcPr>
          <w:p w14:paraId="36B9AEC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应符合相关的动作条件，动作应灵活、可靠</w:t>
            </w:r>
          </w:p>
          <w:p w14:paraId="5640FD9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如依靠电磁装置动作，电磁装置动作正常，温升不应过高</w:t>
            </w:r>
          </w:p>
        </w:tc>
        <w:tc>
          <w:tcPr>
            <w:tcW w:w="823" w:type="pct"/>
            <w:tcBorders>
              <w:top w:val="single" w:color="auto" w:sz="4" w:space="0"/>
              <w:left w:val="single" w:color="auto" w:sz="4" w:space="0"/>
              <w:bottom w:val="single" w:color="auto" w:sz="4" w:space="0"/>
              <w:right w:val="single" w:color="auto" w:sz="12" w:space="0"/>
            </w:tcBorders>
            <w:vAlign w:val="center"/>
          </w:tcPr>
          <w:p w14:paraId="74FB6EF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27039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7E5FFDF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22</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6C344EC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应急照明、警铃和电话</w:t>
            </w:r>
          </w:p>
        </w:tc>
        <w:tc>
          <w:tcPr>
            <w:tcW w:w="3089" w:type="pct"/>
            <w:tcBorders>
              <w:top w:val="single" w:color="auto" w:sz="4" w:space="0"/>
              <w:left w:val="single" w:color="auto" w:sz="4" w:space="0"/>
              <w:bottom w:val="single" w:color="auto" w:sz="4" w:space="0"/>
              <w:right w:val="single" w:color="auto" w:sz="4" w:space="0"/>
            </w:tcBorders>
            <w:vAlign w:val="center"/>
          </w:tcPr>
          <w:p w14:paraId="3CBA102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停电后应急照明装置应正常，</w:t>
            </w:r>
          </w:p>
          <w:p w14:paraId="29A8949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报警装置、通话装置的按钮标记清晰、功能正常</w:t>
            </w:r>
          </w:p>
          <w:p w14:paraId="604CEA1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外部警铃及电话等设置在管理员常驻的消防中心或值班室</w:t>
            </w:r>
          </w:p>
          <w:p w14:paraId="0C7CCC4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为方便紧急救援、检修，机房与轿厢间应设置电话联络装置</w:t>
            </w:r>
          </w:p>
          <w:p w14:paraId="7A6090F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设置在轿内的紧急联络装置要使用方便。</w:t>
            </w:r>
          </w:p>
        </w:tc>
        <w:tc>
          <w:tcPr>
            <w:tcW w:w="823" w:type="pct"/>
            <w:tcBorders>
              <w:top w:val="single" w:color="auto" w:sz="4" w:space="0"/>
              <w:left w:val="single" w:color="auto" w:sz="4" w:space="0"/>
              <w:bottom w:val="single" w:color="auto" w:sz="4" w:space="0"/>
              <w:right w:val="single" w:color="auto" w:sz="12" w:space="0"/>
            </w:tcBorders>
            <w:vAlign w:val="center"/>
          </w:tcPr>
          <w:p w14:paraId="7A0292A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2618FA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6BA3C9C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23</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43FB5C4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轿顶检修装置</w:t>
            </w:r>
          </w:p>
        </w:tc>
        <w:tc>
          <w:tcPr>
            <w:tcW w:w="3089" w:type="pct"/>
            <w:tcBorders>
              <w:top w:val="single" w:color="auto" w:sz="4" w:space="0"/>
              <w:left w:val="single" w:color="auto" w:sz="4" w:space="0"/>
              <w:bottom w:val="single" w:color="auto" w:sz="4" w:space="0"/>
              <w:right w:val="single" w:color="auto" w:sz="4" w:space="0"/>
            </w:tcBorders>
            <w:vAlign w:val="center"/>
          </w:tcPr>
          <w:p w14:paraId="477174F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轿顶检修装置应优先于其他一切检修装置</w:t>
            </w:r>
          </w:p>
          <w:p w14:paraId="3DE1A6B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检修开关动作应灵活可靠</w:t>
            </w:r>
          </w:p>
        </w:tc>
        <w:tc>
          <w:tcPr>
            <w:tcW w:w="823" w:type="pct"/>
            <w:tcBorders>
              <w:top w:val="single" w:color="auto" w:sz="4" w:space="0"/>
              <w:left w:val="single" w:color="auto" w:sz="4" w:space="0"/>
              <w:bottom w:val="single" w:color="auto" w:sz="4" w:space="0"/>
              <w:right w:val="single" w:color="auto" w:sz="12" w:space="0"/>
            </w:tcBorders>
            <w:vAlign w:val="center"/>
          </w:tcPr>
          <w:p w14:paraId="7BA427B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6F1E3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61B9DCD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24</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4350815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轿顶停止开关</w:t>
            </w:r>
          </w:p>
        </w:tc>
        <w:tc>
          <w:tcPr>
            <w:tcW w:w="3089" w:type="pct"/>
            <w:tcBorders>
              <w:top w:val="single" w:color="auto" w:sz="4" w:space="0"/>
              <w:left w:val="single" w:color="auto" w:sz="4" w:space="0"/>
              <w:bottom w:val="single" w:color="auto" w:sz="4" w:space="0"/>
              <w:right w:val="single" w:color="auto" w:sz="4" w:space="0"/>
            </w:tcBorders>
            <w:vAlign w:val="center"/>
          </w:tcPr>
          <w:p w14:paraId="7DDCEA2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停止开关的动作要良好</w:t>
            </w:r>
          </w:p>
        </w:tc>
        <w:tc>
          <w:tcPr>
            <w:tcW w:w="823" w:type="pct"/>
            <w:tcBorders>
              <w:top w:val="single" w:color="auto" w:sz="4" w:space="0"/>
              <w:left w:val="single" w:color="auto" w:sz="4" w:space="0"/>
              <w:bottom w:val="single" w:color="auto" w:sz="4" w:space="0"/>
              <w:right w:val="single" w:color="auto" w:sz="12" w:space="0"/>
            </w:tcBorders>
            <w:vAlign w:val="center"/>
          </w:tcPr>
          <w:p w14:paraId="139C348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5EF88D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70DFA46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25</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060769F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停层、平层装置</w:t>
            </w:r>
          </w:p>
        </w:tc>
        <w:tc>
          <w:tcPr>
            <w:tcW w:w="3089" w:type="pct"/>
            <w:tcBorders>
              <w:top w:val="single" w:color="auto" w:sz="4" w:space="0"/>
              <w:left w:val="single" w:color="auto" w:sz="4" w:space="0"/>
              <w:bottom w:val="single" w:color="auto" w:sz="4" w:space="0"/>
              <w:right w:val="single" w:color="auto" w:sz="4" w:space="0"/>
            </w:tcBorders>
            <w:vAlign w:val="center"/>
          </w:tcPr>
          <w:p w14:paraId="21BB269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各平层感应器表面清洁无积尘，感应器与感应片的各相关尺寸符合要求</w:t>
            </w:r>
          </w:p>
          <w:p w14:paraId="054696C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确认轿厢运行时产生的位移不会导致感应器与感应片碰撞</w:t>
            </w:r>
          </w:p>
          <w:p w14:paraId="088DC58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电气连线固定可靠，接触良好</w:t>
            </w:r>
          </w:p>
        </w:tc>
        <w:tc>
          <w:tcPr>
            <w:tcW w:w="823" w:type="pct"/>
            <w:tcBorders>
              <w:top w:val="single" w:color="auto" w:sz="4" w:space="0"/>
              <w:left w:val="single" w:color="auto" w:sz="4" w:space="0"/>
              <w:bottom w:val="single" w:color="auto" w:sz="4" w:space="0"/>
              <w:right w:val="single" w:color="auto" w:sz="12" w:space="0"/>
            </w:tcBorders>
            <w:vAlign w:val="center"/>
          </w:tcPr>
          <w:p w14:paraId="6067454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09EEB1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3FE8426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26</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734311B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轿顶照明及开关</w:t>
            </w:r>
          </w:p>
        </w:tc>
        <w:tc>
          <w:tcPr>
            <w:tcW w:w="3089" w:type="pct"/>
            <w:tcBorders>
              <w:top w:val="single" w:color="auto" w:sz="4" w:space="0"/>
              <w:left w:val="single" w:color="auto" w:sz="4" w:space="0"/>
              <w:bottom w:val="single" w:color="auto" w:sz="4" w:space="0"/>
              <w:right w:val="single" w:color="auto" w:sz="4" w:space="0"/>
            </w:tcBorders>
            <w:vAlign w:val="center"/>
          </w:tcPr>
          <w:p w14:paraId="2A43433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轿顶照明、照明开关及防护罩应齐全并良好，有备用灯泡</w:t>
            </w:r>
          </w:p>
        </w:tc>
        <w:tc>
          <w:tcPr>
            <w:tcW w:w="823" w:type="pct"/>
            <w:tcBorders>
              <w:top w:val="single" w:color="auto" w:sz="4" w:space="0"/>
              <w:left w:val="single" w:color="auto" w:sz="4" w:space="0"/>
              <w:bottom w:val="single" w:color="auto" w:sz="4" w:space="0"/>
              <w:right w:val="single" w:color="auto" w:sz="12" w:space="0"/>
            </w:tcBorders>
            <w:vAlign w:val="center"/>
          </w:tcPr>
          <w:p w14:paraId="288B1FE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54AC52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24E5C88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27</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65B77D0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轿顶面、防护栏</w:t>
            </w:r>
          </w:p>
        </w:tc>
        <w:tc>
          <w:tcPr>
            <w:tcW w:w="3089" w:type="pct"/>
            <w:tcBorders>
              <w:top w:val="single" w:color="auto" w:sz="4" w:space="0"/>
              <w:left w:val="single" w:color="auto" w:sz="4" w:space="0"/>
              <w:bottom w:val="single" w:color="auto" w:sz="4" w:space="0"/>
              <w:right w:val="single" w:color="auto" w:sz="4" w:space="0"/>
            </w:tcBorders>
            <w:vAlign w:val="center"/>
          </w:tcPr>
          <w:p w14:paraId="6C08AD9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轿顶面清洁无油污，防护栏应有足够强度和合适的尺寸</w:t>
            </w:r>
          </w:p>
          <w:p w14:paraId="1575FFD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轿顶面各装置电气布线整齐</w:t>
            </w:r>
          </w:p>
        </w:tc>
        <w:tc>
          <w:tcPr>
            <w:tcW w:w="823" w:type="pct"/>
            <w:tcBorders>
              <w:top w:val="single" w:color="auto" w:sz="4" w:space="0"/>
              <w:left w:val="single" w:color="auto" w:sz="4" w:space="0"/>
              <w:bottom w:val="single" w:color="auto" w:sz="4" w:space="0"/>
              <w:right w:val="single" w:color="auto" w:sz="12" w:space="0"/>
            </w:tcBorders>
            <w:vAlign w:val="center"/>
          </w:tcPr>
          <w:p w14:paraId="513397B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2C8DB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0E12BCE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28</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789834A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轿顶反绳轮</w:t>
            </w:r>
          </w:p>
        </w:tc>
        <w:tc>
          <w:tcPr>
            <w:tcW w:w="3089" w:type="pct"/>
            <w:tcBorders>
              <w:top w:val="single" w:color="auto" w:sz="4" w:space="0"/>
              <w:left w:val="single" w:color="auto" w:sz="4" w:space="0"/>
              <w:bottom w:val="single" w:color="auto" w:sz="4" w:space="0"/>
              <w:right w:val="single" w:color="auto" w:sz="4" w:space="0"/>
            </w:tcBorders>
            <w:vAlign w:val="center"/>
          </w:tcPr>
          <w:p w14:paraId="09204E9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钢丝绳槽无严重油污，不应有过度磨损，绳轮转动灵活；轴承润滑良好，无异响</w:t>
            </w:r>
          </w:p>
          <w:p w14:paraId="61F548E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绳轮应有防护罩和挡绳装置，挡绳装置的位置合适</w:t>
            </w:r>
          </w:p>
        </w:tc>
        <w:tc>
          <w:tcPr>
            <w:tcW w:w="823" w:type="pct"/>
            <w:tcBorders>
              <w:top w:val="single" w:color="auto" w:sz="4" w:space="0"/>
              <w:left w:val="single" w:color="auto" w:sz="4" w:space="0"/>
              <w:bottom w:val="single" w:color="auto" w:sz="4" w:space="0"/>
              <w:right w:val="single" w:color="auto" w:sz="12" w:space="0"/>
            </w:tcBorders>
            <w:vAlign w:val="center"/>
          </w:tcPr>
          <w:p w14:paraId="3B948C5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34600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61BAF95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29</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5207ED3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导靴(滚轮)</w:t>
            </w:r>
          </w:p>
        </w:tc>
        <w:tc>
          <w:tcPr>
            <w:tcW w:w="3089" w:type="pct"/>
            <w:tcBorders>
              <w:top w:val="single" w:color="auto" w:sz="4" w:space="0"/>
              <w:left w:val="single" w:color="auto" w:sz="4" w:space="0"/>
              <w:bottom w:val="single" w:color="auto" w:sz="4" w:space="0"/>
              <w:right w:val="single" w:color="auto" w:sz="4" w:space="0"/>
            </w:tcBorders>
            <w:vAlign w:val="center"/>
          </w:tcPr>
          <w:p w14:paraId="4F66521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运行时无异响，接触部(转动部)的磨损不应太大、润滑良好</w:t>
            </w:r>
          </w:p>
          <w:p w14:paraId="75A2A2B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导靴（滚轮）安装尺寸符合产品要求</w:t>
            </w:r>
          </w:p>
          <w:p w14:paraId="1A558FD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轿顶、对重上油杯内油量充足且油杯不漏油不破损</w:t>
            </w:r>
          </w:p>
        </w:tc>
        <w:tc>
          <w:tcPr>
            <w:tcW w:w="823" w:type="pct"/>
            <w:tcBorders>
              <w:top w:val="single" w:color="auto" w:sz="4" w:space="0"/>
              <w:left w:val="single" w:color="auto" w:sz="4" w:space="0"/>
              <w:bottom w:val="single" w:color="auto" w:sz="4" w:space="0"/>
              <w:right w:val="single" w:color="auto" w:sz="12" w:space="0"/>
            </w:tcBorders>
            <w:vAlign w:val="center"/>
          </w:tcPr>
          <w:p w14:paraId="314D715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156EA1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14BA014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30</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1A53125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机械选层器</w:t>
            </w:r>
          </w:p>
        </w:tc>
        <w:tc>
          <w:tcPr>
            <w:tcW w:w="3089" w:type="pct"/>
            <w:tcBorders>
              <w:top w:val="single" w:color="auto" w:sz="4" w:space="0"/>
              <w:left w:val="single" w:color="auto" w:sz="4" w:space="0"/>
              <w:bottom w:val="single" w:color="auto" w:sz="4" w:space="0"/>
              <w:right w:val="single" w:color="auto" w:sz="4" w:space="0"/>
            </w:tcBorders>
            <w:vAlign w:val="center"/>
          </w:tcPr>
          <w:p w14:paraId="4572D4B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机械选层器的钢带应张紧，接头固定良好</w:t>
            </w:r>
          </w:p>
          <w:p w14:paraId="70035E6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断带安全保护开关位置正确，功能正常</w:t>
            </w:r>
          </w:p>
        </w:tc>
        <w:tc>
          <w:tcPr>
            <w:tcW w:w="823" w:type="pct"/>
            <w:tcBorders>
              <w:top w:val="single" w:color="auto" w:sz="4" w:space="0"/>
              <w:left w:val="single" w:color="auto" w:sz="4" w:space="0"/>
              <w:bottom w:val="single" w:color="auto" w:sz="4" w:space="0"/>
              <w:right w:val="single" w:color="auto" w:sz="12" w:space="0"/>
            </w:tcBorders>
            <w:vAlign w:val="center"/>
          </w:tcPr>
          <w:p w14:paraId="5417DA6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46CF59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6B6F846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31</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538060D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称重装置</w:t>
            </w:r>
          </w:p>
        </w:tc>
        <w:tc>
          <w:tcPr>
            <w:tcW w:w="3089" w:type="pct"/>
            <w:tcBorders>
              <w:top w:val="single" w:color="auto" w:sz="4" w:space="0"/>
              <w:left w:val="single" w:color="auto" w:sz="4" w:space="0"/>
              <w:bottom w:val="single" w:color="auto" w:sz="4" w:space="0"/>
              <w:right w:val="single" w:color="auto" w:sz="4" w:space="0"/>
            </w:tcBorders>
            <w:vAlign w:val="center"/>
          </w:tcPr>
          <w:p w14:paraId="78359E4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称重装置的安装位置正确,动作状态应良好</w:t>
            </w:r>
          </w:p>
          <w:p w14:paraId="797D639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满载、超载信号所对应的电梯控制功能及相关声光信号正常</w:t>
            </w:r>
          </w:p>
          <w:p w14:paraId="5DBA707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对于连续检测载重量变化的称重装置，应定期通过电脑数据检查是否正确</w:t>
            </w:r>
          </w:p>
        </w:tc>
        <w:tc>
          <w:tcPr>
            <w:tcW w:w="823" w:type="pct"/>
            <w:tcBorders>
              <w:top w:val="single" w:color="auto" w:sz="4" w:space="0"/>
              <w:left w:val="single" w:color="auto" w:sz="4" w:space="0"/>
              <w:bottom w:val="single" w:color="auto" w:sz="4" w:space="0"/>
              <w:right w:val="single" w:color="auto" w:sz="12" w:space="0"/>
            </w:tcBorders>
            <w:vAlign w:val="center"/>
          </w:tcPr>
          <w:p w14:paraId="32A8C55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36D67C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784D94ED">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2701D99A">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59A827C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应定期调整称重装置的初始状态</w:t>
            </w:r>
          </w:p>
        </w:tc>
        <w:tc>
          <w:tcPr>
            <w:tcW w:w="823" w:type="pct"/>
            <w:tcBorders>
              <w:top w:val="single" w:color="auto" w:sz="4" w:space="0"/>
              <w:left w:val="single" w:color="auto" w:sz="4" w:space="0"/>
              <w:bottom w:val="single" w:color="auto" w:sz="4" w:space="0"/>
              <w:right w:val="single" w:color="auto" w:sz="12" w:space="0"/>
            </w:tcBorders>
            <w:vAlign w:val="center"/>
          </w:tcPr>
          <w:p w14:paraId="5CF9349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34E230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2B95430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32</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071B09B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对重</w:t>
            </w:r>
          </w:p>
        </w:tc>
        <w:tc>
          <w:tcPr>
            <w:tcW w:w="3089" w:type="pct"/>
            <w:tcBorders>
              <w:top w:val="single" w:color="auto" w:sz="4" w:space="0"/>
              <w:left w:val="single" w:color="auto" w:sz="4" w:space="0"/>
              <w:bottom w:val="single" w:color="auto" w:sz="4" w:space="0"/>
              <w:right w:val="single" w:color="auto" w:sz="4" w:space="0"/>
            </w:tcBorders>
            <w:vAlign w:val="center"/>
          </w:tcPr>
          <w:p w14:paraId="6470D1B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对重架的连接螺栓不应松动和生锈腐蚀</w:t>
            </w:r>
          </w:p>
          <w:p w14:paraId="0D70930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对重如有反绳轮，其绳槽磨损不应太大，轴承润滑良好，无异常噪音</w:t>
            </w:r>
          </w:p>
          <w:p w14:paraId="2E6D98B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绳轮应有防护罩和挡绳装置，挡绳装置的位置合适</w:t>
            </w:r>
          </w:p>
          <w:p w14:paraId="44C3314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对重块应固定可靠，运行无异响</w:t>
            </w:r>
          </w:p>
          <w:p w14:paraId="79352F7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绳头连接装置应固定可靠；如用螺杆连接，应至少用两个并紧螺母，并用开口销锁紧</w:t>
            </w:r>
          </w:p>
        </w:tc>
        <w:tc>
          <w:tcPr>
            <w:tcW w:w="823" w:type="pct"/>
            <w:tcBorders>
              <w:top w:val="single" w:color="auto" w:sz="4" w:space="0"/>
              <w:left w:val="single" w:color="auto" w:sz="4" w:space="0"/>
              <w:bottom w:val="single" w:color="auto" w:sz="4" w:space="0"/>
              <w:right w:val="single" w:color="auto" w:sz="12" w:space="0"/>
            </w:tcBorders>
            <w:vAlign w:val="center"/>
          </w:tcPr>
          <w:p w14:paraId="2BF6C1A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085F76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6DA6F54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33</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1655FE4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井道照明</w:t>
            </w:r>
          </w:p>
        </w:tc>
        <w:tc>
          <w:tcPr>
            <w:tcW w:w="3089" w:type="pct"/>
            <w:tcBorders>
              <w:top w:val="single" w:color="auto" w:sz="4" w:space="0"/>
              <w:left w:val="single" w:color="auto" w:sz="4" w:space="0"/>
              <w:bottom w:val="single" w:color="auto" w:sz="4" w:space="0"/>
              <w:right w:val="single" w:color="auto" w:sz="4" w:space="0"/>
            </w:tcBorders>
            <w:vAlign w:val="center"/>
          </w:tcPr>
          <w:p w14:paraId="47C0341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井道照明应齐全</w:t>
            </w:r>
          </w:p>
        </w:tc>
        <w:tc>
          <w:tcPr>
            <w:tcW w:w="823" w:type="pct"/>
            <w:tcBorders>
              <w:top w:val="single" w:color="auto" w:sz="4" w:space="0"/>
              <w:left w:val="single" w:color="auto" w:sz="4" w:space="0"/>
              <w:bottom w:val="single" w:color="auto" w:sz="4" w:space="0"/>
              <w:right w:val="single" w:color="auto" w:sz="12" w:space="0"/>
            </w:tcBorders>
            <w:vAlign w:val="center"/>
          </w:tcPr>
          <w:p w14:paraId="6E4DA27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26CC8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70B43E7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34</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4961202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限速器钢丝绳</w:t>
            </w:r>
          </w:p>
        </w:tc>
        <w:tc>
          <w:tcPr>
            <w:tcW w:w="3089" w:type="pct"/>
            <w:tcBorders>
              <w:top w:val="single" w:color="auto" w:sz="4" w:space="0"/>
              <w:left w:val="single" w:color="auto" w:sz="4" w:space="0"/>
              <w:bottom w:val="single" w:color="auto" w:sz="4" w:space="0"/>
              <w:right w:val="single" w:color="auto" w:sz="4" w:space="0"/>
            </w:tcBorders>
            <w:vAlign w:val="center"/>
          </w:tcPr>
          <w:p w14:paraId="74FE3FD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钢丝绳槽磨损在规定值以内</w:t>
            </w:r>
          </w:p>
          <w:p w14:paraId="10E4379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钢丝绳不应有断股现象，不应有过量的断丝和磨损</w:t>
            </w:r>
          </w:p>
          <w:p w14:paraId="7FE2728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与安全钳拉杆的连接部位材料不应有过量的磨损、锈蚀</w:t>
            </w:r>
          </w:p>
          <w:p w14:paraId="2F8076A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端接部组装应良好，应使用三个绳夹夹紧，夹绳方向应正确</w:t>
            </w:r>
          </w:p>
        </w:tc>
        <w:tc>
          <w:tcPr>
            <w:tcW w:w="823" w:type="pct"/>
            <w:tcBorders>
              <w:top w:val="single" w:color="auto" w:sz="4" w:space="0"/>
              <w:left w:val="single" w:color="auto" w:sz="4" w:space="0"/>
              <w:bottom w:val="single" w:color="auto" w:sz="4" w:space="0"/>
              <w:right w:val="single" w:color="auto" w:sz="12" w:space="0"/>
            </w:tcBorders>
            <w:vAlign w:val="center"/>
          </w:tcPr>
          <w:p w14:paraId="7395E0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6BFF0E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4D03AA5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35</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74E8F72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主钢丝绳</w:t>
            </w:r>
          </w:p>
        </w:tc>
        <w:tc>
          <w:tcPr>
            <w:tcW w:w="3089" w:type="pct"/>
            <w:tcBorders>
              <w:top w:val="single" w:color="auto" w:sz="4" w:space="0"/>
              <w:left w:val="single" w:color="auto" w:sz="4" w:space="0"/>
              <w:bottom w:val="single" w:color="auto" w:sz="4" w:space="0"/>
              <w:right w:val="single" w:color="auto" w:sz="4" w:space="0"/>
            </w:tcBorders>
            <w:vAlign w:val="center"/>
          </w:tcPr>
          <w:p w14:paraId="1016118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钢丝绳的张力应均等，与平均值偏差不超过5%</w:t>
            </w:r>
          </w:p>
          <w:p w14:paraId="201663B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钢丝绳不应有过多油污；不应有断股现象，断丝数不超过标准，不应有过量磨损</w:t>
            </w:r>
          </w:p>
          <w:p w14:paraId="38F4C40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绳头连接装置的各部件齐全、固定可靠，紧固件无松动</w:t>
            </w:r>
          </w:p>
        </w:tc>
        <w:tc>
          <w:tcPr>
            <w:tcW w:w="823" w:type="pct"/>
            <w:tcBorders>
              <w:top w:val="single" w:color="auto" w:sz="4" w:space="0"/>
              <w:left w:val="single" w:color="auto" w:sz="4" w:space="0"/>
              <w:bottom w:val="single" w:color="auto" w:sz="4" w:space="0"/>
              <w:right w:val="single" w:color="auto" w:sz="12" w:space="0"/>
            </w:tcBorders>
            <w:vAlign w:val="center"/>
          </w:tcPr>
          <w:p w14:paraId="212EC1E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3C4890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26328AB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36</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441825D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导轨及支架</w:t>
            </w:r>
          </w:p>
        </w:tc>
        <w:tc>
          <w:tcPr>
            <w:tcW w:w="3089" w:type="pct"/>
            <w:tcBorders>
              <w:top w:val="single" w:color="auto" w:sz="4" w:space="0"/>
              <w:left w:val="single" w:color="auto" w:sz="4" w:space="0"/>
              <w:bottom w:val="single" w:color="auto" w:sz="4" w:space="0"/>
              <w:right w:val="single" w:color="auto" w:sz="4" w:space="0"/>
            </w:tcBorders>
            <w:vAlign w:val="center"/>
          </w:tcPr>
          <w:p w14:paraId="5384762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限速器、安全钳联动试验后，应将安全钳动作痕迹打磨平整</w:t>
            </w:r>
          </w:p>
          <w:p w14:paraId="26D4941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导轨及支架表面清洁，无严重油污及锈蚀</w:t>
            </w:r>
          </w:p>
          <w:p w14:paraId="0C8BA2E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导轨撑架、压板的紧固件不应松动</w:t>
            </w:r>
          </w:p>
        </w:tc>
        <w:tc>
          <w:tcPr>
            <w:tcW w:w="823" w:type="pct"/>
            <w:tcBorders>
              <w:top w:val="single" w:color="auto" w:sz="4" w:space="0"/>
              <w:left w:val="single" w:color="auto" w:sz="4" w:space="0"/>
              <w:bottom w:val="single" w:color="auto" w:sz="4" w:space="0"/>
              <w:right w:val="single" w:color="auto" w:sz="12" w:space="0"/>
            </w:tcBorders>
            <w:vAlign w:val="center"/>
          </w:tcPr>
          <w:p w14:paraId="64C3BE9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45B79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7F8F5AF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37</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3A49AFA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强迫换速、限位、极限开关</w:t>
            </w:r>
          </w:p>
        </w:tc>
        <w:tc>
          <w:tcPr>
            <w:tcW w:w="3089" w:type="pct"/>
            <w:tcBorders>
              <w:top w:val="single" w:color="auto" w:sz="4" w:space="0"/>
              <w:left w:val="single" w:color="auto" w:sz="4" w:space="0"/>
              <w:bottom w:val="single" w:color="auto" w:sz="4" w:space="0"/>
              <w:right w:val="single" w:color="auto" w:sz="4" w:space="0"/>
            </w:tcBorders>
            <w:vAlign w:val="center"/>
          </w:tcPr>
          <w:p w14:paraId="71A7968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开关紧固可靠，开关动作部位不应生锈，滚轮无严重磨损</w:t>
            </w:r>
          </w:p>
          <w:p w14:paraId="53B4785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开关动作位置要适当，符合产品要求</w:t>
            </w:r>
          </w:p>
          <w:p w14:paraId="4415961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电气触点接触良好，各开关相应功能应正常</w:t>
            </w:r>
          </w:p>
          <w:p w14:paraId="0B0D67B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轿厢或对重接触缓冲器前极限开关应动作</w:t>
            </w:r>
          </w:p>
        </w:tc>
        <w:tc>
          <w:tcPr>
            <w:tcW w:w="823" w:type="pct"/>
            <w:tcBorders>
              <w:top w:val="single" w:color="auto" w:sz="4" w:space="0"/>
              <w:left w:val="single" w:color="auto" w:sz="4" w:space="0"/>
              <w:bottom w:val="single" w:color="auto" w:sz="4" w:space="0"/>
              <w:right w:val="single" w:color="auto" w:sz="12" w:space="0"/>
            </w:tcBorders>
            <w:vAlign w:val="center"/>
          </w:tcPr>
          <w:p w14:paraId="52158C3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62CA0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4C9CFA8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38</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35DC74E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w:t>
            </w:r>
          </w:p>
        </w:tc>
        <w:tc>
          <w:tcPr>
            <w:tcW w:w="3089" w:type="pct"/>
            <w:tcBorders>
              <w:top w:val="single" w:color="auto" w:sz="4" w:space="0"/>
              <w:left w:val="single" w:color="auto" w:sz="4" w:space="0"/>
              <w:bottom w:val="single" w:color="auto" w:sz="4" w:space="0"/>
              <w:right w:val="single" w:color="auto" w:sz="4" w:space="0"/>
            </w:tcBorders>
            <w:vAlign w:val="center"/>
          </w:tcPr>
          <w:p w14:paraId="07F0DE3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门头清洁,无垃圾杂物，厅门不应严重变形、磨损、生锈、腐蚀。</w:t>
            </w:r>
          </w:p>
          <w:p w14:paraId="2987840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门开关动作应顺畅良好，无卡阻、异响</w:t>
            </w:r>
          </w:p>
        </w:tc>
        <w:tc>
          <w:tcPr>
            <w:tcW w:w="823" w:type="pct"/>
            <w:tcBorders>
              <w:top w:val="single" w:color="auto" w:sz="4" w:space="0"/>
              <w:left w:val="single" w:color="auto" w:sz="4" w:space="0"/>
              <w:bottom w:val="single" w:color="auto" w:sz="4" w:space="0"/>
              <w:right w:val="single" w:color="auto" w:sz="12" w:space="0"/>
            </w:tcBorders>
            <w:vAlign w:val="center"/>
          </w:tcPr>
          <w:p w14:paraId="77908B5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39F33E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3E5B4CF3">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3A595DE2">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351D4A7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厅门关门到位的电气保护装置功能正常</w:t>
            </w:r>
          </w:p>
          <w:p w14:paraId="0BD4EB7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门扇采用间接机械联动时，被动门电气连锁保护装置功能可靠</w:t>
            </w:r>
          </w:p>
          <w:p w14:paraId="6CB936A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在层门最不利位置，施加外力，门扇之间的间隙不超过30mm，且无停梯现象</w:t>
            </w:r>
          </w:p>
        </w:tc>
        <w:tc>
          <w:tcPr>
            <w:tcW w:w="823" w:type="pct"/>
            <w:tcBorders>
              <w:top w:val="single" w:color="auto" w:sz="4" w:space="0"/>
              <w:left w:val="single" w:color="auto" w:sz="4" w:space="0"/>
              <w:bottom w:val="single" w:color="auto" w:sz="4" w:space="0"/>
              <w:right w:val="single" w:color="auto" w:sz="12" w:space="0"/>
            </w:tcBorders>
            <w:vAlign w:val="center"/>
          </w:tcPr>
          <w:p w14:paraId="51B9F1F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1个月</w:t>
            </w:r>
          </w:p>
        </w:tc>
      </w:tr>
      <w:tr w14:paraId="06AB63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332"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6285F85C">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043433DF">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4B49ED2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厅门三角锁动作、复位灵活，开锁钥匙应经授权使用</w:t>
            </w:r>
          </w:p>
          <w:p w14:paraId="3D743E2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厅门验证锁紧的电气保护装置功能正常，锁紧元件的最小啮合尺寸为7mm</w:t>
            </w:r>
          </w:p>
          <w:p w14:paraId="0C1D6EF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门扇与门扇、门扇与门框、地坎之间的间隙符合标准要求</w:t>
            </w:r>
          </w:p>
          <w:p w14:paraId="34DBDAE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门锁滚轮的间隙及与开门刀的配合尺寸符合产品说明要求</w:t>
            </w:r>
          </w:p>
          <w:p w14:paraId="68C6077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门偏心轮检查及调整、门挂轮磨损检查</w:t>
            </w:r>
          </w:p>
          <w:p w14:paraId="3028A4B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闭门器功能在各层工作正常</w:t>
            </w:r>
          </w:p>
        </w:tc>
        <w:tc>
          <w:tcPr>
            <w:tcW w:w="823" w:type="pct"/>
            <w:tcBorders>
              <w:top w:val="single" w:color="auto" w:sz="4" w:space="0"/>
              <w:left w:val="single" w:color="auto" w:sz="4" w:space="0"/>
              <w:bottom w:val="single" w:color="auto" w:sz="4" w:space="0"/>
              <w:right w:val="single" w:color="auto" w:sz="12" w:space="0"/>
            </w:tcBorders>
            <w:vAlign w:val="center"/>
          </w:tcPr>
          <w:p w14:paraId="1CD6D7C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772D5B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634D233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39</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3D2E8C3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厅门地坎</w:t>
            </w:r>
          </w:p>
        </w:tc>
        <w:tc>
          <w:tcPr>
            <w:tcW w:w="3089" w:type="pct"/>
            <w:tcBorders>
              <w:top w:val="single" w:color="auto" w:sz="4" w:space="0"/>
              <w:left w:val="single" w:color="auto" w:sz="4" w:space="0"/>
              <w:bottom w:val="single" w:color="auto" w:sz="4" w:space="0"/>
              <w:right w:val="single" w:color="auto" w:sz="4" w:space="0"/>
            </w:tcBorders>
            <w:vAlign w:val="center"/>
          </w:tcPr>
          <w:p w14:paraId="2ACFA46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厅门门脚胶齐全，无脱离</w:t>
            </w:r>
          </w:p>
        </w:tc>
        <w:tc>
          <w:tcPr>
            <w:tcW w:w="823" w:type="pct"/>
            <w:tcBorders>
              <w:top w:val="single" w:color="auto" w:sz="4" w:space="0"/>
              <w:left w:val="single" w:color="auto" w:sz="4" w:space="0"/>
              <w:bottom w:val="single" w:color="auto" w:sz="4" w:space="0"/>
              <w:right w:val="single" w:color="auto" w:sz="12" w:space="0"/>
            </w:tcBorders>
            <w:vAlign w:val="center"/>
          </w:tcPr>
          <w:p w14:paraId="7175F48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31AC87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008F1432">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61DB4FDD">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3CDC4BB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厅门护脚板可靠固定，运行时不得与轿厢部件相摩擦</w:t>
            </w:r>
          </w:p>
          <w:p w14:paraId="10D406C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不应出现因厅门门脚胶磨损而发生的噪音</w:t>
            </w:r>
          </w:p>
        </w:tc>
        <w:tc>
          <w:tcPr>
            <w:tcW w:w="823" w:type="pct"/>
            <w:tcBorders>
              <w:top w:val="single" w:color="auto" w:sz="4" w:space="0"/>
              <w:left w:val="single" w:color="auto" w:sz="4" w:space="0"/>
              <w:bottom w:val="single" w:color="auto" w:sz="4" w:space="0"/>
              <w:right w:val="single" w:color="auto" w:sz="12" w:space="0"/>
            </w:tcBorders>
            <w:vAlign w:val="center"/>
          </w:tcPr>
          <w:p w14:paraId="39145EC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0AAB36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00A7CD3F">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2E357270">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718ACB6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轿厢开门刀与厅门地坎间隙应在5-10mm</w:t>
            </w:r>
          </w:p>
          <w:p w14:paraId="1FBC41E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厅门地坎和轿厢地坎之间的间隙应符合产品产品及标准要求</w:t>
            </w:r>
          </w:p>
        </w:tc>
        <w:tc>
          <w:tcPr>
            <w:tcW w:w="823" w:type="pct"/>
            <w:tcBorders>
              <w:top w:val="single" w:color="auto" w:sz="4" w:space="0"/>
              <w:left w:val="single" w:color="auto" w:sz="4" w:space="0"/>
              <w:bottom w:val="single" w:color="auto" w:sz="4" w:space="0"/>
              <w:right w:val="single" w:color="auto" w:sz="12" w:space="0"/>
            </w:tcBorders>
            <w:vAlign w:val="center"/>
          </w:tcPr>
          <w:p w14:paraId="0CB0AAD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64E4B6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31F2B25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40</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2BD8A4C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随行电缆及附件</w:t>
            </w:r>
          </w:p>
        </w:tc>
        <w:tc>
          <w:tcPr>
            <w:tcW w:w="3089" w:type="pct"/>
            <w:tcBorders>
              <w:top w:val="single" w:color="auto" w:sz="4" w:space="0"/>
              <w:left w:val="single" w:color="auto" w:sz="4" w:space="0"/>
              <w:bottom w:val="single" w:color="auto" w:sz="4" w:space="0"/>
              <w:right w:val="single" w:color="auto" w:sz="4" w:space="0"/>
            </w:tcBorders>
            <w:vAlign w:val="center"/>
          </w:tcPr>
          <w:p w14:paraId="35EAB7B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随行电缆两端应可靠固定，不应有打结及波浪扭曲现象</w:t>
            </w:r>
          </w:p>
          <w:p w14:paraId="4973553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运行时随行电缆不应触及其他部件而导致磨损或损坏</w:t>
            </w:r>
          </w:p>
          <w:p w14:paraId="2D6146E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轿厢完全压缩缓冲器后，电缆不得与底坑地面及其他部件接触</w:t>
            </w:r>
          </w:p>
          <w:p w14:paraId="1AA5579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轿厢监控线与随行电缆同步捆绑时，必须确保不产生大的晃</w:t>
            </w:r>
          </w:p>
          <w:p w14:paraId="540912D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动和表面破损</w:t>
            </w:r>
          </w:p>
        </w:tc>
        <w:tc>
          <w:tcPr>
            <w:tcW w:w="823" w:type="pct"/>
            <w:tcBorders>
              <w:top w:val="single" w:color="auto" w:sz="4" w:space="0"/>
              <w:left w:val="single" w:color="auto" w:sz="4" w:space="0"/>
              <w:bottom w:val="single" w:color="auto" w:sz="4" w:space="0"/>
              <w:right w:val="single" w:color="auto" w:sz="12" w:space="0"/>
            </w:tcBorders>
            <w:vAlign w:val="center"/>
          </w:tcPr>
          <w:p w14:paraId="13A6BF0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5D99AE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4066C17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41</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3DB3E70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大厅按钮及显示器</w:t>
            </w:r>
          </w:p>
        </w:tc>
        <w:tc>
          <w:tcPr>
            <w:tcW w:w="3089" w:type="pct"/>
            <w:tcBorders>
              <w:top w:val="single" w:color="auto" w:sz="4" w:space="0"/>
              <w:left w:val="single" w:color="auto" w:sz="4" w:space="0"/>
              <w:bottom w:val="single" w:color="auto" w:sz="4" w:space="0"/>
              <w:right w:val="single" w:color="auto" w:sz="4" w:space="0"/>
            </w:tcBorders>
            <w:vAlign w:val="center"/>
          </w:tcPr>
          <w:p w14:paraId="48333BF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按钮、开关功能正常，且不应有显著的老化、损坏、卡阻现象</w:t>
            </w:r>
          </w:p>
          <w:p w14:paraId="66E79D9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显示器的显示应正确、没有缺划、错划的现象</w:t>
            </w:r>
          </w:p>
          <w:p w14:paraId="719D378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候梯厅应有足够照明（须与业主明确责任）</w:t>
            </w:r>
          </w:p>
        </w:tc>
        <w:tc>
          <w:tcPr>
            <w:tcW w:w="823" w:type="pct"/>
            <w:tcBorders>
              <w:top w:val="single" w:color="auto" w:sz="4" w:space="0"/>
              <w:left w:val="single" w:color="auto" w:sz="4" w:space="0"/>
              <w:bottom w:val="single" w:color="auto" w:sz="4" w:space="0"/>
              <w:right w:val="single" w:color="auto" w:sz="12" w:space="0"/>
            </w:tcBorders>
            <w:vAlign w:val="center"/>
          </w:tcPr>
          <w:p w14:paraId="752D11B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1CA32A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184BB75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42</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1EC8212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消防功能</w:t>
            </w:r>
          </w:p>
        </w:tc>
        <w:tc>
          <w:tcPr>
            <w:tcW w:w="3089" w:type="pct"/>
            <w:tcBorders>
              <w:top w:val="single" w:color="auto" w:sz="4" w:space="0"/>
              <w:left w:val="single" w:color="auto" w:sz="4" w:space="0"/>
              <w:bottom w:val="single" w:color="auto" w:sz="4" w:space="0"/>
              <w:right w:val="single" w:color="auto" w:sz="4" w:space="0"/>
            </w:tcBorders>
            <w:vAlign w:val="center"/>
          </w:tcPr>
          <w:p w14:paraId="3840C01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消防迫降和消防员专用各项功能应正常，基站消防开关应有适当防护</w:t>
            </w:r>
          </w:p>
        </w:tc>
        <w:tc>
          <w:tcPr>
            <w:tcW w:w="823" w:type="pct"/>
            <w:tcBorders>
              <w:top w:val="single" w:color="auto" w:sz="4" w:space="0"/>
              <w:left w:val="single" w:color="auto" w:sz="4" w:space="0"/>
              <w:bottom w:val="single" w:color="auto" w:sz="4" w:space="0"/>
              <w:right w:val="single" w:color="auto" w:sz="12" w:space="0"/>
            </w:tcBorders>
            <w:vAlign w:val="center"/>
          </w:tcPr>
          <w:p w14:paraId="410FEF9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6006D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10159F6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43</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2A28A50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底坑停止装置</w:t>
            </w:r>
          </w:p>
        </w:tc>
        <w:tc>
          <w:tcPr>
            <w:tcW w:w="3089" w:type="pct"/>
            <w:tcBorders>
              <w:top w:val="single" w:color="auto" w:sz="4" w:space="0"/>
              <w:left w:val="single" w:color="auto" w:sz="4" w:space="0"/>
              <w:bottom w:val="single" w:color="auto" w:sz="4" w:space="0"/>
              <w:right w:val="single" w:color="auto" w:sz="4" w:space="0"/>
            </w:tcBorders>
            <w:vAlign w:val="center"/>
          </w:tcPr>
          <w:p w14:paraId="2CFFE2C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不应有显著的生锈、腐蚀现象，开关动作应正常可靠</w:t>
            </w:r>
          </w:p>
        </w:tc>
        <w:tc>
          <w:tcPr>
            <w:tcW w:w="823" w:type="pct"/>
            <w:tcBorders>
              <w:top w:val="single" w:color="auto" w:sz="4" w:space="0"/>
              <w:left w:val="single" w:color="auto" w:sz="4" w:space="0"/>
              <w:bottom w:val="single" w:color="auto" w:sz="4" w:space="0"/>
              <w:right w:val="single" w:color="auto" w:sz="12" w:space="0"/>
            </w:tcBorders>
            <w:vAlign w:val="center"/>
          </w:tcPr>
          <w:p w14:paraId="0BF858C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01FB2E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0B76831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44</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3688577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底坑爬梯</w:t>
            </w:r>
          </w:p>
        </w:tc>
        <w:tc>
          <w:tcPr>
            <w:tcW w:w="3089" w:type="pct"/>
            <w:tcBorders>
              <w:top w:val="single" w:color="auto" w:sz="4" w:space="0"/>
              <w:left w:val="single" w:color="auto" w:sz="4" w:space="0"/>
              <w:bottom w:val="single" w:color="auto" w:sz="4" w:space="0"/>
              <w:right w:val="single" w:color="auto" w:sz="4" w:space="0"/>
            </w:tcBorders>
            <w:vAlign w:val="center"/>
          </w:tcPr>
          <w:p w14:paraId="568B5FB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底坑爬梯固定可靠并方便人员安全进出</w:t>
            </w:r>
          </w:p>
        </w:tc>
        <w:tc>
          <w:tcPr>
            <w:tcW w:w="823" w:type="pct"/>
            <w:tcBorders>
              <w:top w:val="single" w:color="auto" w:sz="4" w:space="0"/>
              <w:left w:val="single" w:color="auto" w:sz="4" w:space="0"/>
              <w:bottom w:val="single" w:color="auto" w:sz="4" w:space="0"/>
              <w:right w:val="single" w:color="auto" w:sz="12" w:space="0"/>
            </w:tcBorders>
            <w:vAlign w:val="center"/>
          </w:tcPr>
          <w:p w14:paraId="403C890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12个月</w:t>
            </w:r>
          </w:p>
        </w:tc>
      </w:tr>
      <w:tr w14:paraId="31192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4" w:space="0"/>
              <w:right w:val="single" w:color="auto" w:sz="4" w:space="0"/>
            </w:tcBorders>
            <w:vAlign w:val="center"/>
          </w:tcPr>
          <w:p w14:paraId="53F9FEA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45</w:t>
            </w:r>
          </w:p>
        </w:tc>
        <w:tc>
          <w:tcPr>
            <w:tcW w:w="706" w:type="pct"/>
            <w:gridSpan w:val="2"/>
            <w:vMerge w:val="restart"/>
            <w:tcBorders>
              <w:top w:val="single" w:color="auto" w:sz="4" w:space="0"/>
              <w:left w:val="single" w:color="auto" w:sz="4" w:space="0"/>
              <w:bottom w:val="single" w:color="auto" w:sz="4" w:space="0"/>
              <w:right w:val="single" w:color="auto" w:sz="4" w:space="0"/>
            </w:tcBorders>
            <w:vAlign w:val="center"/>
          </w:tcPr>
          <w:p w14:paraId="1EECE5A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缓冲器</w:t>
            </w:r>
          </w:p>
        </w:tc>
        <w:tc>
          <w:tcPr>
            <w:tcW w:w="3089" w:type="pct"/>
            <w:tcBorders>
              <w:top w:val="single" w:color="auto" w:sz="4" w:space="0"/>
              <w:left w:val="single" w:color="auto" w:sz="4" w:space="0"/>
              <w:bottom w:val="single" w:color="auto" w:sz="4" w:space="0"/>
              <w:right w:val="single" w:color="auto" w:sz="4" w:space="0"/>
            </w:tcBorders>
            <w:vAlign w:val="center"/>
          </w:tcPr>
          <w:p w14:paraId="7DE2A4A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液压缓冲器被压缩后应能自动复位，完全复位后开关才能恢复正常</w:t>
            </w:r>
          </w:p>
          <w:p w14:paraId="1D2A7E4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液压缓冲器的电气保护开关动作灵活，功能可靠</w:t>
            </w:r>
          </w:p>
        </w:tc>
        <w:tc>
          <w:tcPr>
            <w:tcW w:w="823" w:type="pct"/>
            <w:tcBorders>
              <w:top w:val="single" w:color="auto" w:sz="4" w:space="0"/>
              <w:left w:val="single" w:color="auto" w:sz="4" w:space="0"/>
              <w:bottom w:val="single" w:color="auto" w:sz="4" w:space="0"/>
              <w:right w:val="single" w:color="auto" w:sz="12" w:space="0"/>
            </w:tcBorders>
            <w:vAlign w:val="center"/>
          </w:tcPr>
          <w:p w14:paraId="6240F8F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409A2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2BFCBD71">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6C1CB523">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398F433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液压式缓冲器的液量应正确</w:t>
            </w:r>
          </w:p>
          <w:p w14:paraId="588DCCF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缓冲器顶面至轿厢、对重的距离应符合标准要求</w:t>
            </w:r>
          </w:p>
        </w:tc>
        <w:tc>
          <w:tcPr>
            <w:tcW w:w="823" w:type="pct"/>
            <w:tcBorders>
              <w:top w:val="single" w:color="auto" w:sz="4" w:space="0"/>
              <w:left w:val="single" w:color="auto" w:sz="4" w:space="0"/>
              <w:bottom w:val="single" w:color="auto" w:sz="4" w:space="0"/>
              <w:right w:val="single" w:color="auto" w:sz="12" w:space="0"/>
            </w:tcBorders>
            <w:vAlign w:val="center"/>
          </w:tcPr>
          <w:p w14:paraId="5C6CD08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5E1AB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4" w:space="0"/>
              <w:right w:val="single" w:color="auto" w:sz="4" w:space="0"/>
            </w:tcBorders>
            <w:vAlign w:val="center"/>
          </w:tcPr>
          <w:p w14:paraId="5AF6E6AC">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4" w:space="0"/>
              <w:right w:val="single" w:color="auto" w:sz="4" w:space="0"/>
            </w:tcBorders>
            <w:vAlign w:val="center"/>
          </w:tcPr>
          <w:p w14:paraId="215F1C11">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2F4D747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缓冲器固定可靠，无生锈、腐蚀现象</w:t>
            </w:r>
          </w:p>
        </w:tc>
        <w:tc>
          <w:tcPr>
            <w:tcW w:w="823" w:type="pct"/>
            <w:tcBorders>
              <w:top w:val="single" w:color="auto" w:sz="4" w:space="0"/>
              <w:left w:val="single" w:color="auto" w:sz="4" w:space="0"/>
              <w:bottom w:val="single" w:color="auto" w:sz="4" w:space="0"/>
              <w:right w:val="single" w:color="auto" w:sz="12" w:space="0"/>
            </w:tcBorders>
            <w:vAlign w:val="center"/>
          </w:tcPr>
          <w:p w14:paraId="09923A4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r w14:paraId="0CE847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6B3366A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46</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117F364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安 全 钳</w:t>
            </w:r>
          </w:p>
        </w:tc>
        <w:tc>
          <w:tcPr>
            <w:tcW w:w="3089" w:type="pct"/>
            <w:tcBorders>
              <w:top w:val="single" w:color="auto" w:sz="4" w:space="0"/>
              <w:left w:val="single" w:color="auto" w:sz="4" w:space="0"/>
              <w:bottom w:val="single" w:color="auto" w:sz="4" w:space="0"/>
              <w:right w:val="single" w:color="auto" w:sz="4" w:space="0"/>
            </w:tcBorders>
            <w:vAlign w:val="center"/>
          </w:tcPr>
          <w:p w14:paraId="4D7FC00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安全钳及联动机构各部件齐全，无过量磨损及损坏</w:t>
            </w:r>
          </w:p>
          <w:p w14:paraId="51DBC9B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安全钳各楔块与导轨间隙均匀并符合产品要求，夹紧位置正确</w:t>
            </w:r>
          </w:p>
          <w:p w14:paraId="6D49B61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安全钳各部件无过多油污，应定期清洁</w:t>
            </w:r>
          </w:p>
        </w:tc>
        <w:tc>
          <w:tcPr>
            <w:tcW w:w="823" w:type="pct"/>
            <w:tcBorders>
              <w:top w:val="single" w:color="auto" w:sz="4" w:space="0"/>
              <w:left w:val="single" w:color="auto" w:sz="4" w:space="0"/>
              <w:bottom w:val="single" w:color="auto" w:sz="4" w:space="0"/>
              <w:right w:val="single" w:color="auto" w:sz="12" w:space="0"/>
            </w:tcBorders>
            <w:vAlign w:val="center"/>
          </w:tcPr>
          <w:p w14:paraId="4B43D75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6CF391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688DE6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47</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4E042A7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限速器钢丝绳张紧轮、坠砣及保护开关</w:t>
            </w:r>
          </w:p>
        </w:tc>
        <w:tc>
          <w:tcPr>
            <w:tcW w:w="3089" w:type="pct"/>
            <w:tcBorders>
              <w:top w:val="single" w:color="auto" w:sz="4" w:space="0"/>
              <w:left w:val="single" w:color="auto" w:sz="4" w:space="0"/>
              <w:bottom w:val="single" w:color="auto" w:sz="4" w:space="0"/>
              <w:right w:val="single" w:color="auto" w:sz="4" w:space="0"/>
            </w:tcBorders>
            <w:vAlign w:val="center"/>
          </w:tcPr>
          <w:p w14:paraId="20916F1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限速器钢丝绳张紧轮坠砣不应离地过低</w:t>
            </w:r>
          </w:p>
          <w:p w14:paraId="0612B35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钢丝绳断裂或松弛时应确保能使保护开关正确动作</w:t>
            </w:r>
          </w:p>
          <w:p w14:paraId="11CCFBF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电梯运行中不应存在显著的振动、噪音现象</w:t>
            </w:r>
          </w:p>
        </w:tc>
        <w:tc>
          <w:tcPr>
            <w:tcW w:w="823" w:type="pct"/>
            <w:tcBorders>
              <w:top w:val="single" w:color="auto" w:sz="4" w:space="0"/>
              <w:left w:val="single" w:color="auto" w:sz="4" w:space="0"/>
              <w:bottom w:val="single" w:color="auto" w:sz="4" w:space="0"/>
              <w:right w:val="single" w:color="auto" w:sz="12" w:space="0"/>
            </w:tcBorders>
            <w:vAlign w:val="center"/>
          </w:tcPr>
          <w:p w14:paraId="5D08771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31A3E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tcBorders>
              <w:top w:val="single" w:color="auto" w:sz="4" w:space="0"/>
              <w:left w:val="single" w:color="auto" w:sz="12" w:space="0"/>
              <w:bottom w:val="single" w:color="auto" w:sz="4" w:space="0"/>
              <w:right w:val="single" w:color="auto" w:sz="4" w:space="0"/>
            </w:tcBorders>
            <w:vAlign w:val="center"/>
          </w:tcPr>
          <w:p w14:paraId="790033B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48</w:t>
            </w:r>
          </w:p>
        </w:tc>
        <w:tc>
          <w:tcPr>
            <w:tcW w:w="706" w:type="pct"/>
            <w:gridSpan w:val="2"/>
            <w:tcBorders>
              <w:top w:val="single" w:color="auto" w:sz="4" w:space="0"/>
              <w:left w:val="single" w:color="auto" w:sz="4" w:space="0"/>
              <w:bottom w:val="single" w:color="auto" w:sz="4" w:space="0"/>
              <w:right w:val="single" w:color="auto" w:sz="4" w:space="0"/>
            </w:tcBorders>
            <w:vAlign w:val="center"/>
          </w:tcPr>
          <w:p w14:paraId="2704B4E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底坑地面</w:t>
            </w:r>
          </w:p>
        </w:tc>
        <w:tc>
          <w:tcPr>
            <w:tcW w:w="3089" w:type="pct"/>
            <w:tcBorders>
              <w:top w:val="single" w:color="auto" w:sz="4" w:space="0"/>
              <w:left w:val="single" w:color="auto" w:sz="4" w:space="0"/>
              <w:bottom w:val="single" w:color="auto" w:sz="4" w:space="0"/>
              <w:right w:val="single" w:color="auto" w:sz="4" w:space="0"/>
            </w:tcBorders>
            <w:vAlign w:val="center"/>
          </w:tcPr>
          <w:p w14:paraId="39130B0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应保持良好的清洁状态，防水良好、无渗水漏水现象或消防水倒灌现象</w:t>
            </w:r>
          </w:p>
        </w:tc>
        <w:tc>
          <w:tcPr>
            <w:tcW w:w="823" w:type="pct"/>
            <w:tcBorders>
              <w:top w:val="single" w:color="auto" w:sz="4" w:space="0"/>
              <w:left w:val="single" w:color="auto" w:sz="4" w:space="0"/>
              <w:bottom w:val="single" w:color="auto" w:sz="4" w:space="0"/>
              <w:right w:val="single" w:color="auto" w:sz="12" w:space="0"/>
            </w:tcBorders>
            <w:vAlign w:val="center"/>
          </w:tcPr>
          <w:p w14:paraId="4990552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1E9FF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restart"/>
            <w:tcBorders>
              <w:top w:val="single" w:color="auto" w:sz="4" w:space="0"/>
              <w:left w:val="single" w:color="auto" w:sz="12" w:space="0"/>
              <w:bottom w:val="single" w:color="auto" w:sz="12" w:space="0"/>
              <w:right w:val="single" w:color="auto" w:sz="4" w:space="0"/>
            </w:tcBorders>
            <w:vAlign w:val="center"/>
          </w:tcPr>
          <w:p w14:paraId="1FE71E3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49</w:t>
            </w:r>
          </w:p>
        </w:tc>
        <w:tc>
          <w:tcPr>
            <w:tcW w:w="706" w:type="pct"/>
            <w:gridSpan w:val="2"/>
            <w:vMerge w:val="restart"/>
            <w:tcBorders>
              <w:top w:val="single" w:color="auto" w:sz="4" w:space="0"/>
              <w:left w:val="single" w:color="auto" w:sz="4" w:space="0"/>
              <w:bottom w:val="single" w:color="auto" w:sz="12" w:space="0"/>
              <w:right w:val="single" w:color="auto" w:sz="4" w:space="0"/>
            </w:tcBorders>
            <w:vAlign w:val="center"/>
          </w:tcPr>
          <w:p w14:paraId="0507296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补偿链或补偿绳</w:t>
            </w:r>
          </w:p>
        </w:tc>
        <w:tc>
          <w:tcPr>
            <w:tcW w:w="3089" w:type="pct"/>
            <w:tcBorders>
              <w:top w:val="single" w:color="auto" w:sz="4" w:space="0"/>
              <w:left w:val="single" w:color="auto" w:sz="4" w:space="0"/>
              <w:bottom w:val="single" w:color="auto" w:sz="4" w:space="0"/>
              <w:right w:val="single" w:color="auto" w:sz="4" w:space="0"/>
            </w:tcBorders>
            <w:vAlign w:val="center"/>
          </w:tcPr>
          <w:p w14:paraId="4B2B10B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补偿绳的张紧轮装置及行程限制开关固定，位置正确，开关功能可靠</w:t>
            </w:r>
          </w:p>
          <w:p w14:paraId="363F6C5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补偿链或补偿绳无破损及断裂，无生锈和腐蚀现象</w:t>
            </w:r>
          </w:p>
        </w:tc>
        <w:tc>
          <w:tcPr>
            <w:tcW w:w="823" w:type="pct"/>
            <w:tcBorders>
              <w:top w:val="single" w:color="auto" w:sz="4" w:space="0"/>
              <w:left w:val="single" w:color="auto" w:sz="4" w:space="0"/>
              <w:bottom w:val="single" w:color="auto" w:sz="4" w:space="0"/>
              <w:right w:val="single" w:color="auto" w:sz="12" w:space="0"/>
            </w:tcBorders>
            <w:vAlign w:val="center"/>
          </w:tcPr>
          <w:p w14:paraId="702A997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15天</w:t>
            </w:r>
          </w:p>
        </w:tc>
      </w:tr>
      <w:tr w14:paraId="06CDE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12" w:space="0"/>
              <w:right w:val="single" w:color="auto" w:sz="4" w:space="0"/>
            </w:tcBorders>
            <w:vAlign w:val="center"/>
          </w:tcPr>
          <w:p w14:paraId="54620FB8">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12" w:space="0"/>
              <w:right w:val="single" w:color="auto" w:sz="4" w:space="0"/>
            </w:tcBorders>
            <w:vAlign w:val="center"/>
          </w:tcPr>
          <w:p w14:paraId="3EDFED1D">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4" w:space="0"/>
              <w:right w:val="single" w:color="auto" w:sz="4" w:space="0"/>
            </w:tcBorders>
            <w:vAlign w:val="center"/>
          </w:tcPr>
          <w:p w14:paraId="2EE328E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补偿绳张紧力要充分、均匀；电梯运行时补偿链或补偿绳不应离地过低</w:t>
            </w:r>
          </w:p>
          <w:p w14:paraId="4EDE1D2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补偿绳的张紧轮不应离地过低，也不应脱出导向轨道</w:t>
            </w:r>
          </w:p>
        </w:tc>
        <w:tc>
          <w:tcPr>
            <w:tcW w:w="823" w:type="pct"/>
            <w:tcBorders>
              <w:top w:val="single" w:color="auto" w:sz="4" w:space="0"/>
              <w:left w:val="single" w:color="auto" w:sz="4" w:space="0"/>
              <w:bottom w:val="single" w:color="auto" w:sz="4" w:space="0"/>
              <w:right w:val="single" w:color="auto" w:sz="12" w:space="0"/>
            </w:tcBorders>
            <w:vAlign w:val="center"/>
          </w:tcPr>
          <w:p w14:paraId="1790FD9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3个月</w:t>
            </w:r>
          </w:p>
        </w:tc>
      </w:tr>
      <w:tr w14:paraId="6EAC9C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380" w:type="pct"/>
            <w:vMerge w:val="continue"/>
            <w:tcBorders>
              <w:top w:val="single" w:color="auto" w:sz="4" w:space="0"/>
              <w:left w:val="single" w:color="auto" w:sz="12" w:space="0"/>
              <w:bottom w:val="single" w:color="auto" w:sz="12" w:space="0"/>
              <w:right w:val="single" w:color="auto" w:sz="4" w:space="0"/>
            </w:tcBorders>
            <w:vAlign w:val="center"/>
          </w:tcPr>
          <w:p w14:paraId="4700D7EF">
            <w:pPr>
              <w:kinsoku/>
              <w:overflowPunct w:val="0"/>
              <w:rPr>
                <w:rFonts w:ascii="方正仿宋_GB2312" w:hAnsi="方正仿宋_GB2312" w:eastAsia="方正仿宋_GB2312" w:cs="方正仿宋_GB2312"/>
                <w:sz w:val="24"/>
                <w:szCs w:val="24"/>
              </w:rPr>
            </w:pPr>
          </w:p>
        </w:tc>
        <w:tc>
          <w:tcPr>
            <w:tcW w:w="706" w:type="pct"/>
            <w:gridSpan w:val="2"/>
            <w:vMerge w:val="continue"/>
            <w:tcBorders>
              <w:top w:val="single" w:color="auto" w:sz="4" w:space="0"/>
              <w:left w:val="single" w:color="auto" w:sz="4" w:space="0"/>
              <w:bottom w:val="single" w:color="auto" w:sz="12" w:space="0"/>
              <w:right w:val="single" w:color="auto" w:sz="4" w:space="0"/>
            </w:tcBorders>
            <w:vAlign w:val="center"/>
          </w:tcPr>
          <w:p w14:paraId="254E83B1">
            <w:pPr>
              <w:kinsoku/>
              <w:overflowPunct w:val="0"/>
              <w:rPr>
                <w:rFonts w:ascii="方正仿宋_GB2312" w:hAnsi="方正仿宋_GB2312" w:eastAsia="方正仿宋_GB2312" w:cs="方正仿宋_GB2312"/>
                <w:sz w:val="24"/>
                <w:szCs w:val="24"/>
              </w:rPr>
            </w:pPr>
          </w:p>
        </w:tc>
        <w:tc>
          <w:tcPr>
            <w:tcW w:w="3089" w:type="pct"/>
            <w:tcBorders>
              <w:top w:val="single" w:color="auto" w:sz="4" w:space="0"/>
              <w:left w:val="single" w:color="auto" w:sz="4" w:space="0"/>
              <w:bottom w:val="single" w:color="auto" w:sz="12" w:space="0"/>
              <w:right w:val="single" w:color="auto" w:sz="4" w:space="0"/>
            </w:tcBorders>
            <w:vAlign w:val="center"/>
          </w:tcPr>
          <w:p w14:paraId="0945786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补偿链或补偿绳两端固定可靠，补偿链的二次保护装置正确可靠</w:t>
            </w:r>
          </w:p>
        </w:tc>
        <w:tc>
          <w:tcPr>
            <w:tcW w:w="823" w:type="pct"/>
            <w:tcBorders>
              <w:top w:val="single" w:color="auto" w:sz="4" w:space="0"/>
              <w:left w:val="single" w:color="auto" w:sz="4" w:space="0"/>
              <w:bottom w:val="single" w:color="auto" w:sz="12" w:space="0"/>
              <w:right w:val="single" w:color="auto" w:sz="12" w:space="0"/>
            </w:tcBorders>
            <w:vAlign w:val="center"/>
          </w:tcPr>
          <w:p w14:paraId="230372F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6个月</w:t>
            </w:r>
          </w:p>
        </w:tc>
      </w:tr>
    </w:tbl>
    <w:p w14:paraId="62BA9AE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4.共用设施管理与维修养护标准如下：</w:t>
      </w:r>
    </w:p>
    <w:tbl>
      <w:tblPr>
        <w:tblStyle w:val="8"/>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 w:type="dxa"/>
          <w:bottom w:w="0" w:type="dxa"/>
          <w:right w:w="10" w:type="dxa"/>
        </w:tblCellMar>
      </w:tblPr>
      <w:tblGrid>
        <w:gridCol w:w="530"/>
        <w:gridCol w:w="1053"/>
        <w:gridCol w:w="784"/>
        <w:gridCol w:w="626"/>
        <w:gridCol w:w="5344"/>
      </w:tblGrid>
      <w:tr w14:paraId="45109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tcBorders>
              <w:top w:val="single" w:color="auto" w:sz="12" w:space="0"/>
              <w:left w:val="single" w:color="auto" w:sz="12" w:space="0"/>
              <w:bottom w:val="single" w:color="auto" w:sz="6" w:space="0"/>
              <w:right w:val="single" w:color="auto" w:sz="6" w:space="0"/>
            </w:tcBorders>
            <w:shd w:val="clear" w:color="auto" w:fill="E6E6E6"/>
            <w:vAlign w:val="center"/>
          </w:tcPr>
          <w:p w14:paraId="198C03D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序号</w:t>
            </w:r>
          </w:p>
        </w:tc>
        <w:tc>
          <w:tcPr>
            <w:tcW w:w="631" w:type="pct"/>
            <w:tcBorders>
              <w:top w:val="single" w:color="auto" w:sz="12" w:space="0"/>
              <w:left w:val="single" w:color="auto" w:sz="6" w:space="0"/>
              <w:bottom w:val="single" w:color="auto" w:sz="6" w:space="0"/>
              <w:right w:val="single" w:color="auto" w:sz="6" w:space="0"/>
            </w:tcBorders>
            <w:shd w:val="clear" w:color="auto" w:fill="E6E6E6"/>
            <w:vAlign w:val="center"/>
          </w:tcPr>
          <w:p w14:paraId="70BCC1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470" w:type="pct"/>
            <w:tcBorders>
              <w:top w:val="single" w:color="auto" w:sz="12" w:space="0"/>
              <w:left w:val="single" w:color="auto" w:sz="6" w:space="0"/>
              <w:bottom w:val="single" w:color="auto" w:sz="6" w:space="0"/>
              <w:right w:val="single" w:color="auto" w:sz="6" w:space="0"/>
            </w:tcBorders>
            <w:shd w:val="clear" w:color="auto" w:fill="E6E6E6"/>
            <w:vAlign w:val="center"/>
          </w:tcPr>
          <w:p w14:paraId="496B633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时间</w:t>
            </w:r>
          </w:p>
        </w:tc>
        <w:tc>
          <w:tcPr>
            <w:tcW w:w="375" w:type="pct"/>
            <w:tcBorders>
              <w:top w:val="single" w:color="auto" w:sz="12" w:space="0"/>
              <w:left w:val="single" w:color="auto" w:sz="6" w:space="0"/>
              <w:bottom w:val="single" w:color="auto" w:sz="6" w:space="0"/>
              <w:right w:val="single" w:color="auto" w:sz="6" w:space="0"/>
            </w:tcBorders>
            <w:shd w:val="clear" w:color="auto" w:fill="E6E6E6"/>
            <w:vAlign w:val="center"/>
          </w:tcPr>
          <w:p w14:paraId="6CEEE8C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次数</w:t>
            </w:r>
          </w:p>
        </w:tc>
        <w:tc>
          <w:tcPr>
            <w:tcW w:w="3204" w:type="pct"/>
            <w:tcBorders>
              <w:top w:val="single" w:color="auto" w:sz="12" w:space="0"/>
              <w:left w:val="single" w:color="auto" w:sz="6" w:space="0"/>
              <w:bottom w:val="single" w:color="auto" w:sz="6" w:space="0"/>
              <w:right w:val="single" w:color="auto" w:sz="12" w:space="0"/>
            </w:tcBorders>
            <w:shd w:val="clear" w:color="auto" w:fill="E6E6E6"/>
            <w:vAlign w:val="center"/>
          </w:tcPr>
          <w:p w14:paraId="70C1F55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维修养护内容</w:t>
            </w:r>
          </w:p>
        </w:tc>
      </w:tr>
      <w:tr w14:paraId="27C538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tcBorders>
              <w:top w:val="single" w:color="auto" w:sz="6" w:space="0"/>
              <w:left w:val="single" w:color="auto" w:sz="12" w:space="0"/>
              <w:bottom w:val="single" w:color="auto" w:sz="6" w:space="0"/>
              <w:right w:val="single" w:color="auto" w:sz="6" w:space="0"/>
            </w:tcBorders>
            <w:vAlign w:val="center"/>
          </w:tcPr>
          <w:p w14:paraId="728BA11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631" w:type="pct"/>
            <w:tcBorders>
              <w:top w:val="single" w:color="auto" w:sz="6" w:space="0"/>
              <w:left w:val="single" w:color="auto" w:sz="6" w:space="0"/>
              <w:bottom w:val="single" w:color="auto" w:sz="6" w:space="0"/>
              <w:right w:val="single" w:color="auto" w:sz="6" w:space="0"/>
            </w:tcBorders>
            <w:vAlign w:val="center"/>
          </w:tcPr>
          <w:p w14:paraId="00AA03A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路面路基</w:t>
            </w:r>
          </w:p>
        </w:tc>
        <w:tc>
          <w:tcPr>
            <w:tcW w:w="470" w:type="pct"/>
            <w:tcBorders>
              <w:top w:val="single" w:color="auto" w:sz="6" w:space="0"/>
              <w:left w:val="single" w:color="auto" w:sz="6" w:space="0"/>
              <w:bottom w:val="single" w:color="auto" w:sz="6" w:space="0"/>
              <w:right w:val="single" w:color="auto" w:sz="6" w:space="0"/>
            </w:tcBorders>
            <w:vAlign w:val="center"/>
          </w:tcPr>
          <w:p w14:paraId="6E48CE1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w:t>
            </w:r>
          </w:p>
        </w:tc>
        <w:tc>
          <w:tcPr>
            <w:tcW w:w="375" w:type="pct"/>
            <w:tcBorders>
              <w:top w:val="single" w:color="auto" w:sz="6" w:space="0"/>
              <w:left w:val="single" w:color="auto" w:sz="6" w:space="0"/>
              <w:bottom w:val="single" w:color="auto" w:sz="6" w:space="0"/>
              <w:right w:val="single" w:color="auto" w:sz="6" w:space="0"/>
            </w:tcBorders>
            <w:vAlign w:val="center"/>
          </w:tcPr>
          <w:p w14:paraId="1184FC6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7EFF193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1．检查路面有无积水。</w:t>
            </w:r>
          </w:p>
          <w:p w14:paraId="4F6887F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2．检查道路路面有无起壳、地鼓、裂缝。</w:t>
            </w:r>
          </w:p>
          <w:p w14:paraId="374D9AC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3．检查路基有无塌陷。</w:t>
            </w:r>
          </w:p>
          <w:p w14:paraId="3D78A79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4．发现异常及时处理或修复。</w:t>
            </w:r>
          </w:p>
        </w:tc>
      </w:tr>
      <w:tr w14:paraId="1AFD6C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restart"/>
            <w:tcBorders>
              <w:top w:val="single" w:color="auto" w:sz="6" w:space="0"/>
              <w:left w:val="single" w:color="auto" w:sz="12" w:space="0"/>
              <w:bottom w:val="single" w:color="auto" w:sz="6" w:space="0"/>
              <w:right w:val="single" w:color="auto" w:sz="6" w:space="0"/>
            </w:tcBorders>
            <w:vAlign w:val="center"/>
          </w:tcPr>
          <w:p w14:paraId="5AEE3EF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p>
        </w:tc>
        <w:tc>
          <w:tcPr>
            <w:tcW w:w="631" w:type="pct"/>
            <w:vMerge w:val="restart"/>
            <w:tcBorders>
              <w:top w:val="single" w:color="auto" w:sz="6" w:space="0"/>
              <w:left w:val="single" w:color="auto" w:sz="6" w:space="0"/>
              <w:bottom w:val="single" w:color="auto" w:sz="6" w:space="0"/>
              <w:right w:val="single" w:color="auto" w:sz="6" w:space="0"/>
            </w:tcBorders>
            <w:vAlign w:val="center"/>
          </w:tcPr>
          <w:p w14:paraId="5136615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路灯及线路</w:t>
            </w:r>
          </w:p>
        </w:tc>
        <w:tc>
          <w:tcPr>
            <w:tcW w:w="470" w:type="pct"/>
            <w:tcBorders>
              <w:top w:val="single" w:color="auto" w:sz="6" w:space="0"/>
              <w:left w:val="single" w:color="auto" w:sz="6" w:space="0"/>
              <w:bottom w:val="single" w:color="auto" w:sz="6" w:space="0"/>
              <w:right w:val="single" w:color="auto" w:sz="6" w:space="0"/>
            </w:tcBorders>
            <w:vAlign w:val="center"/>
          </w:tcPr>
          <w:p w14:paraId="075AAB3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每日</w:t>
            </w:r>
          </w:p>
        </w:tc>
        <w:tc>
          <w:tcPr>
            <w:tcW w:w="375" w:type="pct"/>
            <w:tcBorders>
              <w:top w:val="single" w:color="auto" w:sz="6" w:space="0"/>
              <w:left w:val="single" w:color="auto" w:sz="6" w:space="0"/>
              <w:bottom w:val="single" w:color="auto" w:sz="6" w:space="0"/>
              <w:right w:val="single" w:color="auto" w:sz="6" w:space="0"/>
            </w:tcBorders>
            <w:vAlign w:val="center"/>
          </w:tcPr>
          <w:p w14:paraId="1FCFD74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358DD82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1．检查灯具完好情况，即坏即修。</w:t>
            </w:r>
          </w:p>
        </w:tc>
      </w:tr>
      <w:tr w14:paraId="6E2FF0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continue"/>
            <w:tcBorders>
              <w:top w:val="single" w:color="auto" w:sz="6" w:space="0"/>
              <w:left w:val="single" w:color="auto" w:sz="12" w:space="0"/>
              <w:bottom w:val="single" w:color="auto" w:sz="6" w:space="0"/>
              <w:right w:val="single" w:color="auto" w:sz="6" w:space="0"/>
            </w:tcBorders>
            <w:vAlign w:val="center"/>
          </w:tcPr>
          <w:p w14:paraId="5F84838B">
            <w:pPr>
              <w:kinsoku/>
              <w:overflowPunct w:val="0"/>
              <w:rPr>
                <w:rFonts w:ascii="方正仿宋_GB2312" w:hAnsi="方正仿宋_GB2312" w:eastAsia="方正仿宋_GB2312" w:cs="方正仿宋_GB2312"/>
                <w:sz w:val="24"/>
                <w:szCs w:val="24"/>
              </w:rPr>
            </w:pPr>
          </w:p>
        </w:tc>
        <w:tc>
          <w:tcPr>
            <w:tcW w:w="631" w:type="pct"/>
            <w:vMerge w:val="continue"/>
            <w:tcBorders>
              <w:top w:val="single" w:color="auto" w:sz="6" w:space="0"/>
              <w:left w:val="single" w:color="auto" w:sz="6" w:space="0"/>
              <w:bottom w:val="single" w:color="auto" w:sz="6" w:space="0"/>
              <w:right w:val="single" w:color="auto" w:sz="6" w:space="0"/>
            </w:tcBorders>
            <w:vAlign w:val="center"/>
          </w:tcPr>
          <w:p w14:paraId="16DEF998">
            <w:pPr>
              <w:kinsoku/>
              <w:overflowPunct w:val="0"/>
              <w:rPr>
                <w:rFonts w:ascii="方正仿宋_GB2312" w:hAnsi="方正仿宋_GB2312" w:eastAsia="方正仿宋_GB2312" w:cs="方正仿宋_GB2312"/>
                <w:sz w:val="24"/>
                <w:szCs w:val="24"/>
              </w:rPr>
            </w:pPr>
          </w:p>
        </w:tc>
        <w:tc>
          <w:tcPr>
            <w:tcW w:w="470" w:type="pct"/>
            <w:tcBorders>
              <w:top w:val="single" w:color="auto" w:sz="6" w:space="0"/>
              <w:left w:val="single" w:color="auto" w:sz="6" w:space="0"/>
              <w:bottom w:val="single" w:color="auto" w:sz="6" w:space="0"/>
              <w:right w:val="single" w:color="auto" w:sz="6" w:space="0"/>
            </w:tcBorders>
            <w:vAlign w:val="center"/>
          </w:tcPr>
          <w:p w14:paraId="1FDE97A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w:t>
            </w:r>
          </w:p>
        </w:tc>
        <w:tc>
          <w:tcPr>
            <w:tcW w:w="375" w:type="pct"/>
            <w:tcBorders>
              <w:top w:val="single" w:color="auto" w:sz="6" w:space="0"/>
              <w:left w:val="single" w:color="auto" w:sz="6" w:space="0"/>
              <w:bottom w:val="single" w:color="auto" w:sz="6" w:space="0"/>
              <w:right w:val="single" w:color="auto" w:sz="6" w:space="0"/>
            </w:tcBorders>
            <w:vAlign w:val="center"/>
          </w:tcPr>
          <w:p w14:paraId="32BBC77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6EA3EA5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1．检查玻璃灯罩有无破损。</w:t>
            </w:r>
          </w:p>
          <w:p w14:paraId="0F2537F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2．有无金属灯架松脱现象。</w:t>
            </w:r>
          </w:p>
          <w:p w14:paraId="51795D3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3．灯口、灯栅有无损坏。</w:t>
            </w:r>
          </w:p>
        </w:tc>
      </w:tr>
      <w:tr w14:paraId="4001AE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continue"/>
            <w:tcBorders>
              <w:top w:val="single" w:color="auto" w:sz="6" w:space="0"/>
              <w:left w:val="single" w:color="auto" w:sz="12" w:space="0"/>
              <w:bottom w:val="single" w:color="auto" w:sz="6" w:space="0"/>
              <w:right w:val="single" w:color="auto" w:sz="6" w:space="0"/>
            </w:tcBorders>
            <w:vAlign w:val="center"/>
          </w:tcPr>
          <w:p w14:paraId="21040045">
            <w:pPr>
              <w:kinsoku/>
              <w:overflowPunct w:val="0"/>
              <w:rPr>
                <w:rFonts w:ascii="方正仿宋_GB2312" w:hAnsi="方正仿宋_GB2312" w:eastAsia="方正仿宋_GB2312" w:cs="方正仿宋_GB2312"/>
                <w:sz w:val="24"/>
                <w:szCs w:val="24"/>
              </w:rPr>
            </w:pPr>
          </w:p>
        </w:tc>
        <w:tc>
          <w:tcPr>
            <w:tcW w:w="631" w:type="pct"/>
            <w:vMerge w:val="continue"/>
            <w:tcBorders>
              <w:top w:val="single" w:color="auto" w:sz="6" w:space="0"/>
              <w:left w:val="single" w:color="auto" w:sz="6" w:space="0"/>
              <w:bottom w:val="single" w:color="auto" w:sz="6" w:space="0"/>
              <w:right w:val="single" w:color="auto" w:sz="6" w:space="0"/>
            </w:tcBorders>
            <w:vAlign w:val="center"/>
          </w:tcPr>
          <w:p w14:paraId="24998F7C">
            <w:pPr>
              <w:kinsoku/>
              <w:overflowPunct w:val="0"/>
              <w:rPr>
                <w:rFonts w:ascii="方正仿宋_GB2312" w:hAnsi="方正仿宋_GB2312" w:eastAsia="方正仿宋_GB2312" w:cs="方正仿宋_GB2312"/>
                <w:sz w:val="24"/>
                <w:szCs w:val="24"/>
              </w:rPr>
            </w:pPr>
          </w:p>
        </w:tc>
        <w:tc>
          <w:tcPr>
            <w:tcW w:w="470" w:type="pct"/>
            <w:tcBorders>
              <w:top w:val="single" w:color="auto" w:sz="6" w:space="0"/>
              <w:left w:val="single" w:color="auto" w:sz="6" w:space="0"/>
              <w:bottom w:val="single" w:color="auto" w:sz="6" w:space="0"/>
              <w:right w:val="single" w:color="auto" w:sz="6" w:space="0"/>
            </w:tcBorders>
            <w:vAlign w:val="center"/>
          </w:tcPr>
          <w:p w14:paraId="57767E8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tc>
        <w:tc>
          <w:tcPr>
            <w:tcW w:w="375" w:type="pct"/>
            <w:tcBorders>
              <w:top w:val="single" w:color="auto" w:sz="6" w:space="0"/>
              <w:left w:val="single" w:color="auto" w:sz="6" w:space="0"/>
              <w:bottom w:val="single" w:color="auto" w:sz="6" w:space="0"/>
              <w:right w:val="single" w:color="auto" w:sz="6" w:space="0"/>
            </w:tcBorders>
            <w:vAlign w:val="center"/>
          </w:tcPr>
          <w:p w14:paraId="73E5476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12B0A4D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1．检查路灯线路有无漏电、短路烧毁现象。</w:t>
            </w:r>
          </w:p>
          <w:p w14:paraId="0B15276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2．金属灯架有无锈蚀。</w:t>
            </w:r>
          </w:p>
          <w:p w14:paraId="2D25336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3．发现异常即时处理或修复</w:t>
            </w:r>
          </w:p>
        </w:tc>
      </w:tr>
      <w:tr w14:paraId="1F20E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continue"/>
            <w:tcBorders>
              <w:top w:val="single" w:color="auto" w:sz="6" w:space="0"/>
              <w:left w:val="single" w:color="auto" w:sz="12" w:space="0"/>
              <w:bottom w:val="single" w:color="auto" w:sz="6" w:space="0"/>
              <w:right w:val="single" w:color="auto" w:sz="6" w:space="0"/>
            </w:tcBorders>
            <w:vAlign w:val="center"/>
          </w:tcPr>
          <w:p w14:paraId="40124327">
            <w:pPr>
              <w:kinsoku/>
              <w:overflowPunct w:val="0"/>
              <w:rPr>
                <w:rFonts w:ascii="方正仿宋_GB2312" w:hAnsi="方正仿宋_GB2312" w:eastAsia="方正仿宋_GB2312" w:cs="方正仿宋_GB2312"/>
                <w:sz w:val="24"/>
                <w:szCs w:val="24"/>
              </w:rPr>
            </w:pPr>
          </w:p>
        </w:tc>
        <w:tc>
          <w:tcPr>
            <w:tcW w:w="631" w:type="pct"/>
            <w:vMerge w:val="continue"/>
            <w:tcBorders>
              <w:top w:val="single" w:color="auto" w:sz="6" w:space="0"/>
              <w:left w:val="single" w:color="auto" w:sz="6" w:space="0"/>
              <w:bottom w:val="single" w:color="auto" w:sz="6" w:space="0"/>
              <w:right w:val="single" w:color="auto" w:sz="6" w:space="0"/>
            </w:tcBorders>
            <w:vAlign w:val="center"/>
          </w:tcPr>
          <w:p w14:paraId="5133AD0E">
            <w:pPr>
              <w:kinsoku/>
              <w:overflowPunct w:val="0"/>
              <w:rPr>
                <w:rFonts w:ascii="方正仿宋_GB2312" w:hAnsi="方正仿宋_GB2312" w:eastAsia="方正仿宋_GB2312" w:cs="方正仿宋_GB2312"/>
                <w:sz w:val="24"/>
                <w:szCs w:val="24"/>
              </w:rPr>
            </w:pPr>
          </w:p>
        </w:tc>
        <w:tc>
          <w:tcPr>
            <w:tcW w:w="470" w:type="pct"/>
            <w:tcBorders>
              <w:top w:val="single" w:color="auto" w:sz="6" w:space="0"/>
              <w:left w:val="single" w:color="auto" w:sz="6" w:space="0"/>
              <w:bottom w:val="single" w:color="auto" w:sz="6" w:space="0"/>
              <w:right w:val="single" w:color="auto" w:sz="6" w:space="0"/>
            </w:tcBorders>
            <w:vAlign w:val="center"/>
          </w:tcPr>
          <w:p w14:paraId="21AD8BF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tc>
        <w:tc>
          <w:tcPr>
            <w:tcW w:w="375" w:type="pct"/>
            <w:tcBorders>
              <w:top w:val="single" w:color="auto" w:sz="6" w:space="0"/>
              <w:left w:val="single" w:color="auto" w:sz="6" w:space="0"/>
              <w:bottom w:val="single" w:color="auto" w:sz="6" w:space="0"/>
              <w:right w:val="single" w:color="auto" w:sz="6" w:space="0"/>
            </w:tcBorders>
            <w:vAlign w:val="center"/>
          </w:tcPr>
          <w:p w14:paraId="1F8AACA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45EB18B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1．油漆灯具支架。</w:t>
            </w:r>
          </w:p>
          <w:p w14:paraId="0027728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2．检查路灯线路有无老化现象。</w:t>
            </w:r>
          </w:p>
          <w:p w14:paraId="700117D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3．油漆灯具线管一次。</w:t>
            </w:r>
          </w:p>
        </w:tc>
      </w:tr>
      <w:tr w14:paraId="7CB9F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restart"/>
            <w:tcBorders>
              <w:top w:val="single" w:color="auto" w:sz="6" w:space="0"/>
              <w:left w:val="single" w:color="auto" w:sz="12" w:space="0"/>
              <w:bottom w:val="single" w:color="auto" w:sz="6" w:space="0"/>
              <w:right w:val="single" w:color="auto" w:sz="6" w:space="0"/>
            </w:tcBorders>
            <w:vAlign w:val="center"/>
          </w:tcPr>
          <w:p w14:paraId="6017316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p>
        </w:tc>
        <w:tc>
          <w:tcPr>
            <w:tcW w:w="631" w:type="pct"/>
            <w:vMerge w:val="restart"/>
            <w:tcBorders>
              <w:top w:val="single" w:color="auto" w:sz="6" w:space="0"/>
              <w:left w:val="single" w:color="auto" w:sz="6" w:space="0"/>
              <w:bottom w:val="single" w:color="auto" w:sz="6" w:space="0"/>
              <w:right w:val="single" w:color="auto" w:sz="6" w:space="0"/>
            </w:tcBorders>
            <w:vAlign w:val="center"/>
          </w:tcPr>
          <w:p w14:paraId="6D02E3D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停车场库</w:t>
            </w:r>
          </w:p>
        </w:tc>
        <w:tc>
          <w:tcPr>
            <w:tcW w:w="470" w:type="pct"/>
            <w:tcBorders>
              <w:top w:val="single" w:color="auto" w:sz="6" w:space="0"/>
              <w:left w:val="single" w:color="auto" w:sz="6" w:space="0"/>
              <w:bottom w:val="single" w:color="auto" w:sz="6" w:space="0"/>
              <w:right w:val="single" w:color="auto" w:sz="6" w:space="0"/>
            </w:tcBorders>
            <w:vAlign w:val="center"/>
          </w:tcPr>
          <w:p w14:paraId="31D749A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每日</w:t>
            </w:r>
          </w:p>
        </w:tc>
        <w:tc>
          <w:tcPr>
            <w:tcW w:w="375" w:type="pct"/>
            <w:tcBorders>
              <w:top w:val="single" w:color="auto" w:sz="6" w:space="0"/>
              <w:left w:val="single" w:color="auto" w:sz="6" w:space="0"/>
              <w:bottom w:val="single" w:color="auto" w:sz="6" w:space="0"/>
              <w:right w:val="single" w:color="auto" w:sz="6" w:space="0"/>
            </w:tcBorders>
            <w:vAlign w:val="center"/>
          </w:tcPr>
          <w:p w14:paraId="11B946C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3A8F678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1．检查车道灯有无损坏。</w:t>
            </w:r>
          </w:p>
          <w:p w14:paraId="377B246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2．发现异常即时处理或修复。</w:t>
            </w:r>
          </w:p>
        </w:tc>
      </w:tr>
      <w:tr w14:paraId="29C711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continue"/>
            <w:tcBorders>
              <w:top w:val="single" w:color="auto" w:sz="6" w:space="0"/>
              <w:left w:val="single" w:color="auto" w:sz="12" w:space="0"/>
              <w:bottom w:val="single" w:color="auto" w:sz="6" w:space="0"/>
              <w:right w:val="single" w:color="auto" w:sz="6" w:space="0"/>
            </w:tcBorders>
            <w:vAlign w:val="center"/>
          </w:tcPr>
          <w:p w14:paraId="7A01514C">
            <w:pPr>
              <w:kinsoku/>
              <w:overflowPunct w:val="0"/>
              <w:rPr>
                <w:rFonts w:ascii="方正仿宋_GB2312" w:hAnsi="方正仿宋_GB2312" w:eastAsia="方正仿宋_GB2312" w:cs="方正仿宋_GB2312"/>
                <w:sz w:val="24"/>
                <w:szCs w:val="24"/>
              </w:rPr>
            </w:pPr>
          </w:p>
        </w:tc>
        <w:tc>
          <w:tcPr>
            <w:tcW w:w="631" w:type="pct"/>
            <w:vMerge w:val="continue"/>
            <w:tcBorders>
              <w:top w:val="single" w:color="auto" w:sz="6" w:space="0"/>
              <w:left w:val="single" w:color="auto" w:sz="6" w:space="0"/>
              <w:bottom w:val="single" w:color="auto" w:sz="6" w:space="0"/>
              <w:right w:val="single" w:color="auto" w:sz="6" w:space="0"/>
            </w:tcBorders>
            <w:vAlign w:val="center"/>
          </w:tcPr>
          <w:p w14:paraId="4A656569">
            <w:pPr>
              <w:kinsoku/>
              <w:overflowPunct w:val="0"/>
              <w:rPr>
                <w:rFonts w:ascii="方正仿宋_GB2312" w:hAnsi="方正仿宋_GB2312" w:eastAsia="方正仿宋_GB2312" w:cs="方正仿宋_GB2312"/>
                <w:sz w:val="24"/>
                <w:szCs w:val="24"/>
              </w:rPr>
            </w:pPr>
          </w:p>
        </w:tc>
        <w:tc>
          <w:tcPr>
            <w:tcW w:w="470" w:type="pct"/>
            <w:tcBorders>
              <w:top w:val="single" w:color="auto" w:sz="6" w:space="0"/>
              <w:left w:val="single" w:color="auto" w:sz="6" w:space="0"/>
              <w:bottom w:val="single" w:color="auto" w:sz="6" w:space="0"/>
              <w:right w:val="single" w:color="auto" w:sz="6" w:space="0"/>
            </w:tcBorders>
            <w:vAlign w:val="center"/>
          </w:tcPr>
          <w:p w14:paraId="5CF5198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每月</w:t>
            </w:r>
          </w:p>
        </w:tc>
        <w:tc>
          <w:tcPr>
            <w:tcW w:w="375" w:type="pct"/>
            <w:tcBorders>
              <w:top w:val="single" w:color="auto" w:sz="6" w:space="0"/>
              <w:left w:val="single" w:color="auto" w:sz="6" w:space="0"/>
              <w:bottom w:val="single" w:color="auto" w:sz="6" w:space="0"/>
              <w:right w:val="single" w:color="auto" w:sz="6" w:space="0"/>
            </w:tcBorders>
            <w:vAlign w:val="center"/>
          </w:tcPr>
          <w:p w14:paraId="1972C85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75596FB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1．检查停车场地面有无起壳、地鼓、裂缝。</w:t>
            </w:r>
          </w:p>
          <w:p w14:paraId="448BA58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2．限速牌、指示牌是否齐全、完整。</w:t>
            </w:r>
          </w:p>
          <w:p w14:paraId="6F58E06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3．检查挡车器是否正常。</w:t>
            </w:r>
          </w:p>
        </w:tc>
      </w:tr>
      <w:tr w14:paraId="4888D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restart"/>
            <w:tcBorders>
              <w:top w:val="single" w:color="auto" w:sz="6" w:space="0"/>
              <w:left w:val="single" w:color="auto" w:sz="12" w:space="0"/>
              <w:bottom w:val="single" w:color="auto" w:sz="6" w:space="0"/>
              <w:right w:val="single" w:color="auto" w:sz="6" w:space="0"/>
            </w:tcBorders>
            <w:vAlign w:val="center"/>
          </w:tcPr>
          <w:p w14:paraId="71B050C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p>
        </w:tc>
        <w:tc>
          <w:tcPr>
            <w:tcW w:w="631" w:type="pct"/>
            <w:vMerge w:val="restart"/>
            <w:tcBorders>
              <w:top w:val="single" w:color="auto" w:sz="6" w:space="0"/>
              <w:left w:val="single" w:color="auto" w:sz="6" w:space="0"/>
              <w:bottom w:val="single" w:color="auto" w:sz="6" w:space="0"/>
              <w:right w:val="single" w:color="auto" w:sz="6" w:space="0"/>
            </w:tcBorders>
            <w:vAlign w:val="center"/>
          </w:tcPr>
          <w:p w14:paraId="53F06AD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沟渠池井</w:t>
            </w:r>
          </w:p>
        </w:tc>
        <w:tc>
          <w:tcPr>
            <w:tcW w:w="470" w:type="pct"/>
            <w:tcBorders>
              <w:top w:val="single" w:color="auto" w:sz="6" w:space="0"/>
              <w:left w:val="single" w:color="auto" w:sz="6" w:space="0"/>
              <w:bottom w:val="single" w:color="auto" w:sz="6" w:space="0"/>
              <w:right w:val="single" w:color="auto" w:sz="6" w:space="0"/>
            </w:tcBorders>
            <w:vAlign w:val="center"/>
          </w:tcPr>
          <w:p w14:paraId="76606DD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w:t>
            </w:r>
          </w:p>
        </w:tc>
        <w:tc>
          <w:tcPr>
            <w:tcW w:w="375" w:type="pct"/>
            <w:tcBorders>
              <w:top w:val="single" w:color="auto" w:sz="6" w:space="0"/>
              <w:left w:val="single" w:color="auto" w:sz="6" w:space="0"/>
              <w:bottom w:val="single" w:color="auto" w:sz="6" w:space="0"/>
              <w:right w:val="single" w:color="auto" w:sz="6" w:space="0"/>
            </w:tcBorders>
            <w:vAlign w:val="center"/>
          </w:tcPr>
          <w:p w14:paraId="2B52970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265C970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1．检查沟、渠有无堵塞现象，如有异常及时疏通。</w:t>
            </w:r>
          </w:p>
          <w:p w14:paraId="73985EF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2．检查雨水篦有无异常。</w:t>
            </w:r>
          </w:p>
        </w:tc>
      </w:tr>
      <w:tr w14:paraId="7B861C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continue"/>
            <w:tcBorders>
              <w:top w:val="single" w:color="auto" w:sz="6" w:space="0"/>
              <w:left w:val="single" w:color="auto" w:sz="12" w:space="0"/>
              <w:bottom w:val="single" w:color="auto" w:sz="6" w:space="0"/>
              <w:right w:val="single" w:color="auto" w:sz="6" w:space="0"/>
            </w:tcBorders>
            <w:vAlign w:val="center"/>
          </w:tcPr>
          <w:p w14:paraId="746C2423">
            <w:pPr>
              <w:kinsoku/>
              <w:overflowPunct w:val="0"/>
              <w:rPr>
                <w:rFonts w:ascii="方正仿宋_GB2312" w:hAnsi="方正仿宋_GB2312" w:eastAsia="方正仿宋_GB2312" w:cs="方正仿宋_GB2312"/>
                <w:sz w:val="24"/>
                <w:szCs w:val="24"/>
              </w:rPr>
            </w:pPr>
          </w:p>
        </w:tc>
        <w:tc>
          <w:tcPr>
            <w:tcW w:w="631" w:type="pct"/>
            <w:vMerge w:val="continue"/>
            <w:tcBorders>
              <w:top w:val="single" w:color="auto" w:sz="6" w:space="0"/>
              <w:left w:val="single" w:color="auto" w:sz="6" w:space="0"/>
              <w:bottom w:val="single" w:color="auto" w:sz="6" w:space="0"/>
              <w:right w:val="single" w:color="auto" w:sz="6" w:space="0"/>
            </w:tcBorders>
            <w:vAlign w:val="center"/>
          </w:tcPr>
          <w:p w14:paraId="09E143CC">
            <w:pPr>
              <w:kinsoku/>
              <w:overflowPunct w:val="0"/>
              <w:rPr>
                <w:rFonts w:ascii="方正仿宋_GB2312" w:hAnsi="方正仿宋_GB2312" w:eastAsia="方正仿宋_GB2312" w:cs="方正仿宋_GB2312"/>
                <w:sz w:val="24"/>
                <w:szCs w:val="24"/>
              </w:rPr>
            </w:pPr>
          </w:p>
        </w:tc>
        <w:tc>
          <w:tcPr>
            <w:tcW w:w="470" w:type="pct"/>
            <w:tcBorders>
              <w:top w:val="single" w:color="auto" w:sz="6" w:space="0"/>
              <w:left w:val="single" w:color="auto" w:sz="6" w:space="0"/>
              <w:bottom w:val="single" w:color="auto" w:sz="6" w:space="0"/>
              <w:right w:val="single" w:color="auto" w:sz="6" w:space="0"/>
            </w:tcBorders>
            <w:vAlign w:val="center"/>
          </w:tcPr>
          <w:p w14:paraId="5D5CD77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每季</w:t>
            </w:r>
          </w:p>
        </w:tc>
        <w:tc>
          <w:tcPr>
            <w:tcW w:w="375" w:type="pct"/>
            <w:tcBorders>
              <w:top w:val="single" w:color="auto" w:sz="6" w:space="0"/>
              <w:left w:val="single" w:color="auto" w:sz="6" w:space="0"/>
              <w:bottom w:val="single" w:color="auto" w:sz="6" w:space="0"/>
              <w:right w:val="single" w:color="auto" w:sz="6" w:space="0"/>
            </w:tcBorders>
            <w:vAlign w:val="center"/>
          </w:tcPr>
          <w:p w14:paraId="2D0B4C2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4939A27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1．检查井底及池底是否有污物沉积，如有沉积及时清污。</w:t>
            </w:r>
          </w:p>
          <w:p w14:paraId="48380627">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2．检查井壁有无裂缝及塌陷，如有异常及时修复。</w:t>
            </w:r>
          </w:p>
          <w:p w14:paraId="1729138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3．检查沟、渠是否完好，如有异常及时修复。</w:t>
            </w:r>
          </w:p>
          <w:p w14:paraId="161D821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4．井盖及雨水篦刷漆。</w:t>
            </w:r>
          </w:p>
          <w:p w14:paraId="04DA0D1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5．检查井盖完好程度，发现损坏及时修复或更换。</w:t>
            </w:r>
          </w:p>
        </w:tc>
      </w:tr>
      <w:tr w14:paraId="3CFAE1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restart"/>
            <w:tcBorders>
              <w:top w:val="single" w:color="auto" w:sz="6" w:space="0"/>
              <w:left w:val="single" w:color="auto" w:sz="12" w:space="0"/>
              <w:bottom w:val="single" w:color="auto" w:sz="6" w:space="0"/>
              <w:right w:val="single" w:color="auto" w:sz="6" w:space="0"/>
            </w:tcBorders>
            <w:vAlign w:val="center"/>
          </w:tcPr>
          <w:p w14:paraId="07E8631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w:t>
            </w:r>
          </w:p>
        </w:tc>
        <w:tc>
          <w:tcPr>
            <w:tcW w:w="631" w:type="pct"/>
            <w:vMerge w:val="restart"/>
            <w:tcBorders>
              <w:top w:val="single" w:color="auto" w:sz="6" w:space="0"/>
              <w:left w:val="single" w:color="auto" w:sz="6" w:space="0"/>
              <w:bottom w:val="single" w:color="auto" w:sz="6" w:space="0"/>
              <w:right w:val="single" w:color="auto" w:sz="6" w:space="0"/>
            </w:tcBorders>
            <w:vAlign w:val="center"/>
          </w:tcPr>
          <w:p w14:paraId="3748C06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公用标志设施</w:t>
            </w:r>
          </w:p>
        </w:tc>
        <w:tc>
          <w:tcPr>
            <w:tcW w:w="470" w:type="pct"/>
            <w:tcBorders>
              <w:top w:val="single" w:color="auto" w:sz="6" w:space="0"/>
              <w:left w:val="single" w:color="auto" w:sz="6" w:space="0"/>
              <w:bottom w:val="single" w:color="auto" w:sz="6" w:space="0"/>
              <w:right w:val="single" w:color="auto" w:sz="6" w:space="0"/>
            </w:tcBorders>
            <w:vAlign w:val="center"/>
          </w:tcPr>
          <w:p w14:paraId="7E2604A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每周</w:t>
            </w:r>
          </w:p>
        </w:tc>
        <w:tc>
          <w:tcPr>
            <w:tcW w:w="375" w:type="pct"/>
            <w:tcBorders>
              <w:top w:val="single" w:color="auto" w:sz="6" w:space="0"/>
              <w:left w:val="single" w:color="auto" w:sz="6" w:space="0"/>
              <w:bottom w:val="single" w:color="auto" w:sz="6" w:space="0"/>
              <w:right w:val="single" w:color="auto" w:sz="6" w:space="0"/>
            </w:tcBorders>
            <w:vAlign w:val="center"/>
          </w:tcPr>
          <w:p w14:paraId="1110152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5500D3C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1．保证标识清晰、无污迹、无脱落、无破损，发现异常及时处理。</w:t>
            </w:r>
          </w:p>
          <w:p w14:paraId="6FCA2C7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2．检查牢固程度，如有松脱，及时恢复。</w:t>
            </w:r>
          </w:p>
        </w:tc>
      </w:tr>
      <w:tr w14:paraId="0DD4BB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vMerge w:val="continue"/>
            <w:tcBorders>
              <w:top w:val="single" w:color="auto" w:sz="6" w:space="0"/>
              <w:left w:val="single" w:color="auto" w:sz="12" w:space="0"/>
              <w:bottom w:val="single" w:color="auto" w:sz="6" w:space="0"/>
              <w:right w:val="single" w:color="auto" w:sz="6" w:space="0"/>
            </w:tcBorders>
            <w:vAlign w:val="center"/>
          </w:tcPr>
          <w:p w14:paraId="5D575519">
            <w:pPr>
              <w:kinsoku/>
              <w:overflowPunct w:val="0"/>
              <w:rPr>
                <w:rFonts w:ascii="方正仿宋_GB2312" w:hAnsi="方正仿宋_GB2312" w:eastAsia="方正仿宋_GB2312" w:cs="方正仿宋_GB2312"/>
                <w:sz w:val="24"/>
                <w:szCs w:val="24"/>
              </w:rPr>
            </w:pPr>
          </w:p>
        </w:tc>
        <w:tc>
          <w:tcPr>
            <w:tcW w:w="631" w:type="pct"/>
            <w:vMerge w:val="continue"/>
            <w:tcBorders>
              <w:top w:val="single" w:color="auto" w:sz="6" w:space="0"/>
              <w:left w:val="single" w:color="auto" w:sz="6" w:space="0"/>
              <w:bottom w:val="single" w:color="auto" w:sz="6" w:space="0"/>
              <w:right w:val="single" w:color="auto" w:sz="6" w:space="0"/>
            </w:tcBorders>
            <w:vAlign w:val="center"/>
          </w:tcPr>
          <w:p w14:paraId="16AFC6EC">
            <w:pPr>
              <w:kinsoku/>
              <w:overflowPunct w:val="0"/>
              <w:rPr>
                <w:rFonts w:ascii="方正仿宋_GB2312" w:hAnsi="方正仿宋_GB2312" w:eastAsia="方正仿宋_GB2312" w:cs="方正仿宋_GB2312"/>
                <w:sz w:val="24"/>
                <w:szCs w:val="24"/>
              </w:rPr>
            </w:pPr>
          </w:p>
        </w:tc>
        <w:tc>
          <w:tcPr>
            <w:tcW w:w="470" w:type="pct"/>
            <w:tcBorders>
              <w:top w:val="single" w:color="auto" w:sz="6" w:space="0"/>
              <w:left w:val="single" w:color="auto" w:sz="6" w:space="0"/>
              <w:bottom w:val="single" w:color="auto" w:sz="6" w:space="0"/>
              <w:right w:val="single" w:color="auto" w:sz="6" w:space="0"/>
            </w:tcBorders>
            <w:vAlign w:val="center"/>
          </w:tcPr>
          <w:p w14:paraId="0F408FE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tc>
        <w:tc>
          <w:tcPr>
            <w:tcW w:w="375" w:type="pct"/>
            <w:tcBorders>
              <w:top w:val="single" w:color="auto" w:sz="6" w:space="0"/>
              <w:left w:val="single" w:color="auto" w:sz="6" w:space="0"/>
              <w:bottom w:val="single" w:color="auto" w:sz="6" w:space="0"/>
              <w:right w:val="single" w:color="auto" w:sz="6" w:space="0"/>
            </w:tcBorders>
            <w:vAlign w:val="center"/>
          </w:tcPr>
          <w:p w14:paraId="58138EA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6" w:space="0"/>
              <w:right w:val="single" w:color="auto" w:sz="12" w:space="0"/>
            </w:tcBorders>
            <w:vAlign w:val="center"/>
          </w:tcPr>
          <w:p w14:paraId="78D6B6D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1．检查完好程度，加固。</w:t>
            </w:r>
          </w:p>
        </w:tc>
      </w:tr>
      <w:tr w14:paraId="608D3A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67" w:hRule="atLeast"/>
          <w:jc w:val="center"/>
        </w:trPr>
        <w:tc>
          <w:tcPr>
            <w:tcW w:w="318" w:type="pct"/>
            <w:tcBorders>
              <w:top w:val="single" w:color="auto" w:sz="6" w:space="0"/>
              <w:left w:val="single" w:color="auto" w:sz="12" w:space="0"/>
              <w:bottom w:val="single" w:color="auto" w:sz="12" w:space="0"/>
              <w:right w:val="single" w:color="auto" w:sz="6" w:space="0"/>
            </w:tcBorders>
            <w:vAlign w:val="center"/>
          </w:tcPr>
          <w:p w14:paraId="74C5179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w:t>
            </w:r>
          </w:p>
        </w:tc>
        <w:tc>
          <w:tcPr>
            <w:tcW w:w="631" w:type="pct"/>
            <w:tcBorders>
              <w:top w:val="single" w:color="auto" w:sz="6" w:space="0"/>
              <w:left w:val="single" w:color="auto" w:sz="6" w:space="0"/>
              <w:bottom w:val="single" w:color="auto" w:sz="12" w:space="0"/>
              <w:right w:val="single" w:color="auto" w:sz="6" w:space="0"/>
            </w:tcBorders>
            <w:vAlign w:val="center"/>
          </w:tcPr>
          <w:p w14:paraId="33D88E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地下管网</w:t>
            </w:r>
          </w:p>
        </w:tc>
        <w:tc>
          <w:tcPr>
            <w:tcW w:w="470" w:type="pct"/>
            <w:tcBorders>
              <w:top w:val="single" w:color="auto" w:sz="6" w:space="0"/>
              <w:left w:val="single" w:color="auto" w:sz="6" w:space="0"/>
              <w:bottom w:val="single" w:color="auto" w:sz="12" w:space="0"/>
              <w:right w:val="single" w:color="auto" w:sz="6" w:space="0"/>
            </w:tcBorders>
            <w:vAlign w:val="center"/>
          </w:tcPr>
          <w:p w14:paraId="3CD162B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每半年</w:t>
            </w:r>
          </w:p>
        </w:tc>
        <w:tc>
          <w:tcPr>
            <w:tcW w:w="375" w:type="pct"/>
            <w:tcBorders>
              <w:top w:val="single" w:color="auto" w:sz="6" w:space="0"/>
              <w:left w:val="single" w:color="auto" w:sz="6" w:space="0"/>
              <w:bottom w:val="single" w:color="auto" w:sz="12" w:space="0"/>
              <w:right w:val="single" w:color="auto" w:sz="6" w:space="0"/>
            </w:tcBorders>
            <w:vAlign w:val="center"/>
          </w:tcPr>
          <w:p w14:paraId="4884C79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3204" w:type="pct"/>
            <w:tcBorders>
              <w:top w:val="single" w:color="auto" w:sz="6" w:space="0"/>
              <w:left w:val="single" w:color="auto" w:sz="6" w:space="0"/>
              <w:bottom w:val="single" w:color="auto" w:sz="12" w:space="0"/>
              <w:right w:val="single" w:color="auto" w:sz="12" w:space="0"/>
            </w:tcBorders>
            <w:vAlign w:val="center"/>
          </w:tcPr>
          <w:p w14:paraId="7BB0CDA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1．管道刷漆。</w:t>
            </w:r>
          </w:p>
          <w:p w14:paraId="262ABE9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2．检查管道保温层有无损坏。</w:t>
            </w:r>
          </w:p>
          <w:p w14:paraId="6495D16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3．管网支架完好。</w:t>
            </w:r>
          </w:p>
          <w:p w14:paraId="4735A2D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4．检查或更换管网。</w:t>
            </w:r>
          </w:p>
          <w:p w14:paraId="3F8AAA4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5．发现异常及时修复。</w:t>
            </w:r>
          </w:p>
        </w:tc>
      </w:tr>
    </w:tbl>
    <w:p w14:paraId="60032B0D">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5.清洁服务标准如下：</w:t>
      </w:r>
    </w:p>
    <w:tbl>
      <w:tblPr>
        <w:tblStyle w:val="8"/>
        <w:tblpPr w:leftFromText="180" w:rightFromText="180" w:vertAnchor="text" w:horzAnchor="page" w:tblpX="1788" w:tblpY="275"/>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786"/>
        <w:gridCol w:w="2077"/>
        <w:gridCol w:w="4618"/>
      </w:tblGrid>
      <w:tr w14:paraId="7472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Align w:val="center"/>
          </w:tcPr>
          <w:p w14:paraId="047EF61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区域</w:t>
            </w:r>
          </w:p>
        </w:tc>
        <w:tc>
          <w:tcPr>
            <w:tcW w:w="1679" w:type="pct"/>
            <w:gridSpan w:val="2"/>
            <w:vAlign w:val="center"/>
          </w:tcPr>
          <w:p w14:paraId="5428078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2708" w:type="pct"/>
            <w:vAlign w:val="center"/>
          </w:tcPr>
          <w:p w14:paraId="7807DA7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质量标准及要求</w:t>
            </w:r>
          </w:p>
        </w:tc>
      </w:tr>
      <w:tr w14:paraId="66A0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6A4571D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入口及大堂</w:t>
            </w:r>
          </w:p>
        </w:tc>
        <w:tc>
          <w:tcPr>
            <w:tcW w:w="461" w:type="pct"/>
            <w:vMerge w:val="restart"/>
            <w:textDirection w:val="tbRlV"/>
            <w:vAlign w:val="center"/>
          </w:tcPr>
          <w:p w14:paraId="4FFA035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窗</w:t>
            </w:r>
          </w:p>
        </w:tc>
        <w:tc>
          <w:tcPr>
            <w:tcW w:w="1217" w:type="pct"/>
            <w:vAlign w:val="center"/>
          </w:tcPr>
          <w:p w14:paraId="17B2E2F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玻璃</w:t>
            </w:r>
          </w:p>
        </w:tc>
        <w:tc>
          <w:tcPr>
            <w:tcW w:w="2708" w:type="pct"/>
            <w:vAlign w:val="center"/>
          </w:tcPr>
          <w:p w14:paraId="324281B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无手印、无污渍，保持光洁明亮</w:t>
            </w:r>
          </w:p>
        </w:tc>
      </w:tr>
      <w:tr w14:paraId="64AB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12" w:type="pct"/>
            <w:vMerge w:val="continue"/>
            <w:vAlign w:val="center"/>
          </w:tcPr>
          <w:p w14:paraId="2C1F0609">
            <w:pPr>
              <w:kinsoku/>
              <w:overflowPunct w:val="0"/>
              <w:rPr>
                <w:rFonts w:ascii="方正仿宋_GB2312" w:hAnsi="方正仿宋_GB2312" w:eastAsia="方正仿宋_GB2312" w:cs="方正仿宋_GB2312"/>
                <w:sz w:val="24"/>
                <w:szCs w:val="24"/>
              </w:rPr>
            </w:pPr>
          </w:p>
        </w:tc>
        <w:tc>
          <w:tcPr>
            <w:tcW w:w="461" w:type="pct"/>
            <w:vMerge w:val="continue"/>
            <w:vAlign w:val="center"/>
          </w:tcPr>
          <w:p w14:paraId="65E0EEF9">
            <w:pPr>
              <w:kinsoku/>
              <w:overflowPunct w:val="0"/>
              <w:rPr>
                <w:rFonts w:ascii="方正仿宋_GB2312" w:hAnsi="方正仿宋_GB2312" w:eastAsia="方正仿宋_GB2312" w:cs="方正仿宋_GB2312"/>
                <w:sz w:val="24"/>
                <w:szCs w:val="24"/>
              </w:rPr>
            </w:pPr>
          </w:p>
        </w:tc>
        <w:tc>
          <w:tcPr>
            <w:tcW w:w="1217" w:type="pct"/>
            <w:vAlign w:val="center"/>
          </w:tcPr>
          <w:p w14:paraId="60C36B3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窗框</w:t>
            </w:r>
          </w:p>
        </w:tc>
        <w:tc>
          <w:tcPr>
            <w:tcW w:w="2708" w:type="pct"/>
            <w:vAlign w:val="center"/>
          </w:tcPr>
          <w:p w14:paraId="67559AA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无污渍、无印渍</w:t>
            </w:r>
          </w:p>
        </w:tc>
      </w:tr>
      <w:tr w14:paraId="45AE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28837F6">
            <w:pPr>
              <w:kinsoku/>
              <w:overflowPunct w:val="0"/>
              <w:rPr>
                <w:rFonts w:ascii="方正仿宋_GB2312" w:hAnsi="方正仿宋_GB2312" w:eastAsia="方正仿宋_GB2312" w:cs="方正仿宋_GB2312"/>
                <w:sz w:val="24"/>
                <w:szCs w:val="24"/>
              </w:rPr>
            </w:pPr>
          </w:p>
        </w:tc>
        <w:tc>
          <w:tcPr>
            <w:tcW w:w="461" w:type="pct"/>
            <w:vMerge w:val="continue"/>
            <w:vAlign w:val="center"/>
          </w:tcPr>
          <w:p w14:paraId="11F043D5">
            <w:pPr>
              <w:kinsoku/>
              <w:overflowPunct w:val="0"/>
              <w:rPr>
                <w:rFonts w:ascii="方正仿宋_GB2312" w:hAnsi="方正仿宋_GB2312" w:eastAsia="方正仿宋_GB2312" w:cs="方正仿宋_GB2312"/>
                <w:sz w:val="24"/>
                <w:szCs w:val="24"/>
              </w:rPr>
            </w:pPr>
          </w:p>
        </w:tc>
        <w:tc>
          <w:tcPr>
            <w:tcW w:w="1217" w:type="pct"/>
            <w:vAlign w:val="center"/>
          </w:tcPr>
          <w:p w14:paraId="5B5265D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窗台</w:t>
            </w:r>
          </w:p>
        </w:tc>
        <w:tc>
          <w:tcPr>
            <w:tcW w:w="2708" w:type="pct"/>
            <w:vAlign w:val="center"/>
          </w:tcPr>
          <w:p w14:paraId="4C13796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无污渍、无尘渍</w:t>
            </w:r>
          </w:p>
        </w:tc>
      </w:tr>
      <w:tr w14:paraId="2846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BCB2EF3">
            <w:pPr>
              <w:kinsoku/>
              <w:overflowPunct w:val="0"/>
              <w:rPr>
                <w:rFonts w:ascii="方正仿宋_GB2312" w:hAnsi="方正仿宋_GB2312" w:eastAsia="方正仿宋_GB2312" w:cs="方正仿宋_GB2312"/>
                <w:sz w:val="24"/>
                <w:szCs w:val="24"/>
              </w:rPr>
            </w:pPr>
          </w:p>
        </w:tc>
        <w:tc>
          <w:tcPr>
            <w:tcW w:w="1679" w:type="pct"/>
            <w:gridSpan w:val="2"/>
            <w:vAlign w:val="center"/>
          </w:tcPr>
          <w:p w14:paraId="063685A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w:t>
            </w:r>
          </w:p>
        </w:tc>
        <w:tc>
          <w:tcPr>
            <w:tcW w:w="2708" w:type="pct"/>
            <w:vAlign w:val="center"/>
          </w:tcPr>
          <w:p w14:paraId="6934B46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0393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F8DE0DE">
            <w:pPr>
              <w:kinsoku/>
              <w:overflowPunct w:val="0"/>
              <w:rPr>
                <w:rFonts w:ascii="方正仿宋_GB2312" w:hAnsi="方正仿宋_GB2312" w:eastAsia="方正仿宋_GB2312" w:cs="方正仿宋_GB2312"/>
                <w:sz w:val="24"/>
                <w:szCs w:val="24"/>
              </w:rPr>
            </w:pPr>
          </w:p>
        </w:tc>
        <w:tc>
          <w:tcPr>
            <w:tcW w:w="1679" w:type="pct"/>
            <w:gridSpan w:val="2"/>
            <w:vAlign w:val="center"/>
          </w:tcPr>
          <w:p w14:paraId="7AEC0A5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门把手</w:t>
            </w:r>
          </w:p>
        </w:tc>
        <w:tc>
          <w:tcPr>
            <w:tcW w:w="2708" w:type="pct"/>
            <w:vAlign w:val="center"/>
          </w:tcPr>
          <w:p w14:paraId="727E28E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6842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8F27074">
            <w:pPr>
              <w:kinsoku/>
              <w:overflowPunct w:val="0"/>
              <w:rPr>
                <w:rFonts w:ascii="方正仿宋_GB2312" w:hAnsi="方正仿宋_GB2312" w:eastAsia="方正仿宋_GB2312" w:cs="方正仿宋_GB2312"/>
                <w:sz w:val="24"/>
                <w:szCs w:val="24"/>
              </w:rPr>
            </w:pPr>
          </w:p>
        </w:tc>
        <w:tc>
          <w:tcPr>
            <w:tcW w:w="1679" w:type="pct"/>
            <w:gridSpan w:val="2"/>
            <w:vAlign w:val="center"/>
          </w:tcPr>
          <w:p w14:paraId="4EBA4D7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地脚线</w:t>
            </w:r>
          </w:p>
        </w:tc>
        <w:tc>
          <w:tcPr>
            <w:tcW w:w="2708" w:type="pct"/>
            <w:vAlign w:val="center"/>
          </w:tcPr>
          <w:p w14:paraId="2D83EC7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无污渍、尘迹</w:t>
            </w:r>
          </w:p>
        </w:tc>
      </w:tr>
      <w:tr w14:paraId="5794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D4F40D4">
            <w:pPr>
              <w:kinsoku/>
              <w:overflowPunct w:val="0"/>
              <w:rPr>
                <w:rFonts w:ascii="方正仿宋_GB2312" w:hAnsi="方正仿宋_GB2312" w:eastAsia="方正仿宋_GB2312" w:cs="方正仿宋_GB2312"/>
                <w:sz w:val="24"/>
                <w:szCs w:val="24"/>
              </w:rPr>
            </w:pPr>
          </w:p>
        </w:tc>
        <w:tc>
          <w:tcPr>
            <w:tcW w:w="1679" w:type="pct"/>
            <w:gridSpan w:val="2"/>
            <w:vAlign w:val="center"/>
          </w:tcPr>
          <w:p w14:paraId="0822EB9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花盆</w:t>
            </w:r>
          </w:p>
        </w:tc>
        <w:tc>
          <w:tcPr>
            <w:tcW w:w="2708" w:type="pct"/>
            <w:vAlign w:val="center"/>
          </w:tcPr>
          <w:p w14:paraId="7D6A74A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无污渍、水迹、整洁无杂物</w:t>
            </w:r>
          </w:p>
        </w:tc>
      </w:tr>
      <w:tr w14:paraId="0C03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547B6FC">
            <w:pPr>
              <w:kinsoku/>
              <w:overflowPunct w:val="0"/>
              <w:rPr>
                <w:rFonts w:ascii="方正仿宋_GB2312" w:hAnsi="方正仿宋_GB2312" w:eastAsia="方正仿宋_GB2312" w:cs="方正仿宋_GB2312"/>
                <w:sz w:val="24"/>
                <w:szCs w:val="24"/>
              </w:rPr>
            </w:pPr>
          </w:p>
        </w:tc>
        <w:tc>
          <w:tcPr>
            <w:tcW w:w="1679" w:type="pct"/>
            <w:gridSpan w:val="2"/>
            <w:vAlign w:val="center"/>
          </w:tcPr>
          <w:p w14:paraId="6D38937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不锈钢制品</w:t>
            </w:r>
          </w:p>
        </w:tc>
        <w:tc>
          <w:tcPr>
            <w:tcW w:w="2708" w:type="pct"/>
            <w:vAlign w:val="center"/>
          </w:tcPr>
          <w:p w14:paraId="2C92732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无污渍、无印迹</w:t>
            </w:r>
          </w:p>
        </w:tc>
      </w:tr>
      <w:tr w14:paraId="3ABD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C21B052">
            <w:pPr>
              <w:kinsoku/>
              <w:overflowPunct w:val="0"/>
              <w:rPr>
                <w:rFonts w:ascii="方正仿宋_GB2312" w:hAnsi="方正仿宋_GB2312" w:eastAsia="方正仿宋_GB2312" w:cs="方正仿宋_GB2312"/>
                <w:sz w:val="24"/>
                <w:szCs w:val="24"/>
              </w:rPr>
            </w:pPr>
          </w:p>
        </w:tc>
        <w:tc>
          <w:tcPr>
            <w:tcW w:w="1679" w:type="pct"/>
            <w:gridSpan w:val="2"/>
            <w:vAlign w:val="center"/>
          </w:tcPr>
          <w:p w14:paraId="4868F84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指示牌和悬挂牌</w:t>
            </w:r>
          </w:p>
        </w:tc>
        <w:tc>
          <w:tcPr>
            <w:tcW w:w="2708" w:type="pct"/>
            <w:vAlign w:val="center"/>
          </w:tcPr>
          <w:p w14:paraId="2414AFB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无污渍、无印迹</w:t>
            </w:r>
          </w:p>
        </w:tc>
      </w:tr>
      <w:tr w14:paraId="78AB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EA8750A">
            <w:pPr>
              <w:kinsoku/>
              <w:overflowPunct w:val="0"/>
              <w:rPr>
                <w:rFonts w:ascii="方正仿宋_GB2312" w:hAnsi="方正仿宋_GB2312" w:eastAsia="方正仿宋_GB2312" w:cs="方正仿宋_GB2312"/>
                <w:sz w:val="24"/>
                <w:szCs w:val="24"/>
              </w:rPr>
            </w:pPr>
          </w:p>
        </w:tc>
        <w:tc>
          <w:tcPr>
            <w:tcW w:w="1679" w:type="pct"/>
            <w:gridSpan w:val="2"/>
            <w:vAlign w:val="center"/>
          </w:tcPr>
          <w:p w14:paraId="68541EA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座地烟灰盅</w:t>
            </w:r>
          </w:p>
        </w:tc>
        <w:tc>
          <w:tcPr>
            <w:tcW w:w="2708" w:type="pct"/>
            <w:vAlign w:val="center"/>
          </w:tcPr>
          <w:p w14:paraId="1BD582F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无污渍、无尘迹、无痰渍</w:t>
            </w:r>
          </w:p>
        </w:tc>
      </w:tr>
      <w:tr w14:paraId="49FF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BBF41C9">
            <w:pPr>
              <w:kinsoku/>
              <w:overflowPunct w:val="0"/>
              <w:rPr>
                <w:rFonts w:ascii="方正仿宋_GB2312" w:hAnsi="方正仿宋_GB2312" w:eastAsia="方正仿宋_GB2312" w:cs="方正仿宋_GB2312"/>
                <w:sz w:val="24"/>
                <w:szCs w:val="24"/>
              </w:rPr>
            </w:pPr>
          </w:p>
        </w:tc>
        <w:tc>
          <w:tcPr>
            <w:tcW w:w="1679" w:type="pct"/>
            <w:gridSpan w:val="2"/>
            <w:vAlign w:val="center"/>
          </w:tcPr>
          <w:p w14:paraId="7413F8B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灯饰、通风口、天花、空调风口</w:t>
            </w:r>
          </w:p>
        </w:tc>
        <w:tc>
          <w:tcPr>
            <w:tcW w:w="2708" w:type="pct"/>
            <w:vAlign w:val="center"/>
          </w:tcPr>
          <w:p w14:paraId="2FB3F0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无蛛丝、无污渍、尘迹</w:t>
            </w:r>
          </w:p>
        </w:tc>
      </w:tr>
      <w:tr w14:paraId="467E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3AD1697">
            <w:pPr>
              <w:kinsoku/>
              <w:overflowPunct w:val="0"/>
              <w:rPr>
                <w:rFonts w:ascii="方正仿宋_GB2312" w:hAnsi="方正仿宋_GB2312" w:eastAsia="方正仿宋_GB2312" w:cs="方正仿宋_GB2312"/>
                <w:sz w:val="24"/>
                <w:szCs w:val="24"/>
              </w:rPr>
            </w:pPr>
          </w:p>
        </w:tc>
        <w:tc>
          <w:tcPr>
            <w:tcW w:w="1679" w:type="pct"/>
            <w:gridSpan w:val="2"/>
            <w:vAlign w:val="center"/>
          </w:tcPr>
          <w:p w14:paraId="0606A87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w:t>
            </w:r>
          </w:p>
        </w:tc>
        <w:tc>
          <w:tcPr>
            <w:tcW w:w="2708" w:type="pct"/>
            <w:vAlign w:val="center"/>
          </w:tcPr>
          <w:p w14:paraId="0B76316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无污渍、水迹、尘迹，无杂物，保持光洁明亮</w:t>
            </w:r>
          </w:p>
        </w:tc>
      </w:tr>
      <w:tr w14:paraId="2288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D70E4FA">
            <w:pPr>
              <w:kinsoku/>
              <w:overflowPunct w:val="0"/>
              <w:rPr>
                <w:rFonts w:ascii="方正仿宋_GB2312" w:hAnsi="方正仿宋_GB2312" w:eastAsia="方正仿宋_GB2312" w:cs="方正仿宋_GB2312"/>
                <w:sz w:val="24"/>
                <w:szCs w:val="24"/>
              </w:rPr>
            </w:pPr>
          </w:p>
        </w:tc>
        <w:tc>
          <w:tcPr>
            <w:tcW w:w="1679" w:type="pct"/>
            <w:gridSpan w:val="2"/>
            <w:vAlign w:val="center"/>
          </w:tcPr>
          <w:p w14:paraId="000D647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木饰板</w:t>
            </w:r>
          </w:p>
        </w:tc>
        <w:tc>
          <w:tcPr>
            <w:tcW w:w="2708" w:type="pct"/>
            <w:vAlign w:val="center"/>
          </w:tcPr>
          <w:p w14:paraId="0DE776C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无尘迹、无污渍、无手印</w:t>
            </w:r>
          </w:p>
        </w:tc>
      </w:tr>
      <w:tr w14:paraId="0549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7C2C13E">
            <w:pPr>
              <w:kinsoku/>
              <w:overflowPunct w:val="0"/>
              <w:rPr>
                <w:rFonts w:ascii="方正仿宋_GB2312" w:hAnsi="方正仿宋_GB2312" w:eastAsia="方正仿宋_GB2312" w:cs="方正仿宋_GB2312"/>
                <w:sz w:val="24"/>
                <w:szCs w:val="24"/>
              </w:rPr>
            </w:pPr>
          </w:p>
        </w:tc>
        <w:tc>
          <w:tcPr>
            <w:tcW w:w="1679" w:type="pct"/>
            <w:gridSpan w:val="2"/>
            <w:vAlign w:val="center"/>
          </w:tcPr>
          <w:p w14:paraId="17C697C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拉手</w:t>
            </w:r>
          </w:p>
        </w:tc>
        <w:tc>
          <w:tcPr>
            <w:tcW w:w="2708" w:type="pct"/>
            <w:vAlign w:val="center"/>
          </w:tcPr>
          <w:p w14:paraId="5796256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无尘迹、无污渍、无手印</w:t>
            </w:r>
          </w:p>
        </w:tc>
      </w:tr>
      <w:tr w14:paraId="1AF3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A3DF28D">
            <w:pPr>
              <w:kinsoku/>
              <w:overflowPunct w:val="0"/>
              <w:rPr>
                <w:rFonts w:ascii="方正仿宋_GB2312" w:hAnsi="方正仿宋_GB2312" w:eastAsia="方正仿宋_GB2312" w:cs="方正仿宋_GB2312"/>
                <w:sz w:val="24"/>
                <w:szCs w:val="24"/>
              </w:rPr>
            </w:pPr>
          </w:p>
        </w:tc>
        <w:tc>
          <w:tcPr>
            <w:tcW w:w="1679" w:type="pct"/>
            <w:gridSpan w:val="2"/>
            <w:vAlign w:val="center"/>
          </w:tcPr>
          <w:p w14:paraId="7EBFCDE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石质墙面、饰柱</w:t>
            </w:r>
          </w:p>
        </w:tc>
        <w:tc>
          <w:tcPr>
            <w:tcW w:w="2708" w:type="pct"/>
            <w:vAlign w:val="center"/>
          </w:tcPr>
          <w:p w14:paraId="6232E29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无尘迹、无污渍、无手印 、保持光洁明亮</w:t>
            </w:r>
          </w:p>
        </w:tc>
      </w:tr>
      <w:tr w14:paraId="7B62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10CEEAE">
            <w:pPr>
              <w:kinsoku/>
              <w:overflowPunct w:val="0"/>
              <w:rPr>
                <w:rFonts w:ascii="方正仿宋_GB2312" w:hAnsi="方正仿宋_GB2312" w:eastAsia="方正仿宋_GB2312" w:cs="方正仿宋_GB2312"/>
                <w:sz w:val="24"/>
                <w:szCs w:val="24"/>
              </w:rPr>
            </w:pPr>
          </w:p>
        </w:tc>
        <w:tc>
          <w:tcPr>
            <w:tcW w:w="1679" w:type="pct"/>
            <w:gridSpan w:val="2"/>
            <w:vAlign w:val="center"/>
          </w:tcPr>
          <w:p w14:paraId="34F5027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锦旗、铜字、奖杯类</w:t>
            </w:r>
          </w:p>
        </w:tc>
        <w:tc>
          <w:tcPr>
            <w:tcW w:w="2708" w:type="pct"/>
            <w:vAlign w:val="center"/>
          </w:tcPr>
          <w:p w14:paraId="0EC6224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无尘迹、无污渍、无手印 、保持光洁明亮</w:t>
            </w:r>
          </w:p>
        </w:tc>
      </w:tr>
      <w:tr w14:paraId="1DFD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759472C">
            <w:pPr>
              <w:kinsoku/>
              <w:overflowPunct w:val="0"/>
              <w:rPr>
                <w:rFonts w:ascii="方正仿宋_GB2312" w:hAnsi="方正仿宋_GB2312" w:eastAsia="方正仿宋_GB2312" w:cs="方正仿宋_GB2312"/>
                <w:sz w:val="24"/>
                <w:szCs w:val="24"/>
              </w:rPr>
            </w:pPr>
          </w:p>
        </w:tc>
        <w:tc>
          <w:tcPr>
            <w:tcW w:w="1679" w:type="pct"/>
            <w:gridSpan w:val="2"/>
            <w:vAlign w:val="center"/>
          </w:tcPr>
          <w:p w14:paraId="5487B34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地毯</w:t>
            </w:r>
          </w:p>
        </w:tc>
        <w:tc>
          <w:tcPr>
            <w:tcW w:w="2708" w:type="pct"/>
            <w:vAlign w:val="center"/>
          </w:tcPr>
          <w:p w14:paraId="29B984F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无污渍、水迹、尘迹</w:t>
            </w:r>
          </w:p>
        </w:tc>
      </w:tr>
      <w:tr w14:paraId="7BDD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66F3D37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会议室</w:t>
            </w:r>
          </w:p>
        </w:tc>
        <w:tc>
          <w:tcPr>
            <w:tcW w:w="1679" w:type="pct"/>
            <w:gridSpan w:val="2"/>
            <w:vAlign w:val="center"/>
          </w:tcPr>
          <w:p w14:paraId="5BA8128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w:t>
            </w:r>
          </w:p>
        </w:tc>
        <w:tc>
          <w:tcPr>
            <w:tcW w:w="2708" w:type="pct"/>
            <w:vAlign w:val="center"/>
          </w:tcPr>
          <w:p w14:paraId="4C644AC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无污渍、水迹、尘迹，无杂物</w:t>
            </w:r>
          </w:p>
        </w:tc>
      </w:tr>
      <w:tr w14:paraId="3888D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BB446FC">
            <w:pPr>
              <w:kinsoku/>
              <w:overflowPunct w:val="0"/>
              <w:rPr>
                <w:rFonts w:ascii="方正仿宋_GB2312" w:hAnsi="方正仿宋_GB2312" w:eastAsia="方正仿宋_GB2312" w:cs="方正仿宋_GB2312"/>
                <w:sz w:val="24"/>
                <w:szCs w:val="24"/>
              </w:rPr>
            </w:pPr>
          </w:p>
        </w:tc>
        <w:tc>
          <w:tcPr>
            <w:tcW w:w="1679" w:type="pct"/>
            <w:gridSpan w:val="2"/>
            <w:vAlign w:val="center"/>
          </w:tcPr>
          <w:p w14:paraId="66B1741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办公桌、椅</w:t>
            </w:r>
          </w:p>
        </w:tc>
        <w:tc>
          <w:tcPr>
            <w:tcW w:w="2708" w:type="pct"/>
            <w:vAlign w:val="center"/>
          </w:tcPr>
          <w:p w14:paraId="6D3ECD0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无污渍、水迹、尘迹</w:t>
            </w:r>
          </w:p>
        </w:tc>
      </w:tr>
      <w:tr w14:paraId="7263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B10DEBE">
            <w:pPr>
              <w:kinsoku/>
              <w:overflowPunct w:val="0"/>
              <w:rPr>
                <w:rFonts w:ascii="方正仿宋_GB2312" w:hAnsi="方正仿宋_GB2312" w:eastAsia="方正仿宋_GB2312" w:cs="方正仿宋_GB2312"/>
                <w:sz w:val="24"/>
                <w:szCs w:val="24"/>
              </w:rPr>
            </w:pPr>
          </w:p>
        </w:tc>
        <w:tc>
          <w:tcPr>
            <w:tcW w:w="1679" w:type="pct"/>
            <w:gridSpan w:val="2"/>
            <w:vAlign w:val="center"/>
          </w:tcPr>
          <w:p w14:paraId="7A60967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w:t>
            </w:r>
          </w:p>
        </w:tc>
        <w:tc>
          <w:tcPr>
            <w:tcW w:w="2708" w:type="pct"/>
            <w:vAlign w:val="center"/>
          </w:tcPr>
          <w:p w14:paraId="5FB406A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无污渍、水迹、尘迹</w:t>
            </w:r>
          </w:p>
        </w:tc>
      </w:tr>
      <w:tr w14:paraId="04BE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41666094">
            <w:pPr>
              <w:kinsoku/>
              <w:overflowPunct w:val="0"/>
              <w:rPr>
                <w:rFonts w:ascii="方正仿宋_GB2312" w:hAnsi="方正仿宋_GB2312" w:eastAsia="方正仿宋_GB2312" w:cs="方正仿宋_GB2312"/>
                <w:sz w:val="24"/>
                <w:szCs w:val="24"/>
              </w:rPr>
            </w:pPr>
          </w:p>
        </w:tc>
        <w:tc>
          <w:tcPr>
            <w:tcW w:w="1679" w:type="pct"/>
            <w:gridSpan w:val="2"/>
            <w:vAlign w:val="center"/>
          </w:tcPr>
          <w:p w14:paraId="40AF300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办公设备</w:t>
            </w:r>
          </w:p>
        </w:tc>
        <w:tc>
          <w:tcPr>
            <w:tcW w:w="2708" w:type="pct"/>
            <w:vAlign w:val="center"/>
          </w:tcPr>
          <w:p w14:paraId="3BADA6A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无污渍、水迹、尘迹</w:t>
            </w:r>
          </w:p>
        </w:tc>
      </w:tr>
      <w:tr w14:paraId="27D7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A718F0F">
            <w:pPr>
              <w:kinsoku/>
              <w:overflowPunct w:val="0"/>
              <w:rPr>
                <w:rFonts w:ascii="方正仿宋_GB2312" w:hAnsi="方正仿宋_GB2312" w:eastAsia="方正仿宋_GB2312" w:cs="方正仿宋_GB2312"/>
                <w:sz w:val="24"/>
                <w:szCs w:val="24"/>
              </w:rPr>
            </w:pPr>
          </w:p>
        </w:tc>
        <w:tc>
          <w:tcPr>
            <w:tcW w:w="1679" w:type="pct"/>
            <w:gridSpan w:val="2"/>
            <w:vAlign w:val="center"/>
          </w:tcPr>
          <w:p w14:paraId="62582AE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玻璃</w:t>
            </w:r>
          </w:p>
        </w:tc>
        <w:tc>
          <w:tcPr>
            <w:tcW w:w="2708" w:type="pct"/>
            <w:vAlign w:val="center"/>
          </w:tcPr>
          <w:p w14:paraId="446F448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无手印、无污渍，保持光洁明亮</w:t>
            </w:r>
          </w:p>
        </w:tc>
      </w:tr>
      <w:tr w14:paraId="10DF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9AABD22">
            <w:pPr>
              <w:kinsoku/>
              <w:overflowPunct w:val="0"/>
              <w:rPr>
                <w:rFonts w:ascii="方正仿宋_GB2312" w:hAnsi="方正仿宋_GB2312" w:eastAsia="方正仿宋_GB2312" w:cs="方正仿宋_GB2312"/>
                <w:sz w:val="24"/>
                <w:szCs w:val="24"/>
              </w:rPr>
            </w:pPr>
          </w:p>
        </w:tc>
        <w:tc>
          <w:tcPr>
            <w:tcW w:w="1679" w:type="pct"/>
            <w:gridSpan w:val="2"/>
            <w:vAlign w:val="center"/>
          </w:tcPr>
          <w:p w14:paraId="5743DCB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窗框</w:t>
            </w:r>
          </w:p>
        </w:tc>
        <w:tc>
          <w:tcPr>
            <w:tcW w:w="2708" w:type="pct"/>
            <w:vAlign w:val="center"/>
          </w:tcPr>
          <w:p w14:paraId="5FABD3A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无污渍、无印渍</w:t>
            </w:r>
          </w:p>
        </w:tc>
      </w:tr>
      <w:tr w14:paraId="6EE6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0706CDC">
            <w:pPr>
              <w:kinsoku/>
              <w:overflowPunct w:val="0"/>
              <w:rPr>
                <w:rFonts w:ascii="方正仿宋_GB2312" w:hAnsi="方正仿宋_GB2312" w:eastAsia="方正仿宋_GB2312" w:cs="方正仿宋_GB2312"/>
                <w:sz w:val="24"/>
                <w:szCs w:val="24"/>
              </w:rPr>
            </w:pPr>
          </w:p>
        </w:tc>
        <w:tc>
          <w:tcPr>
            <w:tcW w:w="1679" w:type="pct"/>
            <w:gridSpan w:val="2"/>
            <w:vAlign w:val="center"/>
          </w:tcPr>
          <w:p w14:paraId="677DEBF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窗台</w:t>
            </w:r>
          </w:p>
        </w:tc>
        <w:tc>
          <w:tcPr>
            <w:tcW w:w="2708" w:type="pct"/>
            <w:vAlign w:val="center"/>
          </w:tcPr>
          <w:p w14:paraId="29EB8AB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无污渍、无尘迹</w:t>
            </w:r>
          </w:p>
        </w:tc>
      </w:tr>
      <w:tr w14:paraId="2504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D9D2E37">
            <w:pPr>
              <w:kinsoku/>
              <w:overflowPunct w:val="0"/>
              <w:rPr>
                <w:rFonts w:ascii="方正仿宋_GB2312" w:hAnsi="方正仿宋_GB2312" w:eastAsia="方正仿宋_GB2312" w:cs="方正仿宋_GB2312"/>
                <w:sz w:val="24"/>
                <w:szCs w:val="24"/>
              </w:rPr>
            </w:pPr>
          </w:p>
        </w:tc>
        <w:tc>
          <w:tcPr>
            <w:tcW w:w="1679" w:type="pct"/>
            <w:gridSpan w:val="2"/>
            <w:vAlign w:val="center"/>
          </w:tcPr>
          <w:p w14:paraId="0B33DB0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地毯</w:t>
            </w:r>
          </w:p>
        </w:tc>
        <w:tc>
          <w:tcPr>
            <w:tcW w:w="2708" w:type="pct"/>
            <w:vAlign w:val="center"/>
          </w:tcPr>
          <w:p w14:paraId="333E81A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无污渍，无杂物</w:t>
            </w:r>
          </w:p>
        </w:tc>
      </w:tr>
      <w:tr w14:paraId="66B2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AF61468">
            <w:pPr>
              <w:kinsoku/>
              <w:overflowPunct w:val="0"/>
              <w:rPr>
                <w:rFonts w:ascii="方正仿宋_GB2312" w:hAnsi="方正仿宋_GB2312" w:eastAsia="方正仿宋_GB2312" w:cs="方正仿宋_GB2312"/>
                <w:sz w:val="24"/>
                <w:szCs w:val="24"/>
              </w:rPr>
            </w:pPr>
          </w:p>
        </w:tc>
        <w:tc>
          <w:tcPr>
            <w:tcW w:w="1679" w:type="pct"/>
            <w:gridSpan w:val="2"/>
            <w:vAlign w:val="center"/>
          </w:tcPr>
          <w:p w14:paraId="590787A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空调送风口</w:t>
            </w:r>
          </w:p>
        </w:tc>
        <w:tc>
          <w:tcPr>
            <w:tcW w:w="2708" w:type="pct"/>
            <w:vAlign w:val="center"/>
          </w:tcPr>
          <w:p w14:paraId="5C85A0C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无污渍、尘迹</w:t>
            </w:r>
          </w:p>
        </w:tc>
      </w:tr>
      <w:tr w14:paraId="31D7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D51937C">
            <w:pPr>
              <w:kinsoku/>
              <w:overflowPunct w:val="0"/>
              <w:rPr>
                <w:rFonts w:ascii="方正仿宋_GB2312" w:hAnsi="方正仿宋_GB2312" w:eastAsia="方正仿宋_GB2312" w:cs="方正仿宋_GB2312"/>
                <w:sz w:val="24"/>
                <w:szCs w:val="24"/>
              </w:rPr>
            </w:pPr>
          </w:p>
        </w:tc>
        <w:tc>
          <w:tcPr>
            <w:tcW w:w="1679" w:type="pct"/>
            <w:gridSpan w:val="2"/>
            <w:vAlign w:val="center"/>
          </w:tcPr>
          <w:p w14:paraId="16E3A18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装饰品、指示牌</w:t>
            </w:r>
          </w:p>
        </w:tc>
        <w:tc>
          <w:tcPr>
            <w:tcW w:w="2708" w:type="pct"/>
            <w:vAlign w:val="center"/>
          </w:tcPr>
          <w:p w14:paraId="7998809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无污渍、水迹、尘迹</w:t>
            </w:r>
          </w:p>
        </w:tc>
      </w:tr>
      <w:tr w14:paraId="0824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F3D4908">
            <w:pPr>
              <w:kinsoku/>
              <w:overflowPunct w:val="0"/>
              <w:rPr>
                <w:rFonts w:ascii="方正仿宋_GB2312" w:hAnsi="方正仿宋_GB2312" w:eastAsia="方正仿宋_GB2312" w:cs="方正仿宋_GB2312"/>
                <w:sz w:val="24"/>
                <w:szCs w:val="24"/>
              </w:rPr>
            </w:pPr>
          </w:p>
        </w:tc>
        <w:tc>
          <w:tcPr>
            <w:tcW w:w="1679" w:type="pct"/>
            <w:gridSpan w:val="2"/>
            <w:vAlign w:val="center"/>
          </w:tcPr>
          <w:p w14:paraId="52F9646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灯具</w:t>
            </w:r>
          </w:p>
        </w:tc>
        <w:tc>
          <w:tcPr>
            <w:tcW w:w="2708" w:type="pct"/>
            <w:vAlign w:val="center"/>
          </w:tcPr>
          <w:p w14:paraId="101271F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无污渍、尘迹</w:t>
            </w:r>
          </w:p>
        </w:tc>
      </w:tr>
      <w:tr w14:paraId="5FB4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51174E9">
            <w:pPr>
              <w:kinsoku/>
              <w:overflowPunct w:val="0"/>
              <w:rPr>
                <w:rFonts w:ascii="方正仿宋_GB2312" w:hAnsi="方正仿宋_GB2312" w:eastAsia="方正仿宋_GB2312" w:cs="方正仿宋_GB2312"/>
                <w:sz w:val="24"/>
                <w:szCs w:val="24"/>
              </w:rPr>
            </w:pPr>
          </w:p>
        </w:tc>
        <w:tc>
          <w:tcPr>
            <w:tcW w:w="1679" w:type="pct"/>
            <w:gridSpan w:val="2"/>
            <w:vAlign w:val="center"/>
          </w:tcPr>
          <w:p w14:paraId="2DAD745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天花</w:t>
            </w:r>
          </w:p>
        </w:tc>
        <w:tc>
          <w:tcPr>
            <w:tcW w:w="2708" w:type="pct"/>
            <w:vAlign w:val="center"/>
          </w:tcPr>
          <w:p w14:paraId="4535B40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无污渍、尘迹，无蛛网</w:t>
            </w:r>
          </w:p>
        </w:tc>
      </w:tr>
      <w:tr w14:paraId="1886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DC22A20">
            <w:pPr>
              <w:kinsoku/>
              <w:overflowPunct w:val="0"/>
              <w:rPr>
                <w:rFonts w:ascii="方正仿宋_GB2312" w:hAnsi="方正仿宋_GB2312" w:eastAsia="方正仿宋_GB2312" w:cs="方正仿宋_GB2312"/>
                <w:sz w:val="24"/>
                <w:szCs w:val="24"/>
              </w:rPr>
            </w:pPr>
          </w:p>
        </w:tc>
        <w:tc>
          <w:tcPr>
            <w:tcW w:w="1679" w:type="pct"/>
            <w:gridSpan w:val="2"/>
            <w:vAlign w:val="center"/>
          </w:tcPr>
          <w:p w14:paraId="5560688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消防器材</w:t>
            </w:r>
          </w:p>
        </w:tc>
        <w:tc>
          <w:tcPr>
            <w:tcW w:w="2708" w:type="pct"/>
            <w:vAlign w:val="center"/>
          </w:tcPr>
          <w:p w14:paraId="542F6CF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无污渍、尘迹</w:t>
            </w:r>
          </w:p>
        </w:tc>
      </w:tr>
      <w:tr w14:paraId="5D49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1A0308E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楼层公共区域</w:t>
            </w:r>
          </w:p>
        </w:tc>
        <w:tc>
          <w:tcPr>
            <w:tcW w:w="1679" w:type="pct"/>
            <w:gridSpan w:val="2"/>
            <w:vAlign w:val="center"/>
          </w:tcPr>
          <w:p w14:paraId="4F9230D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指示牌、悬挂牌</w:t>
            </w:r>
          </w:p>
        </w:tc>
        <w:tc>
          <w:tcPr>
            <w:tcW w:w="2708" w:type="pct"/>
            <w:vAlign w:val="center"/>
          </w:tcPr>
          <w:p w14:paraId="78C9655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无尘迹、无污渍、无手印、保持光洁明亮</w:t>
            </w:r>
          </w:p>
        </w:tc>
      </w:tr>
      <w:tr w14:paraId="675E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7DA3048">
            <w:pPr>
              <w:kinsoku/>
              <w:overflowPunct w:val="0"/>
              <w:rPr>
                <w:rFonts w:ascii="方正仿宋_GB2312" w:hAnsi="方正仿宋_GB2312" w:eastAsia="方正仿宋_GB2312" w:cs="方正仿宋_GB2312"/>
                <w:sz w:val="24"/>
                <w:szCs w:val="24"/>
              </w:rPr>
            </w:pPr>
          </w:p>
        </w:tc>
        <w:tc>
          <w:tcPr>
            <w:tcW w:w="1679" w:type="pct"/>
            <w:gridSpan w:val="2"/>
            <w:vAlign w:val="center"/>
          </w:tcPr>
          <w:p w14:paraId="36B031C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花盆、花槽</w:t>
            </w:r>
          </w:p>
        </w:tc>
        <w:tc>
          <w:tcPr>
            <w:tcW w:w="2708" w:type="pct"/>
            <w:vAlign w:val="center"/>
          </w:tcPr>
          <w:p w14:paraId="5C232F5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无污渍、无积水、整洁无杂物</w:t>
            </w:r>
          </w:p>
        </w:tc>
      </w:tr>
      <w:tr w14:paraId="753C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2" w:type="pct"/>
            <w:vMerge w:val="continue"/>
            <w:vAlign w:val="center"/>
          </w:tcPr>
          <w:p w14:paraId="53F33F11">
            <w:pPr>
              <w:kinsoku/>
              <w:overflowPunct w:val="0"/>
              <w:rPr>
                <w:rFonts w:ascii="方正仿宋_GB2312" w:hAnsi="方正仿宋_GB2312" w:eastAsia="方正仿宋_GB2312" w:cs="方正仿宋_GB2312"/>
                <w:sz w:val="24"/>
                <w:szCs w:val="24"/>
              </w:rPr>
            </w:pPr>
          </w:p>
        </w:tc>
        <w:tc>
          <w:tcPr>
            <w:tcW w:w="1679" w:type="pct"/>
            <w:gridSpan w:val="2"/>
            <w:vAlign w:val="center"/>
          </w:tcPr>
          <w:p w14:paraId="364D3B2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果皮箱、垃圾桶</w:t>
            </w:r>
          </w:p>
        </w:tc>
        <w:tc>
          <w:tcPr>
            <w:tcW w:w="2708" w:type="pct"/>
            <w:vAlign w:val="center"/>
          </w:tcPr>
          <w:p w14:paraId="5379A08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无污渍、无痰渍、无尘迹</w:t>
            </w:r>
          </w:p>
        </w:tc>
      </w:tr>
      <w:tr w14:paraId="4121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D7FD49C">
            <w:pPr>
              <w:kinsoku/>
              <w:overflowPunct w:val="0"/>
              <w:rPr>
                <w:rFonts w:ascii="方正仿宋_GB2312" w:hAnsi="方正仿宋_GB2312" w:eastAsia="方正仿宋_GB2312" w:cs="方正仿宋_GB2312"/>
                <w:sz w:val="24"/>
                <w:szCs w:val="24"/>
              </w:rPr>
            </w:pPr>
          </w:p>
        </w:tc>
        <w:tc>
          <w:tcPr>
            <w:tcW w:w="1679" w:type="pct"/>
            <w:gridSpan w:val="2"/>
            <w:vAlign w:val="center"/>
          </w:tcPr>
          <w:p w14:paraId="71F93D3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天花吊顶</w:t>
            </w:r>
          </w:p>
        </w:tc>
        <w:tc>
          <w:tcPr>
            <w:tcW w:w="2708" w:type="pct"/>
            <w:vAlign w:val="center"/>
          </w:tcPr>
          <w:p w14:paraId="403D55C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无污染、无灰尘、无蜘蛛网</w:t>
            </w:r>
          </w:p>
        </w:tc>
      </w:tr>
      <w:tr w14:paraId="7AC8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A9E5C8A">
            <w:pPr>
              <w:kinsoku/>
              <w:overflowPunct w:val="0"/>
              <w:rPr>
                <w:rFonts w:ascii="方正仿宋_GB2312" w:hAnsi="方正仿宋_GB2312" w:eastAsia="方正仿宋_GB2312" w:cs="方正仿宋_GB2312"/>
                <w:sz w:val="24"/>
                <w:szCs w:val="24"/>
              </w:rPr>
            </w:pPr>
          </w:p>
        </w:tc>
        <w:tc>
          <w:tcPr>
            <w:tcW w:w="1679" w:type="pct"/>
            <w:gridSpan w:val="2"/>
            <w:vAlign w:val="center"/>
          </w:tcPr>
          <w:p w14:paraId="0B0189E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不锈钢</w:t>
            </w:r>
          </w:p>
        </w:tc>
        <w:tc>
          <w:tcPr>
            <w:tcW w:w="2708" w:type="pct"/>
            <w:vAlign w:val="center"/>
          </w:tcPr>
          <w:p w14:paraId="32EAADF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无尘迹、无污渍、无手印、保持光洁明亮</w:t>
            </w:r>
          </w:p>
        </w:tc>
      </w:tr>
      <w:tr w14:paraId="4C38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C5E9399">
            <w:pPr>
              <w:kinsoku/>
              <w:overflowPunct w:val="0"/>
              <w:rPr>
                <w:rFonts w:ascii="方正仿宋_GB2312" w:hAnsi="方正仿宋_GB2312" w:eastAsia="方正仿宋_GB2312" w:cs="方正仿宋_GB2312"/>
                <w:sz w:val="24"/>
                <w:szCs w:val="24"/>
              </w:rPr>
            </w:pPr>
          </w:p>
        </w:tc>
        <w:tc>
          <w:tcPr>
            <w:tcW w:w="1679" w:type="pct"/>
            <w:gridSpan w:val="2"/>
            <w:vAlign w:val="center"/>
          </w:tcPr>
          <w:p w14:paraId="3D6B8A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送排风口</w:t>
            </w:r>
          </w:p>
        </w:tc>
        <w:tc>
          <w:tcPr>
            <w:tcW w:w="2708" w:type="pct"/>
            <w:vAlign w:val="center"/>
          </w:tcPr>
          <w:p w14:paraId="4D92BFE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无污渍、无灰尘、无蜘蛛网</w:t>
            </w:r>
          </w:p>
        </w:tc>
      </w:tr>
      <w:tr w14:paraId="3E16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19E2DBD">
            <w:pPr>
              <w:kinsoku/>
              <w:overflowPunct w:val="0"/>
              <w:rPr>
                <w:rFonts w:ascii="方正仿宋_GB2312" w:hAnsi="方正仿宋_GB2312" w:eastAsia="方正仿宋_GB2312" w:cs="方正仿宋_GB2312"/>
                <w:sz w:val="24"/>
                <w:szCs w:val="24"/>
              </w:rPr>
            </w:pPr>
          </w:p>
        </w:tc>
        <w:tc>
          <w:tcPr>
            <w:tcW w:w="1679" w:type="pct"/>
            <w:gridSpan w:val="2"/>
            <w:vAlign w:val="center"/>
          </w:tcPr>
          <w:p w14:paraId="7FED944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地毯</w:t>
            </w:r>
          </w:p>
        </w:tc>
        <w:tc>
          <w:tcPr>
            <w:tcW w:w="2708" w:type="pct"/>
            <w:vAlign w:val="center"/>
          </w:tcPr>
          <w:p w14:paraId="20E6E1C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无水渍、无污渍、无尘迹</w:t>
            </w:r>
          </w:p>
        </w:tc>
      </w:tr>
      <w:tr w14:paraId="4439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317332F">
            <w:pPr>
              <w:kinsoku/>
              <w:overflowPunct w:val="0"/>
              <w:rPr>
                <w:rFonts w:ascii="方正仿宋_GB2312" w:hAnsi="方正仿宋_GB2312" w:eastAsia="方正仿宋_GB2312" w:cs="方正仿宋_GB2312"/>
                <w:sz w:val="24"/>
                <w:szCs w:val="24"/>
              </w:rPr>
            </w:pPr>
          </w:p>
        </w:tc>
        <w:tc>
          <w:tcPr>
            <w:tcW w:w="1679" w:type="pct"/>
            <w:gridSpan w:val="2"/>
            <w:vAlign w:val="center"/>
          </w:tcPr>
          <w:p w14:paraId="3F8F795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门把手</w:t>
            </w:r>
          </w:p>
        </w:tc>
        <w:tc>
          <w:tcPr>
            <w:tcW w:w="2708" w:type="pct"/>
            <w:vAlign w:val="center"/>
          </w:tcPr>
          <w:p w14:paraId="2B4ABC4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无水渍、无污渍、无印迹</w:t>
            </w:r>
          </w:p>
        </w:tc>
      </w:tr>
      <w:tr w14:paraId="7460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C7665A3">
            <w:pPr>
              <w:kinsoku/>
              <w:overflowPunct w:val="0"/>
              <w:rPr>
                <w:rFonts w:ascii="方正仿宋_GB2312" w:hAnsi="方正仿宋_GB2312" w:eastAsia="方正仿宋_GB2312" w:cs="方正仿宋_GB2312"/>
                <w:sz w:val="24"/>
                <w:szCs w:val="24"/>
              </w:rPr>
            </w:pPr>
          </w:p>
        </w:tc>
        <w:tc>
          <w:tcPr>
            <w:tcW w:w="1679" w:type="pct"/>
            <w:gridSpan w:val="2"/>
            <w:vAlign w:val="center"/>
          </w:tcPr>
          <w:p w14:paraId="57CBBF3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镜子</w:t>
            </w:r>
          </w:p>
        </w:tc>
        <w:tc>
          <w:tcPr>
            <w:tcW w:w="2708" w:type="pct"/>
            <w:vAlign w:val="center"/>
          </w:tcPr>
          <w:p w14:paraId="1256ED0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无水渍、无印迹、明亮照人</w:t>
            </w:r>
          </w:p>
        </w:tc>
      </w:tr>
      <w:tr w14:paraId="41A1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B17E4D5">
            <w:pPr>
              <w:kinsoku/>
              <w:overflowPunct w:val="0"/>
              <w:rPr>
                <w:rFonts w:ascii="方正仿宋_GB2312" w:hAnsi="方正仿宋_GB2312" w:eastAsia="方正仿宋_GB2312" w:cs="方正仿宋_GB2312"/>
                <w:sz w:val="24"/>
                <w:szCs w:val="24"/>
              </w:rPr>
            </w:pPr>
          </w:p>
        </w:tc>
        <w:tc>
          <w:tcPr>
            <w:tcW w:w="1679" w:type="pct"/>
            <w:gridSpan w:val="2"/>
            <w:vAlign w:val="center"/>
          </w:tcPr>
          <w:p w14:paraId="214202E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饰柱</w:t>
            </w:r>
          </w:p>
        </w:tc>
        <w:tc>
          <w:tcPr>
            <w:tcW w:w="2708" w:type="pct"/>
            <w:vAlign w:val="center"/>
          </w:tcPr>
          <w:p w14:paraId="5CBFC25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无灰尘、无污渍、无痰渍</w:t>
            </w:r>
          </w:p>
        </w:tc>
      </w:tr>
      <w:tr w14:paraId="4A8C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A92FAE1">
            <w:pPr>
              <w:kinsoku/>
              <w:overflowPunct w:val="0"/>
              <w:rPr>
                <w:rFonts w:ascii="方正仿宋_GB2312" w:hAnsi="方正仿宋_GB2312" w:eastAsia="方正仿宋_GB2312" w:cs="方正仿宋_GB2312"/>
                <w:sz w:val="24"/>
                <w:szCs w:val="24"/>
              </w:rPr>
            </w:pPr>
          </w:p>
        </w:tc>
        <w:tc>
          <w:tcPr>
            <w:tcW w:w="1679" w:type="pct"/>
            <w:gridSpan w:val="2"/>
            <w:vAlign w:val="center"/>
          </w:tcPr>
          <w:p w14:paraId="2AFCE7B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w:t>
            </w:r>
          </w:p>
        </w:tc>
        <w:tc>
          <w:tcPr>
            <w:tcW w:w="2708" w:type="pct"/>
            <w:vAlign w:val="center"/>
          </w:tcPr>
          <w:p w14:paraId="39C1815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无灰尘、无污渍、无痰渍、无杂物</w:t>
            </w:r>
          </w:p>
        </w:tc>
      </w:tr>
      <w:tr w14:paraId="38BB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590F3DB">
            <w:pPr>
              <w:kinsoku/>
              <w:overflowPunct w:val="0"/>
              <w:rPr>
                <w:rFonts w:ascii="方正仿宋_GB2312" w:hAnsi="方正仿宋_GB2312" w:eastAsia="方正仿宋_GB2312" w:cs="方正仿宋_GB2312"/>
                <w:sz w:val="24"/>
                <w:szCs w:val="24"/>
              </w:rPr>
            </w:pPr>
          </w:p>
        </w:tc>
        <w:tc>
          <w:tcPr>
            <w:tcW w:w="1679" w:type="pct"/>
            <w:gridSpan w:val="2"/>
            <w:vAlign w:val="center"/>
          </w:tcPr>
          <w:p w14:paraId="1D2CFD5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墙面</w:t>
            </w:r>
          </w:p>
        </w:tc>
        <w:tc>
          <w:tcPr>
            <w:tcW w:w="2708" w:type="pct"/>
            <w:vAlign w:val="center"/>
          </w:tcPr>
          <w:p w14:paraId="5EFCBBB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7E99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4AAC1DD7">
            <w:pPr>
              <w:kinsoku/>
              <w:overflowPunct w:val="0"/>
              <w:rPr>
                <w:rFonts w:ascii="方正仿宋_GB2312" w:hAnsi="方正仿宋_GB2312" w:eastAsia="方正仿宋_GB2312" w:cs="方正仿宋_GB2312"/>
                <w:sz w:val="24"/>
                <w:szCs w:val="24"/>
              </w:rPr>
            </w:pPr>
          </w:p>
        </w:tc>
        <w:tc>
          <w:tcPr>
            <w:tcW w:w="1679" w:type="pct"/>
            <w:gridSpan w:val="2"/>
            <w:vAlign w:val="center"/>
          </w:tcPr>
          <w:p w14:paraId="0F3DE60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消防器材</w:t>
            </w:r>
          </w:p>
        </w:tc>
        <w:tc>
          <w:tcPr>
            <w:tcW w:w="2708" w:type="pct"/>
            <w:vAlign w:val="center"/>
          </w:tcPr>
          <w:p w14:paraId="701DA6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w:t>
            </w:r>
          </w:p>
        </w:tc>
      </w:tr>
      <w:tr w14:paraId="6193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6A1A64E">
            <w:pPr>
              <w:kinsoku/>
              <w:overflowPunct w:val="0"/>
              <w:rPr>
                <w:rFonts w:ascii="方正仿宋_GB2312" w:hAnsi="方正仿宋_GB2312" w:eastAsia="方正仿宋_GB2312" w:cs="方正仿宋_GB2312"/>
                <w:sz w:val="24"/>
                <w:szCs w:val="24"/>
              </w:rPr>
            </w:pPr>
          </w:p>
        </w:tc>
        <w:tc>
          <w:tcPr>
            <w:tcW w:w="1679" w:type="pct"/>
            <w:gridSpan w:val="2"/>
            <w:vAlign w:val="center"/>
          </w:tcPr>
          <w:p w14:paraId="0902A56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饮水设备</w:t>
            </w:r>
          </w:p>
        </w:tc>
        <w:tc>
          <w:tcPr>
            <w:tcW w:w="2708" w:type="pct"/>
            <w:vAlign w:val="center"/>
          </w:tcPr>
          <w:p w14:paraId="5DF794E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55CF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84F43C8">
            <w:pPr>
              <w:kinsoku/>
              <w:overflowPunct w:val="0"/>
              <w:rPr>
                <w:rFonts w:ascii="方正仿宋_GB2312" w:hAnsi="方正仿宋_GB2312" w:eastAsia="方正仿宋_GB2312" w:cs="方正仿宋_GB2312"/>
                <w:sz w:val="24"/>
                <w:szCs w:val="24"/>
              </w:rPr>
            </w:pPr>
          </w:p>
        </w:tc>
        <w:tc>
          <w:tcPr>
            <w:tcW w:w="1679" w:type="pct"/>
            <w:gridSpan w:val="2"/>
            <w:vAlign w:val="center"/>
          </w:tcPr>
          <w:p w14:paraId="5D35269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标识</w:t>
            </w:r>
          </w:p>
        </w:tc>
        <w:tc>
          <w:tcPr>
            <w:tcW w:w="2708" w:type="pct"/>
            <w:vAlign w:val="center"/>
          </w:tcPr>
          <w:p w14:paraId="57414B9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77F3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05E1D69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教室</w:t>
            </w:r>
          </w:p>
        </w:tc>
        <w:tc>
          <w:tcPr>
            <w:tcW w:w="1679" w:type="pct"/>
            <w:gridSpan w:val="2"/>
            <w:vAlign w:val="center"/>
          </w:tcPr>
          <w:p w14:paraId="4D174FC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w:t>
            </w:r>
          </w:p>
        </w:tc>
        <w:tc>
          <w:tcPr>
            <w:tcW w:w="2708" w:type="pct"/>
            <w:vAlign w:val="center"/>
          </w:tcPr>
          <w:p w14:paraId="52F8D3D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定时清洁，无明显污渍、灰尘，无杂物</w:t>
            </w:r>
          </w:p>
        </w:tc>
      </w:tr>
      <w:tr w14:paraId="65C1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D17B43F">
            <w:pPr>
              <w:kinsoku/>
              <w:overflowPunct w:val="0"/>
              <w:rPr>
                <w:rFonts w:ascii="方正仿宋_GB2312" w:hAnsi="方正仿宋_GB2312" w:eastAsia="方正仿宋_GB2312" w:cs="方正仿宋_GB2312"/>
                <w:sz w:val="24"/>
                <w:szCs w:val="24"/>
              </w:rPr>
            </w:pPr>
          </w:p>
        </w:tc>
        <w:tc>
          <w:tcPr>
            <w:tcW w:w="1679" w:type="pct"/>
            <w:gridSpan w:val="2"/>
            <w:vAlign w:val="center"/>
          </w:tcPr>
          <w:p w14:paraId="3A8548C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桌椅</w:t>
            </w:r>
          </w:p>
        </w:tc>
        <w:tc>
          <w:tcPr>
            <w:tcW w:w="2708" w:type="pct"/>
            <w:vAlign w:val="center"/>
          </w:tcPr>
          <w:p w14:paraId="3F80CAA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43EC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A0F343A">
            <w:pPr>
              <w:kinsoku/>
              <w:overflowPunct w:val="0"/>
              <w:rPr>
                <w:rFonts w:ascii="方正仿宋_GB2312" w:hAnsi="方正仿宋_GB2312" w:eastAsia="方正仿宋_GB2312" w:cs="方正仿宋_GB2312"/>
                <w:sz w:val="24"/>
                <w:szCs w:val="24"/>
              </w:rPr>
            </w:pPr>
          </w:p>
        </w:tc>
        <w:tc>
          <w:tcPr>
            <w:tcW w:w="1679" w:type="pct"/>
            <w:gridSpan w:val="2"/>
            <w:vAlign w:val="center"/>
          </w:tcPr>
          <w:p w14:paraId="559A8ED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墙面</w:t>
            </w:r>
          </w:p>
        </w:tc>
        <w:tc>
          <w:tcPr>
            <w:tcW w:w="2708" w:type="pct"/>
            <w:vAlign w:val="center"/>
          </w:tcPr>
          <w:p w14:paraId="11ED331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无污渍、无印迹</w:t>
            </w:r>
          </w:p>
        </w:tc>
      </w:tr>
      <w:tr w14:paraId="3103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9CC159F">
            <w:pPr>
              <w:kinsoku/>
              <w:overflowPunct w:val="0"/>
              <w:rPr>
                <w:rFonts w:ascii="方正仿宋_GB2312" w:hAnsi="方正仿宋_GB2312" w:eastAsia="方正仿宋_GB2312" w:cs="方正仿宋_GB2312"/>
                <w:sz w:val="24"/>
                <w:szCs w:val="24"/>
              </w:rPr>
            </w:pPr>
          </w:p>
        </w:tc>
        <w:tc>
          <w:tcPr>
            <w:tcW w:w="1679" w:type="pct"/>
            <w:gridSpan w:val="2"/>
            <w:vAlign w:val="center"/>
          </w:tcPr>
          <w:p w14:paraId="64EED14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黑板</w:t>
            </w:r>
          </w:p>
        </w:tc>
        <w:tc>
          <w:tcPr>
            <w:tcW w:w="2708" w:type="pct"/>
            <w:vAlign w:val="center"/>
          </w:tcPr>
          <w:p w14:paraId="5C61094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定时擦拭，保持上课使用</w:t>
            </w:r>
          </w:p>
        </w:tc>
      </w:tr>
      <w:tr w14:paraId="61A7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49B61879">
            <w:pPr>
              <w:kinsoku/>
              <w:overflowPunct w:val="0"/>
              <w:rPr>
                <w:rFonts w:ascii="方正仿宋_GB2312" w:hAnsi="方正仿宋_GB2312" w:eastAsia="方正仿宋_GB2312" w:cs="方正仿宋_GB2312"/>
                <w:sz w:val="24"/>
                <w:szCs w:val="24"/>
              </w:rPr>
            </w:pPr>
          </w:p>
        </w:tc>
        <w:tc>
          <w:tcPr>
            <w:tcW w:w="1679" w:type="pct"/>
            <w:gridSpan w:val="2"/>
            <w:vAlign w:val="center"/>
          </w:tcPr>
          <w:p w14:paraId="54E65D5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廊道</w:t>
            </w:r>
          </w:p>
        </w:tc>
        <w:tc>
          <w:tcPr>
            <w:tcW w:w="2708" w:type="pct"/>
            <w:vAlign w:val="center"/>
          </w:tcPr>
          <w:p w14:paraId="456E132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无明显污渍、尘迹，无杂物</w:t>
            </w:r>
          </w:p>
        </w:tc>
      </w:tr>
      <w:tr w14:paraId="6864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F1BB110">
            <w:pPr>
              <w:kinsoku/>
              <w:overflowPunct w:val="0"/>
              <w:rPr>
                <w:rFonts w:ascii="方正仿宋_GB2312" w:hAnsi="方正仿宋_GB2312" w:eastAsia="方正仿宋_GB2312" w:cs="方正仿宋_GB2312"/>
                <w:sz w:val="24"/>
                <w:szCs w:val="24"/>
              </w:rPr>
            </w:pPr>
          </w:p>
        </w:tc>
        <w:tc>
          <w:tcPr>
            <w:tcW w:w="1679" w:type="pct"/>
            <w:gridSpan w:val="2"/>
            <w:vAlign w:val="center"/>
          </w:tcPr>
          <w:p w14:paraId="0DD01D9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w:t>
            </w:r>
          </w:p>
        </w:tc>
        <w:tc>
          <w:tcPr>
            <w:tcW w:w="2708" w:type="pct"/>
            <w:vAlign w:val="center"/>
          </w:tcPr>
          <w:p w14:paraId="5B85CD8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4DFA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E41E28F">
            <w:pPr>
              <w:kinsoku/>
              <w:overflowPunct w:val="0"/>
              <w:rPr>
                <w:rFonts w:ascii="方正仿宋_GB2312" w:hAnsi="方正仿宋_GB2312" w:eastAsia="方正仿宋_GB2312" w:cs="方正仿宋_GB2312"/>
                <w:sz w:val="24"/>
                <w:szCs w:val="24"/>
              </w:rPr>
            </w:pPr>
          </w:p>
        </w:tc>
        <w:tc>
          <w:tcPr>
            <w:tcW w:w="1679" w:type="pct"/>
            <w:gridSpan w:val="2"/>
            <w:vAlign w:val="center"/>
          </w:tcPr>
          <w:p w14:paraId="24F1EC9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门把手</w:t>
            </w:r>
          </w:p>
        </w:tc>
        <w:tc>
          <w:tcPr>
            <w:tcW w:w="2708" w:type="pct"/>
            <w:vAlign w:val="center"/>
          </w:tcPr>
          <w:p w14:paraId="650C80C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5862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FB8E316">
            <w:pPr>
              <w:kinsoku/>
              <w:overflowPunct w:val="0"/>
              <w:rPr>
                <w:rFonts w:ascii="方正仿宋_GB2312" w:hAnsi="方正仿宋_GB2312" w:eastAsia="方正仿宋_GB2312" w:cs="方正仿宋_GB2312"/>
                <w:sz w:val="24"/>
                <w:szCs w:val="24"/>
              </w:rPr>
            </w:pPr>
          </w:p>
        </w:tc>
        <w:tc>
          <w:tcPr>
            <w:tcW w:w="1679" w:type="pct"/>
            <w:gridSpan w:val="2"/>
            <w:vAlign w:val="center"/>
          </w:tcPr>
          <w:p w14:paraId="6CF1014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玻璃</w:t>
            </w:r>
          </w:p>
        </w:tc>
        <w:tc>
          <w:tcPr>
            <w:tcW w:w="2708" w:type="pct"/>
            <w:vAlign w:val="center"/>
          </w:tcPr>
          <w:p w14:paraId="1C39CA1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无手印、无污渍，保持光洁明亮</w:t>
            </w:r>
          </w:p>
        </w:tc>
      </w:tr>
      <w:tr w14:paraId="3629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363F234">
            <w:pPr>
              <w:kinsoku/>
              <w:overflowPunct w:val="0"/>
              <w:rPr>
                <w:rFonts w:ascii="方正仿宋_GB2312" w:hAnsi="方正仿宋_GB2312" w:eastAsia="方正仿宋_GB2312" w:cs="方正仿宋_GB2312"/>
                <w:sz w:val="24"/>
                <w:szCs w:val="24"/>
              </w:rPr>
            </w:pPr>
          </w:p>
        </w:tc>
        <w:tc>
          <w:tcPr>
            <w:tcW w:w="1679" w:type="pct"/>
            <w:gridSpan w:val="2"/>
            <w:vAlign w:val="center"/>
          </w:tcPr>
          <w:p w14:paraId="035D592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窗框</w:t>
            </w:r>
          </w:p>
        </w:tc>
        <w:tc>
          <w:tcPr>
            <w:tcW w:w="2708" w:type="pct"/>
            <w:vAlign w:val="center"/>
          </w:tcPr>
          <w:p w14:paraId="31FF9F4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无污渍、无印渍</w:t>
            </w:r>
          </w:p>
        </w:tc>
      </w:tr>
      <w:tr w14:paraId="4C6D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F2689AD">
            <w:pPr>
              <w:kinsoku/>
              <w:overflowPunct w:val="0"/>
              <w:rPr>
                <w:rFonts w:ascii="方正仿宋_GB2312" w:hAnsi="方正仿宋_GB2312" w:eastAsia="方正仿宋_GB2312" w:cs="方正仿宋_GB2312"/>
                <w:sz w:val="24"/>
                <w:szCs w:val="24"/>
              </w:rPr>
            </w:pPr>
          </w:p>
        </w:tc>
        <w:tc>
          <w:tcPr>
            <w:tcW w:w="1679" w:type="pct"/>
            <w:gridSpan w:val="2"/>
            <w:vAlign w:val="center"/>
          </w:tcPr>
          <w:p w14:paraId="3CF3EFD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窗台</w:t>
            </w:r>
          </w:p>
        </w:tc>
        <w:tc>
          <w:tcPr>
            <w:tcW w:w="2708" w:type="pct"/>
            <w:vAlign w:val="center"/>
          </w:tcPr>
          <w:p w14:paraId="0F830EC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无污渍、无尘迹</w:t>
            </w:r>
          </w:p>
        </w:tc>
      </w:tr>
      <w:tr w14:paraId="4D57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7D0E707">
            <w:pPr>
              <w:kinsoku/>
              <w:overflowPunct w:val="0"/>
              <w:rPr>
                <w:rFonts w:ascii="方正仿宋_GB2312" w:hAnsi="方正仿宋_GB2312" w:eastAsia="方正仿宋_GB2312" w:cs="方正仿宋_GB2312"/>
                <w:sz w:val="24"/>
                <w:szCs w:val="24"/>
              </w:rPr>
            </w:pPr>
          </w:p>
        </w:tc>
        <w:tc>
          <w:tcPr>
            <w:tcW w:w="1679" w:type="pct"/>
            <w:gridSpan w:val="2"/>
            <w:vAlign w:val="center"/>
          </w:tcPr>
          <w:p w14:paraId="6BDC52F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灯饰</w:t>
            </w:r>
          </w:p>
        </w:tc>
        <w:tc>
          <w:tcPr>
            <w:tcW w:w="2708" w:type="pct"/>
            <w:vAlign w:val="center"/>
          </w:tcPr>
          <w:p w14:paraId="05B0BD6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无污渍、印迹，无尘迹，保持光洁明亮</w:t>
            </w:r>
          </w:p>
        </w:tc>
      </w:tr>
      <w:tr w14:paraId="74C4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C1EE2D5">
            <w:pPr>
              <w:kinsoku/>
              <w:overflowPunct w:val="0"/>
              <w:rPr>
                <w:rFonts w:ascii="方正仿宋_GB2312" w:hAnsi="方正仿宋_GB2312" w:eastAsia="方正仿宋_GB2312" w:cs="方正仿宋_GB2312"/>
                <w:sz w:val="24"/>
                <w:szCs w:val="24"/>
              </w:rPr>
            </w:pPr>
          </w:p>
        </w:tc>
        <w:tc>
          <w:tcPr>
            <w:tcW w:w="1679" w:type="pct"/>
            <w:gridSpan w:val="2"/>
            <w:vAlign w:val="center"/>
          </w:tcPr>
          <w:p w14:paraId="17C2C54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指示牌和悬挂牌</w:t>
            </w:r>
          </w:p>
        </w:tc>
        <w:tc>
          <w:tcPr>
            <w:tcW w:w="2708" w:type="pct"/>
            <w:vAlign w:val="center"/>
          </w:tcPr>
          <w:p w14:paraId="1F096DB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无污渍、无印迹</w:t>
            </w:r>
          </w:p>
        </w:tc>
      </w:tr>
      <w:tr w14:paraId="10AD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9D90C35">
            <w:pPr>
              <w:kinsoku/>
              <w:overflowPunct w:val="0"/>
              <w:rPr>
                <w:rFonts w:ascii="方正仿宋_GB2312" w:hAnsi="方正仿宋_GB2312" w:eastAsia="方正仿宋_GB2312" w:cs="方正仿宋_GB2312"/>
                <w:sz w:val="24"/>
                <w:szCs w:val="24"/>
              </w:rPr>
            </w:pPr>
          </w:p>
        </w:tc>
        <w:tc>
          <w:tcPr>
            <w:tcW w:w="1679" w:type="pct"/>
            <w:gridSpan w:val="2"/>
            <w:vAlign w:val="center"/>
          </w:tcPr>
          <w:p w14:paraId="0A7ACFE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地面、梯级</w:t>
            </w:r>
          </w:p>
        </w:tc>
        <w:tc>
          <w:tcPr>
            <w:tcW w:w="2708" w:type="pct"/>
            <w:vAlign w:val="center"/>
          </w:tcPr>
          <w:p w14:paraId="428BC27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保持干净无杂物、无污渍、尘渍、痰渍</w:t>
            </w:r>
          </w:p>
        </w:tc>
      </w:tr>
      <w:tr w14:paraId="4EC8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F1D807C">
            <w:pPr>
              <w:kinsoku/>
              <w:overflowPunct w:val="0"/>
              <w:rPr>
                <w:rFonts w:ascii="方正仿宋_GB2312" w:hAnsi="方正仿宋_GB2312" w:eastAsia="方正仿宋_GB2312" w:cs="方正仿宋_GB2312"/>
                <w:sz w:val="24"/>
                <w:szCs w:val="24"/>
              </w:rPr>
            </w:pPr>
          </w:p>
        </w:tc>
        <w:tc>
          <w:tcPr>
            <w:tcW w:w="1679" w:type="pct"/>
            <w:gridSpan w:val="2"/>
            <w:vAlign w:val="center"/>
          </w:tcPr>
          <w:p w14:paraId="16408EF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墙身</w:t>
            </w:r>
          </w:p>
        </w:tc>
        <w:tc>
          <w:tcPr>
            <w:tcW w:w="2708" w:type="pct"/>
            <w:vAlign w:val="center"/>
          </w:tcPr>
          <w:p w14:paraId="5FDB8B0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保持无尘迹、无污渍、无印迹</w:t>
            </w:r>
          </w:p>
        </w:tc>
      </w:tr>
      <w:tr w14:paraId="0CF6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C1CB497">
            <w:pPr>
              <w:kinsoku/>
              <w:overflowPunct w:val="0"/>
              <w:rPr>
                <w:rFonts w:ascii="方正仿宋_GB2312" w:hAnsi="方正仿宋_GB2312" w:eastAsia="方正仿宋_GB2312" w:cs="方正仿宋_GB2312"/>
                <w:sz w:val="24"/>
                <w:szCs w:val="24"/>
              </w:rPr>
            </w:pPr>
          </w:p>
        </w:tc>
        <w:tc>
          <w:tcPr>
            <w:tcW w:w="1679" w:type="pct"/>
            <w:gridSpan w:val="2"/>
            <w:vAlign w:val="center"/>
          </w:tcPr>
          <w:p w14:paraId="383ADFF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地脚线</w:t>
            </w:r>
          </w:p>
        </w:tc>
        <w:tc>
          <w:tcPr>
            <w:tcW w:w="2708" w:type="pct"/>
            <w:vAlign w:val="center"/>
          </w:tcPr>
          <w:p w14:paraId="20EA09C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保持无尘迹、无污渍</w:t>
            </w:r>
          </w:p>
        </w:tc>
      </w:tr>
      <w:tr w14:paraId="1E94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05BA477">
            <w:pPr>
              <w:kinsoku/>
              <w:overflowPunct w:val="0"/>
              <w:rPr>
                <w:rFonts w:ascii="方正仿宋_GB2312" w:hAnsi="方正仿宋_GB2312" w:eastAsia="方正仿宋_GB2312" w:cs="方正仿宋_GB2312"/>
                <w:sz w:val="24"/>
                <w:szCs w:val="24"/>
              </w:rPr>
            </w:pPr>
          </w:p>
        </w:tc>
        <w:tc>
          <w:tcPr>
            <w:tcW w:w="1679" w:type="pct"/>
            <w:gridSpan w:val="2"/>
            <w:vAlign w:val="center"/>
          </w:tcPr>
          <w:p w14:paraId="4079E2E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防火门</w:t>
            </w:r>
          </w:p>
        </w:tc>
        <w:tc>
          <w:tcPr>
            <w:tcW w:w="2708" w:type="pct"/>
            <w:vAlign w:val="center"/>
          </w:tcPr>
          <w:p w14:paraId="681515D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无尘迹、无污渍、无印迹</w:t>
            </w:r>
          </w:p>
        </w:tc>
      </w:tr>
      <w:tr w14:paraId="32DA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42482DD">
            <w:pPr>
              <w:kinsoku/>
              <w:overflowPunct w:val="0"/>
              <w:rPr>
                <w:rFonts w:ascii="方正仿宋_GB2312" w:hAnsi="方正仿宋_GB2312" w:eastAsia="方正仿宋_GB2312" w:cs="方正仿宋_GB2312"/>
                <w:sz w:val="24"/>
                <w:szCs w:val="24"/>
              </w:rPr>
            </w:pPr>
          </w:p>
        </w:tc>
        <w:tc>
          <w:tcPr>
            <w:tcW w:w="1679" w:type="pct"/>
            <w:gridSpan w:val="2"/>
            <w:vAlign w:val="center"/>
          </w:tcPr>
          <w:p w14:paraId="75D0428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扶手</w:t>
            </w:r>
          </w:p>
        </w:tc>
        <w:tc>
          <w:tcPr>
            <w:tcW w:w="2708" w:type="pct"/>
            <w:vAlign w:val="center"/>
          </w:tcPr>
          <w:p w14:paraId="5FD744E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无灰尘、无污渍、无手印</w:t>
            </w:r>
          </w:p>
        </w:tc>
      </w:tr>
      <w:tr w14:paraId="3EA5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B3CEFB5">
            <w:pPr>
              <w:kinsoku/>
              <w:overflowPunct w:val="0"/>
              <w:rPr>
                <w:rFonts w:ascii="方正仿宋_GB2312" w:hAnsi="方正仿宋_GB2312" w:eastAsia="方正仿宋_GB2312" w:cs="方正仿宋_GB2312"/>
                <w:sz w:val="24"/>
                <w:szCs w:val="24"/>
              </w:rPr>
            </w:pPr>
          </w:p>
        </w:tc>
        <w:tc>
          <w:tcPr>
            <w:tcW w:w="1679" w:type="pct"/>
            <w:gridSpan w:val="2"/>
            <w:vAlign w:val="center"/>
          </w:tcPr>
          <w:p w14:paraId="0AF0AAA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百叶窗</w:t>
            </w:r>
          </w:p>
        </w:tc>
        <w:tc>
          <w:tcPr>
            <w:tcW w:w="2708" w:type="pct"/>
            <w:vAlign w:val="center"/>
          </w:tcPr>
          <w:p w14:paraId="063B3EF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无灰尘、无污渍、无蜘蛛网</w:t>
            </w:r>
          </w:p>
        </w:tc>
      </w:tr>
      <w:tr w14:paraId="7C19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BF38E26">
            <w:pPr>
              <w:kinsoku/>
              <w:overflowPunct w:val="0"/>
              <w:rPr>
                <w:rFonts w:ascii="方正仿宋_GB2312" w:hAnsi="方正仿宋_GB2312" w:eastAsia="方正仿宋_GB2312" w:cs="方正仿宋_GB2312"/>
                <w:sz w:val="24"/>
                <w:szCs w:val="24"/>
              </w:rPr>
            </w:pPr>
          </w:p>
        </w:tc>
        <w:tc>
          <w:tcPr>
            <w:tcW w:w="1679" w:type="pct"/>
            <w:gridSpan w:val="2"/>
            <w:vAlign w:val="center"/>
          </w:tcPr>
          <w:p w14:paraId="626C0D8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天花</w:t>
            </w:r>
          </w:p>
        </w:tc>
        <w:tc>
          <w:tcPr>
            <w:tcW w:w="2708" w:type="pct"/>
            <w:vAlign w:val="center"/>
          </w:tcPr>
          <w:p w14:paraId="5031FFF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无灰尘、无蜘蛛网</w:t>
            </w:r>
          </w:p>
        </w:tc>
      </w:tr>
      <w:tr w14:paraId="7C71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7B8B3F1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卫生间</w:t>
            </w:r>
          </w:p>
        </w:tc>
        <w:tc>
          <w:tcPr>
            <w:tcW w:w="1679" w:type="pct"/>
            <w:gridSpan w:val="2"/>
            <w:vAlign w:val="center"/>
          </w:tcPr>
          <w:p w14:paraId="503F145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墙身</w:t>
            </w:r>
          </w:p>
        </w:tc>
        <w:tc>
          <w:tcPr>
            <w:tcW w:w="2708" w:type="pct"/>
            <w:vAlign w:val="center"/>
          </w:tcPr>
          <w:p w14:paraId="753A180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无灰尘、无污渍、保持光洁明亮</w:t>
            </w:r>
          </w:p>
        </w:tc>
      </w:tr>
      <w:tr w14:paraId="2B44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CFF9190">
            <w:pPr>
              <w:kinsoku/>
              <w:overflowPunct w:val="0"/>
              <w:rPr>
                <w:rFonts w:ascii="方正仿宋_GB2312" w:hAnsi="方正仿宋_GB2312" w:eastAsia="方正仿宋_GB2312" w:cs="方正仿宋_GB2312"/>
                <w:sz w:val="24"/>
                <w:szCs w:val="24"/>
              </w:rPr>
            </w:pPr>
          </w:p>
        </w:tc>
        <w:tc>
          <w:tcPr>
            <w:tcW w:w="1679" w:type="pct"/>
            <w:gridSpan w:val="2"/>
            <w:vAlign w:val="center"/>
          </w:tcPr>
          <w:p w14:paraId="553BAD2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防滑瓷砖地面</w:t>
            </w:r>
          </w:p>
        </w:tc>
        <w:tc>
          <w:tcPr>
            <w:tcW w:w="2708" w:type="pct"/>
            <w:vAlign w:val="center"/>
          </w:tcPr>
          <w:p w14:paraId="52C4646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无尘积、无污渍、无纸屑、无水渍、保持光洁干净</w:t>
            </w:r>
          </w:p>
        </w:tc>
      </w:tr>
      <w:tr w14:paraId="46CB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75BCD3E">
            <w:pPr>
              <w:kinsoku/>
              <w:overflowPunct w:val="0"/>
              <w:rPr>
                <w:rFonts w:ascii="方正仿宋_GB2312" w:hAnsi="方正仿宋_GB2312" w:eastAsia="方正仿宋_GB2312" w:cs="方正仿宋_GB2312"/>
                <w:sz w:val="24"/>
                <w:szCs w:val="24"/>
              </w:rPr>
            </w:pPr>
          </w:p>
        </w:tc>
        <w:tc>
          <w:tcPr>
            <w:tcW w:w="1679" w:type="pct"/>
            <w:gridSpan w:val="2"/>
            <w:vAlign w:val="center"/>
          </w:tcPr>
          <w:p w14:paraId="1745A6A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洗手间门</w:t>
            </w:r>
          </w:p>
        </w:tc>
        <w:tc>
          <w:tcPr>
            <w:tcW w:w="2708" w:type="pct"/>
            <w:vAlign w:val="center"/>
          </w:tcPr>
          <w:p w14:paraId="746B45F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无手印、无污渍</w:t>
            </w:r>
          </w:p>
        </w:tc>
      </w:tr>
      <w:tr w14:paraId="4B3D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25B864A">
            <w:pPr>
              <w:kinsoku/>
              <w:overflowPunct w:val="0"/>
              <w:rPr>
                <w:rFonts w:ascii="方正仿宋_GB2312" w:hAnsi="方正仿宋_GB2312" w:eastAsia="方正仿宋_GB2312" w:cs="方正仿宋_GB2312"/>
                <w:sz w:val="24"/>
                <w:szCs w:val="24"/>
              </w:rPr>
            </w:pPr>
          </w:p>
        </w:tc>
        <w:tc>
          <w:tcPr>
            <w:tcW w:w="1679" w:type="pct"/>
            <w:gridSpan w:val="2"/>
            <w:vAlign w:val="center"/>
          </w:tcPr>
          <w:p w14:paraId="6FD06D3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洗手间玻璃镜面</w:t>
            </w:r>
          </w:p>
        </w:tc>
        <w:tc>
          <w:tcPr>
            <w:tcW w:w="2708" w:type="pct"/>
            <w:vAlign w:val="center"/>
          </w:tcPr>
          <w:p w14:paraId="7E9950A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无印迹、无水渍、保持镜面光洁明亮</w:t>
            </w:r>
          </w:p>
        </w:tc>
      </w:tr>
      <w:tr w14:paraId="22D1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4A069CF0">
            <w:pPr>
              <w:kinsoku/>
              <w:overflowPunct w:val="0"/>
              <w:rPr>
                <w:rFonts w:ascii="方正仿宋_GB2312" w:hAnsi="方正仿宋_GB2312" w:eastAsia="方正仿宋_GB2312" w:cs="方正仿宋_GB2312"/>
                <w:sz w:val="24"/>
                <w:szCs w:val="24"/>
              </w:rPr>
            </w:pPr>
          </w:p>
        </w:tc>
        <w:tc>
          <w:tcPr>
            <w:tcW w:w="1679" w:type="pct"/>
            <w:gridSpan w:val="2"/>
            <w:vAlign w:val="center"/>
          </w:tcPr>
          <w:p w14:paraId="2A078A1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小便器、坐厕、洗手盆</w:t>
            </w:r>
          </w:p>
        </w:tc>
        <w:tc>
          <w:tcPr>
            <w:tcW w:w="2708" w:type="pct"/>
            <w:vAlign w:val="center"/>
          </w:tcPr>
          <w:p w14:paraId="0ED2F46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无污渍、无积水、无垢、无臭，瓷器光洁明亮</w:t>
            </w:r>
          </w:p>
        </w:tc>
      </w:tr>
      <w:tr w14:paraId="76CC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CCBE206">
            <w:pPr>
              <w:kinsoku/>
              <w:overflowPunct w:val="0"/>
              <w:rPr>
                <w:rFonts w:ascii="方正仿宋_GB2312" w:hAnsi="方正仿宋_GB2312" w:eastAsia="方正仿宋_GB2312" w:cs="方正仿宋_GB2312"/>
                <w:sz w:val="24"/>
                <w:szCs w:val="24"/>
              </w:rPr>
            </w:pPr>
          </w:p>
        </w:tc>
        <w:tc>
          <w:tcPr>
            <w:tcW w:w="1679" w:type="pct"/>
            <w:gridSpan w:val="2"/>
            <w:vAlign w:val="center"/>
          </w:tcPr>
          <w:p w14:paraId="052802C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洗手间隔板</w:t>
            </w:r>
          </w:p>
        </w:tc>
        <w:tc>
          <w:tcPr>
            <w:tcW w:w="2708" w:type="pct"/>
            <w:vAlign w:val="center"/>
          </w:tcPr>
          <w:p w14:paraId="4A7DC39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无污渍、无印迹、无尘迹</w:t>
            </w:r>
          </w:p>
        </w:tc>
      </w:tr>
      <w:tr w14:paraId="21F6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BE27D69">
            <w:pPr>
              <w:kinsoku/>
              <w:overflowPunct w:val="0"/>
              <w:rPr>
                <w:rFonts w:ascii="方正仿宋_GB2312" w:hAnsi="方正仿宋_GB2312" w:eastAsia="方正仿宋_GB2312" w:cs="方正仿宋_GB2312"/>
                <w:sz w:val="24"/>
                <w:szCs w:val="24"/>
              </w:rPr>
            </w:pPr>
          </w:p>
        </w:tc>
        <w:tc>
          <w:tcPr>
            <w:tcW w:w="1679" w:type="pct"/>
            <w:gridSpan w:val="2"/>
            <w:vAlign w:val="center"/>
          </w:tcPr>
          <w:p w14:paraId="5170BB8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洗手间灯饰</w:t>
            </w:r>
          </w:p>
        </w:tc>
        <w:tc>
          <w:tcPr>
            <w:tcW w:w="2708" w:type="pct"/>
            <w:vAlign w:val="center"/>
          </w:tcPr>
          <w:p w14:paraId="3BE0AE8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无蜘蛛网、无污渍、无印迹、内面无明显灰尘</w:t>
            </w:r>
          </w:p>
        </w:tc>
      </w:tr>
      <w:tr w14:paraId="29E3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1FB9B7F1">
            <w:pPr>
              <w:kinsoku/>
              <w:overflowPunct w:val="0"/>
              <w:rPr>
                <w:rFonts w:ascii="方正仿宋_GB2312" w:hAnsi="方正仿宋_GB2312" w:eastAsia="方正仿宋_GB2312" w:cs="方正仿宋_GB2312"/>
                <w:sz w:val="24"/>
                <w:szCs w:val="24"/>
              </w:rPr>
            </w:pPr>
          </w:p>
        </w:tc>
        <w:tc>
          <w:tcPr>
            <w:tcW w:w="1679" w:type="pct"/>
            <w:gridSpan w:val="2"/>
            <w:vAlign w:val="center"/>
          </w:tcPr>
          <w:p w14:paraId="7C52189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洗手间天花、风口</w:t>
            </w:r>
          </w:p>
        </w:tc>
        <w:tc>
          <w:tcPr>
            <w:tcW w:w="2708" w:type="pct"/>
            <w:vAlign w:val="center"/>
          </w:tcPr>
          <w:p w14:paraId="14E5370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无污渍、无蜘蛛网、无尘迹</w:t>
            </w:r>
          </w:p>
        </w:tc>
      </w:tr>
      <w:tr w14:paraId="2D8B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4AB2ABCF">
            <w:pPr>
              <w:kinsoku/>
              <w:overflowPunct w:val="0"/>
              <w:rPr>
                <w:rFonts w:ascii="方正仿宋_GB2312" w:hAnsi="方正仿宋_GB2312" w:eastAsia="方正仿宋_GB2312" w:cs="方正仿宋_GB2312"/>
                <w:sz w:val="24"/>
                <w:szCs w:val="24"/>
              </w:rPr>
            </w:pPr>
          </w:p>
        </w:tc>
        <w:tc>
          <w:tcPr>
            <w:tcW w:w="1679" w:type="pct"/>
            <w:gridSpan w:val="2"/>
            <w:vAlign w:val="center"/>
          </w:tcPr>
          <w:p w14:paraId="2BD67A2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洗手间纸巾盒、皂液器</w:t>
            </w:r>
          </w:p>
        </w:tc>
        <w:tc>
          <w:tcPr>
            <w:tcW w:w="2708" w:type="pct"/>
            <w:vAlign w:val="center"/>
          </w:tcPr>
          <w:p w14:paraId="6F72228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无灰尘、无污渍、无漏液</w:t>
            </w:r>
          </w:p>
        </w:tc>
      </w:tr>
      <w:tr w14:paraId="2C16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E0D40F4">
            <w:pPr>
              <w:kinsoku/>
              <w:overflowPunct w:val="0"/>
              <w:rPr>
                <w:rFonts w:ascii="方正仿宋_GB2312" w:hAnsi="方正仿宋_GB2312" w:eastAsia="方正仿宋_GB2312" w:cs="方正仿宋_GB2312"/>
                <w:sz w:val="24"/>
                <w:szCs w:val="24"/>
              </w:rPr>
            </w:pPr>
          </w:p>
        </w:tc>
        <w:tc>
          <w:tcPr>
            <w:tcW w:w="1679" w:type="pct"/>
            <w:gridSpan w:val="2"/>
            <w:vAlign w:val="center"/>
          </w:tcPr>
          <w:p w14:paraId="06385F3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花盆</w:t>
            </w:r>
          </w:p>
        </w:tc>
        <w:tc>
          <w:tcPr>
            <w:tcW w:w="2708" w:type="pct"/>
            <w:vAlign w:val="center"/>
          </w:tcPr>
          <w:p w14:paraId="3913C27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无尘迹、无污渍、无积水、整洁无杂物</w:t>
            </w:r>
          </w:p>
        </w:tc>
      </w:tr>
      <w:tr w14:paraId="0D1C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007C251">
            <w:pPr>
              <w:kinsoku/>
              <w:overflowPunct w:val="0"/>
              <w:rPr>
                <w:rFonts w:ascii="方正仿宋_GB2312" w:hAnsi="方正仿宋_GB2312" w:eastAsia="方正仿宋_GB2312" w:cs="方正仿宋_GB2312"/>
                <w:sz w:val="24"/>
                <w:szCs w:val="24"/>
              </w:rPr>
            </w:pPr>
          </w:p>
        </w:tc>
        <w:tc>
          <w:tcPr>
            <w:tcW w:w="1679" w:type="pct"/>
            <w:gridSpan w:val="2"/>
            <w:vAlign w:val="center"/>
          </w:tcPr>
          <w:p w14:paraId="5D695A6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洗手台</w:t>
            </w:r>
          </w:p>
        </w:tc>
        <w:tc>
          <w:tcPr>
            <w:tcW w:w="2708" w:type="pct"/>
            <w:vAlign w:val="center"/>
          </w:tcPr>
          <w:p w14:paraId="324FDFE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无尘迹、无污渍、无皂液，保持台面光洁明亮</w:t>
            </w:r>
          </w:p>
        </w:tc>
      </w:tr>
      <w:tr w14:paraId="5B92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703FBC2">
            <w:pPr>
              <w:kinsoku/>
              <w:overflowPunct w:val="0"/>
              <w:rPr>
                <w:rFonts w:ascii="方正仿宋_GB2312" w:hAnsi="方正仿宋_GB2312" w:eastAsia="方正仿宋_GB2312" w:cs="方正仿宋_GB2312"/>
                <w:sz w:val="24"/>
                <w:szCs w:val="24"/>
              </w:rPr>
            </w:pPr>
          </w:p>
        </w:tc>
        <w:tc>
          <w:tcPr>
            <w:tcW w:w="1679" w:type="pct"/>
            <w:gridSpan w:val="2"/>
            <w:vAlign w:val="center"/>
          </w:tcPr>
          <w:p w14:paraId="304A159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洗手间下水管道</w:t>
            </w:r>
          </w:p>
        </w:tc>
        <w:tc>
          <w:tcPr>
            <w:tcW w:w="2708" w:type="pct"/>
            <w:vAlign w:val="center"/>
          </w:tcPr>
          <w:p w14:paraId="040AFE2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保持水流畅通</w:t>
            </w:r>
          </w:p>
        </w:tc>
      </w:tr>
      <w:tr w14:paraId="2C0A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438BE0E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露天 </w:t>
            </w:r>
          </w:p>
          <w:p w14:paraId="13EE5FE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部分</w:t>
            </w:r>
          </w:p>
        </w:tc>
        <w:tc>
          <w:tcPr>
            <w:tcW w:w="1679" w:type="pct"/>
            <w:gridSpan w:val="2"/>
            <w:vAlign w:val="center"/>
          </w:tcPr>
          <w:p w14:paraId="30219D8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w:t>
            </w:r>
          </w:p>
        </w:tc>
        <w:tc>
          <w:tcPr>
            <w:tcW w:w="2708" w:type="pct"/>
            <w:vAlign w:val="center"/>
          </w:tcPr>
          <w:p w14:paraId="41375D6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无垃圾杂物、无杂草、无积水、无明显污渍油迹</w:t>
            </w:r>
          </w:p>
        </w:tc>
      </w:tr>
      <w:tr w14:paraId="08B0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271981E">
            <w:pPr>
              <w:kinsoku/>
              <w:overflowPunct w:val="0"/>
              <w:rPr>
                <w:rFonts w:ascii="方正仿宋_GB2312" w:hAnsi="方正仿宋_GB2312" w:eastAsia="方正仿宋_GB2312" w:cs="方正仿宋_GB2312"/>
                <w:sz w:val="24"/>
                <w:szCs w:val="24"/>
              </w:rPr>
            </w:pPr>
          </w:p>
        </w:tc>
        <w:tc>
          <w:tcPr>
            <w:tcW w:w="1679" w:type="pct"/>
            <w:gridSpan w:val="2"/>
            <w:vAlign w:val="center"/>
          </w:tcPr>
          <w:p w14:paraId="6D325B2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门岗、道闸</w:t>
            </w:r>
          </w:p>
        </w:tc>
        <w:tc>
          <w:tcPr>
            <w:tcW w:w="2708" w:type="pct"/>
            <w:vAlign w:val="center"/>
          </w:tcPr>
          <w:p w14:paraId="5C7BC8F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无明显尘迹、无污渍、无垃圾杂物、保持整洁</w:t>
            </w:r>
          </w:p>
        </w:tc>
      </w:tr>
      <w:tr w14:paraId="739B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EC1EB6D">
            <w:pPr>
              <w:kinsoku/>
              <w:overflowPunct w:val="0"/>
              <w:rPr>
                <w:rFonts w:ascii="方正仿宋_GB2312" w:hAnsi="方正仿宋_GB2312" w:eastAsia="方正仿宋_GB2312" w:cs="方正仿宋_GB2312"/>
                <w:sz w:val="24"/>
                <w:szCs w:val="24"/>
              </w:rPr>
            </w:pPr>
          </w:p>
        </w:tc>
        <w:tc>
          <w:tcPr>
            <w:tcW w:w="1679" w:type="pct"/>
            <w:gridSpan w:val="2"/>
            <w:vAlign w:val="center"/>
          </w:tcPr>
          <w:p w14:paraId="64C03DB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室外设施</w:t>
            </w:r>
          </w:p>
        </w:tc>
        <w:tc>
          <w:tcPr>
            <w:tcW w:w="2708" w:type="pct"/>
            <w:vAlign w:val="center"/>
          </w:tcPr>
          <w:p w14:paraId="016CF9A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无污渍、无明显灰尘、无不良张贴物</w:t>
            </w:r>
          </w:p>
        </w:tc>
      </w:tr>
      <w:tr w14:paraId="0ADA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5A46092F">
            <w:pPr>
              <w:kinsoku/>
              <w:overflowPunct w:val="0"/>
              <w:rPr>
                <w:rFonts w:ascii="方正仿宋_GB2312" w:hAnsi="方正仿宋_GB2312" w:eastAsia="方正仿宋_GB2312" w:cs="方正仿宋_GB2312"/>
                <w:sz w:val="24"/>
                <w:szCs w:val="24"/>
              </w:rPr>
            </w:pPr>
          </w:p>
        </w:tc>
        <w:tc>
          <w:tcPr>
            <w:tcW w:w="1679" w:type="pct"/>
            <w:gridSpan w:val="2"/>
            <w:vAlign w:val="center"/>
          </w:tcPr>
          <w:p w14:paraId="3ABF3AC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绿化带</w:t>
            </w:r>
          </w:p>
        </w:tc>
        <w:tc>
          <w:tcPr>
            <w:tcW w:w="2708" w:type="pct"/>
            <w:vAlign w:val="center"/>
          </w:tcPr>
          <w:p w14:paraId="3286FB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无杂物、无枯枝叶</w:t>
            </w:r>
          </w:p>
        </w:tc>
      </w:tr>
      <w:tr w14:paraId="52E4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EEE734A">
            <w:pPr>
              <w:kinsoku/>
              <w:overflowPunct w:val="0"/>
              <w:rPr>
                <w:rFonts w:ascii="方正仿宋_GB2312" w:hAnsi="方正仿宋_GB2312" w:eastAsia="方正仿宋_GB2312" w:cs="方正仿宋_GB2312"/>
                <w:sz w:val="24"/>
                <w:szCs w:val="24"/>
              </w:rPr>
            </w:pPr>
          </w:p>
        </w:tc>
        <w:tc>
          <w:tcPr>
            <w:tcW w:w="1679" w:type="pct"/>
            <w:gridSpan w:val="2"/>
            <w:vAlign w:val="center"/>
          </w:tcPr>
          <w:p w14:paraId="706F8DA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草坪灯、红外对射、泛光灯</w:t>
            </w:r>
          </w:p>
        </w:tc>
        <w:tc>
          <w:tcPr>
            <w:tcW w:w="2708" w:type="pct"/>
            <w:vAlign w:val="center"/>
          </w:tcPr>
          <w:p w14:paraId="646443C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无污渍、无水迹、无明显灰尘</w:t>
            </w:r>
          </w:p>
        </w:tc>
      </w:tr>
      <w:tr w14:paraId="381A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FD08295">
            <w:pPr>
              <w:kinsoku/>
              <w:overflowPunct w:val="0"/>
              <w:rPr>
                <w:rFonts w:ascii="方正仿宋_GB2312" w:hAnsi="方正仿宋_GB2312" w:eastAsia="方正仿宋_GB2312" w:cs="方正仿宋_GB2312"/>
                <w:sz w:val="24"/>
                <w:szCs w:val="24"/>
              </w:rPr>
            </w:pPr>
          </w:p>
        </w:tc>
        <w:tc>
          <w:tcPr>
            <w:tcW w:w="1679" w:type="pct"/>
            <w:gridSpan w:val="2"/>
            <w:vAlign w:val="center"/>
          </w:tcPr>
          <w:p w14:paraId="7FFDC13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栏杆</w:t>
            </w:r>
          </w:p>
        </w:tc>
        <w:tc>
          <w:tcPr>
            <w:tcW w:w="2708" w:type="pct"/>
            <w:vAlign w:val="center"/>
          </w:tcPr>
          <w:p w14:paraId="5A680AF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无污渍、无水迹、无明显灰尘</w:t>
            </w:r>
          </w:p>
        </w:tc>
      </w:tr>
      <w:tr w14:paraId="425D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42ED5AD9">
            <w:pPr>
              <w:kinsoku/>
              <w:overflowPunct w:val="0"/>
              <w:rPr>
                <w:rFonts w:ascii="方正仿宋_GB2312" w:hAnsi="方正仿宋_GB2312" w:eastAsia="方正仿宋_GB2312" w:cs="方正仿宋_GB2312"/>
                <w:sz w:val="24"/>
                <w:szCs w:val="24"/>
              </w:rPr>
            </w:pPr>
          </w:p>
        </w:tc>
        <w:tc>
          <w:tcPr>
            <w:tcW w:w="1679" w:type="pct"/>
            <w:gridSpan w:val="2"/>
            <w:vAlign w:val="center"/>
          </w:tcPr>
          <w:p w14:paraId="15F4F51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指牌</w:t>
            </w:r>
          </w:p>
        </w:tc>
        <w:tc>
          <w:tcPr>
            <w:tcW w:w="2708" w:type="pct"/>
            <w:vAlign w:val="center"/>
          </w:tcPr>
          <w:p w14:paraId="17D3A4D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无污渍、无灰尘、无印迹</w:t>
            </w:r>
          </w:p>
        </w:tc>
      </w:tr>
      <w:tr w14:paraId="3820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F681EE5">
            <w:pPr>
              <w:kinsoku/>
              <w:overflowPunct w:val="0"/>
              <w:rPr>
                <w:rFonts w:ascii="方正仿宋_GB2312" w:hAnsi="方正仿宋_GB2312" w:eastAsia="方正仿宋_GB2312" w:cs="方正仿宋_GB2312"/>
                <w:sz w:val="24"/>
                <w:szCs w:val="24"/>
              </w:rPr>
            </w:pPr>
          </w:p>
        </w:tc>
        <w:tc>
          <w:tcPr>
            <w:tcW w:w="1679" w:type="pct"/>
            <w:gridSpan w:val="2"/>
            <w:vAlign w:val="center"/>
          </w:tcPr>
          <w:p w14:paraId="10FAF2C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花坛墙面及两米以下外墙面</w:t>
            </w:r>
          </w:p>
        </w:tc>
        <w:tc>
          <w:tcPr>
            <w:tcW w:w="2708" w:type="pct"/>
            <w:vAlign w:val="center"/>
          </w:tcPr>
          <w:p w14:paraId="1553054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无污渍、无明显灰尘</w:t>
            </w:r>
          </w:p>
        </w:tc>
      </w:tr>
      <w:tr w14:paraId="2ED8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4B285BA">
            <w:pPr>
              <w:kinsoku/>
              <w:overflowPunct w:val="0"/>
              <w:rPr>
                <w:rFonts w:ascii="方正仿宋_GB2312" w:hAnsi="方正仿宋_GB2312" w:eastAsia="方正仿宋_GB2312" w:cs="方正仿宋_GB2312"/>
                <w:sz w:val="24"/>
                <w:szCs w:val="24"/>
              </w:rPr>
            </w:pPr>
          </w:p>
        </w:tc>
        <w:tc>
          <w:tcPr>
            <w:tcW w:w="1679" w:type="pct"/>
            <w:gridSpan w:val="2"/>
            <w:vAlign w:val="center"/>
          </w:tcPr>
          <w:p w14:paraId="5E838F5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垃圾桶</w:t>
            </w:r>
          </w:p>
        </w:tc>
        <w:tc>
          <w:tcPr>
            <w:tcW w:w="2708" w:type="pct"/>
            <w:vAlign w:val="center"/>
          </w:tcPr>
          <w:p w14:paraId="2801626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无污渍、无水迹、无明显灰尘、不过满</w:t>
            </w:r>
          </w:p>
        </w:tc>
      </w:tr>
      <w:tr w14:paraId="6774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9A93A5B">
            <w:pPr>
              <w:kinsoku/>
              <w:overflowPunct w:val="0"/>
              <w:rPr>
                <w:rFonts w:ascii="方正仿宋_GB2312" w:hAnsi="方正仿宋_GB2312" w:eastAsia="方正仿宋_GB2312" w:cs="方正仿宋_GB2312"/>
                <w:sz w:val="24"/>
                <w:szCs w:val="24"/>
              </w:rPr>
            </w:pPr>
          </w:p>
        </w:tc>
        <w:tc>
          <w:tcPr>
            <w:tcW w:w="1679" w:type="pct"/>
            <w:gridSpan w:val="2"/>
            <w:vAlign w:val="center"/>
          </w:tcPr>
          <w:p w14:paraId="5155E21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水道、井</w:t>
            </w:r>
          </w:p>
        </w:tc>
        <w:tc>
          <w:tcPr>
            <w:tcW w:w="2708" w:type="pct"/>
            <w:vAlign w:val="center"/>
          </w:tcPr>
          <w:p w14:paraId="192D2BA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水面无明显漂浮物</w:t>
            </w:r>
          </w:p>
        </w:tc>
      </w:tr>
      <w:tr w14:paraId="0F53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A1F3BBA">
            <w:pPr>
              <w:kinsoku/>
              <w:overflowPunct w:val="0"/>
              <w:rPr>
                <w:rFonts w:ascii="方正仿宋_GB2312" w:hAnsi="方正仿宋_GB2312" w:eastAsia="方正仿宋_GB2312" w:cs="方正仿宋_GB2312"/>
                <w:sz w:val="24"/>
                <w:szCs w:val="24"/>
              </w:rPr>
            </w:pPr>
          </w:p>
        </w:tc>
        <w:tc>
          <w:tcPr>
            <w:tcW w:w="1679" w:type="pct"/>
            <w:gridSpan w:val="2"/>
            <w:vAlign w:val="center"/>
          </w:tcPr>
          <w:p w14:paraId="229DB2A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阴沟、沙井</w:t>
            </w:r>
          </w:p>
        </w:tc>
        <w:tc>
          <w:tcPr>
            <w:tcW w:w="2708" w:type="pct"/>
            <w:vAlign w:val="center"/>
          </w:tcPr>
          <w:p w14:paraId="514A099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保持井道内无明显杂物、无积水、无明显污渍</w:t>
            </w:r>
          </w:p>
        </w:tc>
      </w:tr>
      <w:tr w14:paraId="71B4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26DC171">
            <w:pPr>
              <w:kinsoku/>
              <w:overflowPunct w:val="0"/>
              <w:rPr>
                <w:rFonts w:ascii="方正仿宋_GB2312" w:hAnsi="方正仿宋_GB2312" w:eastAsia="方正仿宋_GB2312" w:cs="方正仿宋_GB2312"/>
                <w:sz w:val="24"/>
                <w:szCs w:val="24"/>
              </w:rPr>
            </w:pPr>
          </w:p>
        </w:tc>
        <w:tc>
          <w:tcPr>
            <w:tcW w:w="1679" w:type="pct"/>
            <w:gridSpan w:val="2"/>
            <w:vAlign w:val="center"/>
          </w:tcPr>
          <w:p w14:paraId="4905517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天台</w:t>
            </w:r>
          </w:p>
        </w:tc>
        <w:tc>
          <w:tcPr>
            <w:tcW w:w="2708" w:type="pct"/>
            <w:vAlign w:val="center"/>
          </w:tcPr>
          <w:p w14:paraId="5D0D871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地面无杂物、下水口畅通、无积水、无明显污渍</w:t>
            </w:r>
          </w:p>
        </w:tc>
      </w:tr>
      <w:tr w14:paraId="2865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608E3ABC">
            <w:pPr>
              <w:kinsoku/>
              <w:overflowPunct w:val="0"/>
              <w:rPr>
                <w:rFonts w:ascii="方正仿宋_GB2312" w:hAnsi="方正仿宋_GB2312" w:eastAsia="方正仿宋_GB2312" w:cs="方正仿宋_GB2312"/>
                <w:sz w:val="24"/>
                <w:szCs w:val="24"/>
              </w:rPr>
            </w:pPr>
          </w:p>
        </w:tc>
        <w:tc>
          <w:tcPr>
            <w:tcW w:w="1679" w:type="pct"/>
            <w:gridSpan w:val="2"/>
            <w:vAlign w:val="center"/>
          </w:tcPr>
          <w:p w14:paraId="5E0AAEB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水池</w:t>
            </w:r>
          </w:p>
        </w:tc>
        <w:tc>
          <w:tcPr>
            <w:tcW w:w="2708" w:type="pct"/>
            <w:vAlign w:val="center"/>
          </w:tcPr>
          <w:p w14:paraId="6CC0B69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池壁、物件无尘迹、无污渍、水体无悬浮物、池底无杂物、水质清澈明亮</w:t>
            </w:r>
          </w:p>
        </w:tc>
      </w:tr>
      <w:tr w14:paraId="638C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555CCFF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电梯</w:t>
            </w:r>
          </w:p>
        </w:tc>
        <w:tc>
          <w:tcPr>
            <w:tcW w:w="1679" w:type="pct"/>
            <w:gridSpan w:val="2"/>
            <w:vAlign w:val="center"/>
          </w:tcPr>
          <w:p w14:paraId="71356F5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电梯轿厢、灯饰、排风扇及按钮</w:t>
            </w:r>
          </w:p>
        </w:tc>
        <w:tc>
          <w:tcPr>
            <w:tcW w:w="2708" w:type="pct"/>
            <w:vAlign w:val="center"/>
          </w:tcPr>
          <w:p w14:paraId="0406E3D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无尘迹、无污渍、无手印、无蜘蛛网</w:t>
            </w:r>
          </w:p>
        </w:tc>
      </w:tr>
      <w:tr w14:paraId="42EE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2AC18FD5">
            <w:pPr>
              <w:kinsoku/>
              <w:overflowPunct w:val="0"/>
              <w:rPr>
                <w:rFonts w:ascii="方正仿宋_GB2312" w:hAnsi="方正仿宋_GB2312" w:eastAsia="方正仿宋_GB2312" w:cs="方正仿宋_GB2312"/>
                <w:sz w:val="24"/>
                <w:szCs w:val="24"/>
              </w:rPr>
            </w:pPr>
          </w:p>
        </w:tc>
        <w:tc>
          <w:tcPr>
            <w:tcW w:w="1679" w:type="pct"/>
            <w:gridSpan w:val="2"/>
            <w:vAlign w:val="center"/>
          </w:tcPr>
          <w:p w14:paraId="11CDC0D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电梯扇门</w:t>
            </w:r>
          </w:p>
        </w:tc>
        <w:tc>
          <w:tcPr>
            <w:tcW w:w="2708" w:type="pct"/>
            <w:vAlign w:val="center"/>
          </w:tcPr>
          <w:p w14:paraId="03F5814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无污渍、手印、保持不锈钢明亮的金属光泽</w:t>
            </w:r>
          </w:p>
        </w:tc>
      </w:tr>
      <w:tr w14:paraId="0CC5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078506B5">
            <w:pPr>
              <w:kinsoku/>
              <w:overflowPunct w:val="0"/>
              <w:rPr>
                <w:rFonts w:ascii="方正仿宋_GB2312" w:hAnsi="方正仿宋_GB2312" w:eastAsia="方正仿宋_GB2312" w:cs="方正仿宋_GB2312"/>
                <w:sz w:val="24"/>
                <w:szCs w:val="24"/>
              </w:rPr>
            </w:pPr>
          </w:p>
        </w:tc>
        <w:tc>
          <w:tcPr>
            <w:tcW w:w="1679" w:type="pct"/>
            <w:gridSpan w:val="2"/>
            <w:vAlign w:val="center"/>
          </w:tcPr>
          <w:p w14:paraId="00EC322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电梯厅地面</w:t>
            </w:r>
          </w:p>
        </w:tc>
        <w:tc>
          <w:tcPr>
            <w:tcW w:w="2708" w:type="pct"/>
            <w:vAlign w:val="center"/>
          </w:tcPr>
          <w:p w14:paraId="1ACB790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保持干净、无污渍、无纸屑、无烟蒂</w:t>
            </w:r>
          </w:p>
        </w:tc>
      </w:tr>
      <w:tr w14:paraId="4A5E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restart"/>
            <w:vAlign w:val="center"/>
          </w:tcPr>
          <w:p w14:paraId="2BAF930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垃圾 </w:t>
            </w:r>
          </w:p>
          <w:p w14:paraId="5D9AF72A">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清运</w:t>
            </w:r>
          </w:p>
        </w:tc>
        <w:tc>
          <w:tcPr>
            <w:tcW w:w="1679" w:type="pct"/>
            <w:gridSpan w:val="2"/>
            <w:vAlign w:val="center"/>
          </w:tcPr>
          <w:p w14:paraId="00E9CB8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垃圾箱、桶</w:t>
            </w:r>
          </w:p>
        </w:tc>
        <w:tc>
          <w:tcPr>
            <w:tcW w:w="2708" w:type="pct"/>
            <w:vAlign w:val="center"/>
          </w:tcPr>
          <w:p w14:paraId="1BE5EF2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垃圾存量不超过上缘，每日清理二次，垃圾不在筒箱内过夜</w:t>
            </w:r>
          </w:p>
        </w:tc>
      </w:tr>
      <w:tr w14:paraId="74AD5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35768E00">
            <w:pPr>
              <w:kinsoku/>
              <w:overflowPunct w:val="0"/>
              <w:rPr>
                <w:rFonts w:ascii="方正仿宋_GB2312" w:hAnsi="方正仿宋_GB2312" w:eastAsia="方正仿宋_GB2312" w:cs="方正仿宋_GB2312"/>
                <w:sz w:val="24"/>
                <w:szCs w:val="24"/>
              </w:rPr>
            </w:pPr>
          </w:p>
        </w:tc>
        <w:tc>
          <w:tcPr>
            <w:tcW w:w="1679" w:type="pct"/>
            <w:gridSpan w:val="2"/>
            <w:vAlign w:val="center"/>
          </w:tcPr>
          <w:p w14:paraId="6A6588D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垃圾中转站</w:t>
            </w:r>
          </w:p>
        </w:tc>
        <w:tc>
          <w:tcPr>
            <w:tcW w:w="2708" w:type="pct"/>
            <w:vAlign w:val="center"/>
          </w:tcPr>
          <w:p w14:paraId="3D1F025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工具摆放整齐有序，垃圾存量不超过三分之二并且作到日产日清，定期清洗消毒，无明显积水，无蚊蝇飞舞</w:t>
            </w:r>
          </w:p>
        </w:tc>
      </w:tr>
      <w:tr w14:paraId="4838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pct"/>
            <w:vMerge w:val="continue"/>
            <w:vAlign w:val="center"/>
          </w:tcPr>
          <w:p w14:paraId="75E62D22">
            <w:pPr>
              <w:kinsoku/>
              <w:overflowPunct w:val="0"/>
              <w:rPr>
                <w:rFonts w:ascii="方正仿宋_GB2312" w:hAnsi="方正仿宋_GB2312" w:eastAsia="方正仿宋_GB2312" w:cs="方正仿宋_GB2312"/>
                <w:sz w:val="24"/>
                <w:szCs w:val="24"/>
              </w:rPr>
            </w:pPr>
          </w:p>
        </w:tc>
        <w:tc>
          <w:tcPr>
            <w:tcW w:w="1679" w:type="pct"/>
            <w:gridSpan w:val="2"/>
            <w:vAlign w:val="center"/>
          </w:tcPr>
          <w:p w14:paraId="62FF730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垃圾清运工具</w:t>
            </w:r>
          </w:p>
        </w:tc>
        <w:tc>
          <w:tcPr>
            <w:tcW w:w="2708" w:type="pct"/>
            <w:vAlign w:val="center"/>
          </w:tcPr>
          <w:p w14:paraId="2A7EDAF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清运工具应保持清洁无破损，清运过程中不得产生二次污染</w:t>
            </w:r>
          </w:p>
        </w:tc>
      </w:tr>
    </w:tbl>
    <w:p w14:paraId="6AEB96A8">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6.秩序维护服务标准如下：</w:t>
      </w:r>
    </w:p>
    <w:tbl>
      <w:tblPr>
        <w:tblStyle w:val="8"/>
        <w:tblW w:w="8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3784"/>
        <w:gridCol w:w="3732"/>
      </w:tblGrid>
      <w:tr w14:paraId="3C9E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blHeader/>
          <w:jc w:val="center"/>
        </w:trPr>
        <w:tc>
          <w:tcPr>
            <w:tcW w:w="993" w:type="dxa"/>
            <w:vAlign w:val="center"/>
          </w:tcPr>
          <w:p w14:paraId="7D1A42F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3784" w:type="dxa"/>
            <w:vAlign w:val="center"/>
          </w:tcPr>
          <w:p w14:paraId="7D7C489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内容</w:t>
            </w:r>
          </w:p>
        </w:tc>
        <w:tc>
          <w:tcPr>
            <w:tcW w:w="3732" w:type="dxa"/>
            <w:vAlign w:val="center"/>
          </w:tcPr>
          <w:p w14:paraId="1DF09FF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标准</w:t>
            </w:r>
          </w:p>
        </w:tc>
      </w:tr>
      <w:tr w14:paraId="1DEA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vAlign w:val="center"/>
          </w:tcPr>
          <w:p w14:paraId="3826319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事故</w:t>
            </w:r>
          </w:p>
        </w:tc>
        <w:tc>
          <w:tcPr>
            <w:tcW w:w="3784" w:type="dxa"/>
          </w:tcPr>
          <w:p w14:paraId="32A747C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1．重大责任事件</w:t>
            </w:r>
          </w:p>
        </w:tc>
        <w:tc>
          <w:tcPr>
            <w:tcW w:w="3732" w:type="dxa"/>
          </w:tcPr>
          <w:p w14:paraId="570CD4B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物业管理失职造成的事件、事故率为0</w:t>
            </w:r>
          </w:p>
        </w:tc>
      </w:tr>
      <w:tr w14:paraId="0DBD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3DBE458A">
            <w:pPr>
              <w:kinsoku/>
              <w:overflowPunct w:val="0"/>
              <w:rPr>
                <w:rFonts w:ascii="方正仿宋_GB2312" w:hAnsi="方正仿宋_GB2312" w:eastAsia="方正仿宋_GB2312" w:cs="方正仿宋_GB2312"/>
                <w:sz w:val="24"/>
                <w:szCs w:val="24"/>
              </w:rPr>
            </w:pPr>
          </w:p>
        </w:tc>
        <w:tc>
          <w:tcPr>
            <w:tcW w:w="3784" w:type="dxa"/>
          </w:tcPr>
          <w:p w14:paraId="3FBF635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2．负面关键事件</w:t>
            </w:r>
          </w:p>
        </w:tc>
        <w:tc>
          <w:tcPr>
            <w:tcW w:w="3732" w:type="dxa"/>
          </w:tcPr>
          <w:p w14:paraId="7220064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物业管理失职造成的事件、事故率为0</w:t>
            </w:r>
          </w:p>
        </w:tc>
      </w:tr>
      <w:tr w14:paraId="2A82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vAlign w:val="center"/>
          </w:tcPr>
          <w:p w14:paraId="7F14E65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仪容</w:t>
            </w:r>
          </w:p>
          <w:p w14:paraId="7CB5372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仪表</w:t>
            </w:r>
          </w:p>
        </w:tc>
        <w:tc>
          <w:tcPr>
            <w:tcW w:w="3784" w:type="dxa"/>
          </w:tcPr>
          <w:p w14:paraId="14A63BC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1．着装整洁、仪表端庄</w:t>
            </w:r>
          </w:p>
        </w:tc>
        <w:tc>
          <w:tcPr>
            <w:tcW w:w="3732" w:type="dxa"/>
            <w:vMerge w:val="restart"/>
          </w:tcPr>
          <w:p w14:paraId="6A9C822A">
            <w:pPr>
              <w:kinsoku/>
              <w:overflowPunct w:val="0"/>
              <w:rPr>
                <w:rFonts w:ascii="方正仿宋_GB2312" w:hAnsi="方正仿宋_GB2312" w:eastAsia="方正仿宋_GB2312" w:cs="方正仿宋_GB2312"/>
                <w:sz w:val="24"/>
                <w:szCs w:val="24"/>
              </w:rPr>
            </w:pPr>
          </w:p>
        </w:tc>
      </w:tr>
      <w:tr w14:paraId="0278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2C42F5C0">
            <w:pPr>
              <w:kinsoku/>
              <w:overflowPunct w:val="0"/>
              <w:rPr>
                <w:rFonts w:ascii="方正仿宋_GB2312" w:hAnsi="方正仿宋_GB2312" w:eastAsia="方正仿宋_GB2312" w:cs="方正仿宋_GB2312"/>
                <w:sz w:val="24"/>
                <w:szCs w:val="24"/>
              </w:rPr>
            </w:pPr>
          </w:p>
        </w:tc>
        <w:tc>
          <w:tcPr>
            <w:tcW w:w="3784" w:type="dxa"/>
          </w:tcPr>
          <w:p w14:paraId="550940E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2．站、立、行走姿势端正</w:t>
            </w:r>
          </w:p>
        </w:tc>
        <w:tc>
          <w:tcPr>
            <w:tcW w:w="3732" w:type="dxa"/>
            <w:vMerge w:val="continue"/>
          </w:tcPr>
          <w:p w14:paraId="737BBDD0">
            <w:pPr>
              <w:kinsoku/>
              <w:overflowPunct w:val="0"/>
              <w:rPr>
                <w:rFonts w:ascii="方正仿宋_GB2312" w:hAnsi="方正仿宋_GB2312" w:eastAsia="方正仿宋_GB2312" w:cs="方正仿宋_GB2312"/>
                <w:sz w:val="24"/>
                <w:szCs w:val="24"/>
              </w:rPr>
            </w:pPr>
          </w:p>
        </w:tc>
      </w:tr>
      <w:tr w14:paraId="3DC9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993" w:type="dxa"/>
            <w:vMerge w:val="continue"/>
            <w:vAlign w:val="center"/>
          </w:tcPr>
          <w:p w14:paraId="45601B47">
            <w:pPr>
              <w:kinsoku/>
              <w:overflowPunct w:val="0"/>
              <w:rPr>
                <w:rFonts w:ascii="方正仿宋_GB2312" w:hAnsi="方正仿宋_GB2312" w:eastAsia="方正仿宋_GB2312" w:cs="方正仿宋_GB2312"/>
                <w:sz w:val="24"/>
                <w:szCs w:val="24"/>
              </w:rPr>
            </w:pPr>
          </w:p>
        </w:tc>
        <w:tc>
          <w:tcPr>
            <w:tcW w:w="3784" w:type="dxa"/>
            <w:vAlign w:val="center"/>
          </w:tcPr>
          <w:p w14:paraId="329D787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3．装备佩带齐全、有效</w:t>
            </w:r>
          </w:p>
        </w:tc>
        <w:tc>
          <w:tcPr>
            <w:tcW w:w="3732" w:type="dxa"/>
            <w:vMerge w:val="continue"/>
          </w:tcPr>
          <w:p w14:paraId="1C54A826">
            <w:pPr>
              <w:kinsoku/>
              <w:overflowPunct w:val="0"/>
              <w:rPr>
                <w:rFonts w:ascii="方正仿宋_GB2312" w:hAnsi="方正仿宋_GB2312" w:eastAsia="方正仿宋_GB2312" w:cs="方正仿宋_GB2312"/>
                <w:sz w:val="24"/>
                <w:szCs w:val="24"/>
              </w:rPr>
            </w:pPr>
          </w:p>
        </w:tc>
      </w:tr>
      <w:tr w14:paraId="48B9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993" w:type="dxa"/>
            <w:vMerge w:val="continue"/>
            <w:vAlign w:val="center"/>
          </w:tcPr>
          <w:p w14:paraId="1C52811A">
            <w:pPr>
              <w:kinsoku/>
              <w:overflowPunct w:val="0"/>
              <w:rPr>
                <w:rFonts w:ascii="方正仿宋_GB2312" w:hAnsi="方正仿宋_GB2312" w:eastAsia="方正仿宋_GB2312" w:cs="方正仿宋_GB2312"/>
                <w:sz w:val="24"/>
                <w:szCs w:val="24"/>
              </w:rPr>
            </w:pPr>
          </w:p>
        </w:tc>
        <w:tc>
          <w:tcPr>
            <w:tcW w:w="3784" w:type="dxa"/>
            <w:vAlign w:val="center"/>
          </w:tcPr>
          <w:p w14:paraId="673F78E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4．佩戴工作证件</w:t>
            </w:r>
          </w:p>
        </w:tc>
        <w:tc>
          <w:tcPr>
            <w:tcW w:w="3732" w:type="dxa"/>
            <w:vMerge w:val="continue"/>
          </w:tcPr>
          <w:p w14:paraId="41891CB3">
            <w:pPr>
              <w:kinsoku/>
              <w:overflowPunct w:val="0"/>
              <w:rPr>
                <w:rFonts w:ascii="方正仿宋_GB2312" w:hAnsi="方正仿宋_GB2312" w:eastAsia="方正仿宋_GB2312" w:cs="方正仿宋_GB2312"/>
                <w:sz w:val="24"/>
                <w:szCs w:val="24"/>
              </w:rPr>
            </w:pPr>
          </w:p>
        </w:tc>
      </w:tr>
      <w:tr w14:paraId="64D4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993" w:type="dxa"/>
            <w:vMerge w:val="restart"/>
            <w:vAlign w:val="center"/>
          </w:tcPr>
          <w:p w14:paraId="7690572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服务</w:t>
            </w:r>
          </w:p>
          <w:p w14:paraId="7442461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态度</w:t>
            </w:r>
          </w:p>
        </w:tc>
        <w:tc>
          <w:tcPr>
            <w:tcW w:w="3784" w:type="dxa"/>
            <w:vAlign w:val="center"/>
          </w:tcPr>
          <w:p w14:paraId="796E4BA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1．微笑服务、礼貌用语</w:t>
            </w:r>
          </w:p>
        </w:tc>
        <w:tc>
          <w:tcPr>
            <w:tcW w:w="3732" w:type="dxa"/>
            <w:vMerge w:val="restart"/>
          </w:tcPr>
          <w:p w14:paraId="1BFAEE54">
            <w:pPr>
              <w:kinsoku/>
              <w:overflowPunct w:val="0"/>
              <w:rPr>
                <w:rFonts w:ascii="方正仿宋_GB2312" w:hAnsi="方正仿宋_GB2312" w:eastAsia="方正仿宋_GB2312" w:cs="方正仿宋_GB2312"/>
                <w:sz w:val="24"/>
                <w:szCs w:val="24"/>
              </w:rPr>
            </w:pPr>
          </w:p>
        </w:tc>
      </w:tr>
      <w:tr w14:paraId="01C1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93" w:type="dxa"/>
            <w:vMerge w:val="continue"/>
            <w:vAlign w:val="center"/>
          </w:tcPr>
          <w:p w14:paraId="48AA5FCA">
            <w:pPr>
              <w:kinsoku/>
              <w:overflowPunct w:val="0"/>
              <w:rPr>
                <w:rFonts w:ascii="方正仿宋_GB2312" w:hAnsi="方正仿宋_GB2312" w:eastAsia="方正仿宋_GB2312" w:cs="方正仿宋_GB2312"/>
                <w:sz w:val="24"/>
                <w:szCs w:val="24"/>
              </w:rPr>
            </w:pPr>
          </w:p>
        </w:tc>
        <w:tc>
          <w:tcPr>
            <w:tcW w:w="3784" w:type="dxa"/>
            <w:vAlign w:val="center"/>
          </w:tcPr>
          <w:p w14:paraId="2EB3AB5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2．服务主动、热情</w:t>
            </w:r>
          </w:p>
        </w:tc>
        <w:tc>
          <w:tcPr>
            <w:tcW w:w="3732" w:type="dxa"/>
            <w:vMerge w:val="continue"/>
          </w:tcPr>
          <w:p w14:paraId="3BF415B6">
            <w:pPr>
              <w:kinsoku/>
              <w:overflowPunct w:val="0"/>
              <w:rPr>
                <w:rFonts w:ascii="方正仿宋_GB2312" w:hAnsi="方正仿宋_GB2312" w:eastAsia="方正仿宋_GB2312" w:cs="方正仿宋_GB2312"/>
                <w:sz w:val="24"/>
                <w:szCs w:val="24"/>
              </w:rPr>
            </w:pPr>
          </w:p>
        </w:tc>
      </w:tr>
      <w:tr w14:paraId="13D9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4E72E8A4">
            <w:pPr>
              <w:kinsoku/>
              <w:overflowPunct w:val="0"/>
              <w:rPr>
                <w:rFonts w:ascii="方正仿宋_GB2312" w:hAnsi="方正仿宋_GB2312" w:eastAsia="方正仿宋_GB2312" w:cs="方正仿宋_GB2312"/>
                <w:sz w:val="24"/>
                <w:szCs w:val="24"/>
              </w:rPr>
            </w:pPr>
          </w:p>
        </w:tc>
        <w:tc>
          <w:tcPr>
            <w:tcW w:w="3784" w:type="dxa"/>
            <w:vAlign w:val="center"/>
          </w:tcPr>
          <w:p w14:paraId="1ED0E2C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3．不准与客户发生争吵</w:t>
            </w:r>
          </w:p>
        </w:tc>
        <w:tc>
          <w:tcPr>
            <w:tcW w:w="3732" w:type="dxa"/>
            <w:vMerge w:val="continue"/>
          </w:tcPr>
          <w:p w14:paraId="0A63C1B8">
            <w:pPr>
              <w:kinsoku/>
              <w:overflowPunct w:val="0"/>
              <w:rPr>
                <w:rFonts w:ascii="方正仿宋_GB2312" w:hAnsi="方正仿宋_GB2312" w:eastAsia="方正仿宋_GB2312" w:cs="方正仿宋_GB2312"/>
                <w:sz w:val="24"/>
                <w:szCs w:val="24"/>
              </w:rPr>
            </w:pPr>
          </w:p>
        </w:tc>
      </w:tr>
      <w:tr w14:paraId="2359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vAlign w:val="center"/>
          </w:tcPr>
          <w:p w14:paraId="2EF53C6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工作</w:t>
            </w:r>
          </w:p>
          <w:p w14:paraId="2B43E21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纪律</w:t>
            </w:r>
          </w:p>
        </w:tc>
        <w:tc>
          <w:tcPr>
            <w:tcW w:w="3784" w:type="dxa"/>
          </w:tcPr>
          <w:p w14:paraId="03CA32B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1．按规定填写各记录、表格，做到记录真实，字迹整洁</w:t>
            </w:r>
          </w:p>
        </w:tc>
        <w:tc>
          <w:tcPr>
            <w:tcW w:w="3732" w:type="dxa"/>
            <w:vMerge w:val="restart"/>
          </w:tcPr>
          <w:p w14:paraId="78A51405">
            <w:pPr>
              <w:kinsoku/>
              <w:overflowPunct w:val="0"/>
              <w:rPr>
                <w:rFonts w:ascii="方正仿宋_GB2312" w:hAnsi="方正仿宋_GB2312" w:eastAsia="方正仿宋_GB2312" w:cs="方正仿宋_GB2312"/>
                <w:sz w:val="24"/>
                <w:szCs w:val="24"/>
              </w:rPr>
            </w:pPr>
          </w:p>
        </w:tc>
      </w:tr>
      <w:tr w14:paraId="6127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403F0CA4">
            <w:pPr>
              <w:kinsoku/>
              <w:overflowPunct w:val="0"/>
              <w:rPr>
                <w:rFonts w:ascii="方正仿宋_GB2312" w:hAnsi="方正仿宋_GB2312" w:eastAsia="方正仿宋_GB2312" w:cs="方正仿宋_GB2312"/>
                <w:sz w:val="24"/>
                <w:szCs w:val="24"/>
              </w:rPr>
            </w:pPr>
          </w:p>
        </w:tc>
        <w:tc>
          <w:tcPr>
            <w:tcW w:w="3784" w:type="dxa"/>
          </w:tcPr>
          <w:p w14:paraId="5977638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2．工作时间不得脱岗</w:t>
            </w:r>
          </w:p>
        </w:tc>
        <w:tc>
          <w:tcPr>
            <w:tcW w:w="3732" w:type="dxa"/>
            <w:vMerge w:val="continue"/>
          </w:tcPr>
          <w:p w14:paraId="661A457E">
            <w:pPr>
              <w:kinsoku/>
              <w:overflowPunct w:val="0"/>
              <w:rPr>
                <w:rFonts w:ascii="方正仿宋_GB2312" w:hAnsi="方正仿宋_GB2312" w:eastAsia="方正仿宋_GB2312" w:cs="方正仿宋_GB2312"/>
                <w:sz w:val="24"/>
                <w:szCs w:val="24"/>
              </w:rPr>
            </w:pPr>
          </w:p>
        </w:tc>
      </w:tr>
      <w:tr w14:paraId="53CA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03BD1DAD">
            <w:pPr>
              <w:kinsoku/>
              <w:overflowPunct w:val="0"/>
              <w:rPr>
                <w:rFonts w:ascii="方正仿宋_GB2312" w:hAnsi="方正仿宋_GB2312" w:eastAsia="方正仿宋_GB2312" w:cs="方正仿宋_GB2312"/>
                <w:sz w:val="24"/>
                <w:szCs w:val="24"/>
              </w:rPr>
            </w:pPr>
          </w:p>
        </w:tc>
        <w:tc>
          <w:tcPr>
            <w:tcW w:w="3784" w:type="dxa"/>
          </w:tcPr>
          <w:p w14:paraId="6574F9F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3．工作时间禁止喝酒、抽烟、吃东西</w:t>
            </w:r>
          </w:p>
        </w:tc>
        <w:tc>
          <w:tcPr>
            <w:tcW w:w="3732" w:type="dxa"/>
            <w:vMerge w:val="continue"/>
          </w:tcPr>
          <w:p w14:paraId="0A7CD497">
            <w:pPr>
              <w:kinsoku/>
              <w:overflowPunct w:val="0"/>
              <w:rPr>
                <w:rFonts w:ascii="方正仿宋_GB2312" w:hAnsi="方正仿宋_GB2312" w:eastAsia="方正仿宋_GB2312" w:cs="方正仿宋_GB2312"/>
                <w:sz w:val="24"/>
                <w:szCs w:val="24"/>
              </w:rPr>
            </w:pPr>
          </w:p>
        </w:tc>
      </w:tr>
      <w:tr w14:paraId="668C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6DCC5E9F">
            <w:pPr>
              <w:kinsoku/>
              <w:overflowPunct w:val="0"/>
              <w:rPr>
                <w:rFonts w:ascii="方正仿宋_GB2312" w:hAnsi="方正仿宋_GB2312" w:eastAsia="方正仿宋_GB2312" w:cs="方正仿宋_GB2312"/>
                <w:sz w:val="24"/>
                <w:szCs w:val="24"/>
              </w:rPr>
            </w:pPr>
          </w:p>
        </w:tc>
        <w:tc>
          <w:tcPr>
            <w:tcW w:w="3784" w:type="dxa"/>
          </w:tcPr>
          <w:p w14:paraId="050FCCF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4．工作环境清洁、桌面、抽屉无杂物</w:t>
            </w:r>
          </w:p>
        </w:tc>
        <w:tc>
          <w:tcPr>
            <w:tcW w:w="3732" w:type="dxa"/>
            <w:vMerge w:val="continue"/>
          </w:tcPr>
          <w:p w14:paraId="7ED70A3F">
            <w:pPr>
              <w:kinsoku/>
              <w:overflowPunct w:val="0"/>
              <w:rPr>
                <w:rFonts w:ascii="方正仿宋_GB2312" w:hAnsi="方正仿宋_GB2312" w:eastAsia="方正仿宋_GB2312" w:cs="方正仿宋_GB2312"/>
                <w:sz w:val="24"/>
                <w:szCs w:val="24"/>
              </w:rPr>
            </w:pPr>
          </w:p>
        </w:tc>
      </w:tr>
      <w:tr w14:paraId="0D0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vAlign w:val="center"/>
          </w:tcPr>
          <w:p w14:paraId="7925E89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工作</w:t>
            </w:r>
          </w:p>
          <w:p w14:paraId="113F326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技能</w:t>
            </w:r>
          </w:p>
        </w:tc>
        <w:tc>
          <w:tcPr>
            <w:tcW w:w="3784" w:type="dxa"/>
          </w:tcPr>
          <w:p w14:paraId="7AAAF15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1．熟悉报警系统</w:t>
            </w:r>
          </w:p>
        </w:tc>
        <w:tc>
          <w:tcPr>
            <w:tcW w:w="3732" w:type="dxa"/>
            <w:vMerge w:val="restart"/>
          </w:tcPr>
          <w:p w14:paraId="2014F79F">
            <w:pPr>
              <w:kinsoku/>
              <w:overflowPunct w:val="0"/>
              <w:rPr>
                <w:rFonts w:ascii="方正仿宋_GB2312" w:hAnsi="方正仿宋_GB2312" w:eastAsia="方正仿宋_GB2312" w:cs="方正仿宋_GB2312"/>
                <w:sz w:val="24"/>
                <w:szCs w:val="24"/>
              </w:rPr>
            </w:pPr>
          </w:p>
        </w:tc>
      </w:tr>
      <w:tr w14:paraId="673F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0B0B4A4C">
            <w:pPr>
              <w:kinsoku/>
              <w:overflowPunct w:val="0"/>
              <w:rPr>
                <w:rFonts w:ascii="方正仿宋_GB2312" w:hAnsi="方正仿宋_GB2312" w:eastAsia="方正仿宋_GB2312" w:cs="方正仿宋_GB2312"/>
                <w:sz w:val="24"/>
                <w:szCs w:val="24"/>
              </w:rPr>
            </w:pPr>
          </w:p>
        </w:tc>
        <w:tc>
          <w:tcPr>
            <w:tcW w:w="3784" w:type="dxa"/>
          </w:tcPr>
          <w:p w14:paraId="6BCAFC2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2．熟悉设备的操作</w:t>
            </w:r>
          </w:p>
        </w:tc>
        <w:tc>
          <w:tcPr>
            <w:tcW w:w="3732" w:type="dxa"/>
            <w:vMerge w:val="continue"/>
          </w:tcPr>
          <w:p w14:paraId="54D4FC37">
            <w:pPr>
              <w:kinsoku/>
              <w:overflowPunct w:val="0"/>
              <w:rPr>
                <w:rFonts w:ascii="方正仿宋_GB2312" w:hAnsi="方正仿宋_GB2312" w:eastAsia="方正仿宋_GB2312" w:cs="方正仿宋_GB2312"/>
                <w:sz w:val="24"/>
                <w:szCs w:val="24"/>
              </w:rPr>
            </w:pPr>
          </w:p>
        </w:tc>
      </w:tr>
      <w:tr w14:paraId="05E3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0AF20904">
            <w:pPr>
              <w:kinsoku/>
              <w:overflowPunct w:val="0"/>
              <w:rPr>
                <w:rFonts w:ascii="方正仿宋_GB2312" w:hAnsi="方正仿宋_GB2312" w:eastAsia="方正仿宋_GB2312" w:cs="方正仿宋_GB2312"/>
                <w:sz w:val="24"/>
                <w:szCs w:val="24"/>
              </w:rPr>
            </w:pPr>
          </w:p>
        </w:tc>
        <w:tc>
          <w:tcPr>
            <w:tcW w:w="3784" w:type="dxa"/>
          </w:tcPr>
          <w:p w14:paraId="6D9D7A1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3．熟悉岗位工作规章制度和流程</w:t>
            </w:r>
          </w:p>
        </w:tc>
        <w:tc>
          <w:tcPr>
            <w:tcW w:w="3732" w:type="dxa"/>
            <w:vMerge w:val="continue"/>
          </w:tcPr>
          <w:p w14:paraId="2380EC2D">
            <w:pPr>
              <w:kinsoku/>
              <w:overflowPunct w:val="0"/>
              <w:rPr>
                <w:rFonts w:ascii="方正仿宋_GB2312" w:hAnsi="方正仿宋_GB2312" w:eastAsia="方正仿宋_GB2312" w:cs="方正仿宋_GB2312"/>
                <w:sz w:val="24"/>
                <w:szCs w:val="24"/>
              </w:rPr>
            </w:pPr>
          </w:p>
        </w:tc>
      </w:tr>
      <w:tr w14:paraId="5C41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vAlign w:val="center"/>
          </w:tcPr>
          <w:p w14:paraId="4ECD624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出入口</w:t>
            </w:r>
          </w:p>
          <w:p w14:paraId="0028D04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w:t>
            </w:r>
          </w:p>
        </w:tc>
        <w:tc>
          <w:tcPr>
            <w:tcW w:w="3784" w:type="dxa"/>
            <w:vAlign w:val="center"/>
          </w:tcPr>
          <w:p w14:paraId="2929717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1．礼仪值守服务</w:t>
            </w:r>
          </w:p>
        </w:tc>
        <w:tc>
          <w:tcPr>
            <w:tcW w:w="3732" w:type="dxa"/>
            <w:vAlign w:val="center"/>
          </w:tcPr>
          <w:p w14:paraId="695B5896">
            <w:pPr>
              <w:kinsoku/>
              <w:overflowPunct w:val="0"/>
              <w:rPr>
                <w:rFonts w:ascii="方正仿宋_GB2312" w:hAnsi="方正仿宋_GB2312" w:eastAsia="方正仿宋_GB2312" w:cs="方正仿宋_GB2312"/>
                <w:sz w:val="24"/>
                <w:szCs w:val="24"/>
              </w:rPr>
            </w:pPr>
          </w:p>
        </w:tc>
      </w:tr>
      <w:tr w14:paraId="0FED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40F0E143">
            <w:pPr>
              <w:kinsoku/>
              <w:overflowPunct w:val="0"/>
              <w:rPr>
                <w:rFonts w:ascii="方正仿宋_GB2312" w:hAnsi="方正仿宋_GB2312" w:eastAsia="方正仿宋_GB2312" w:cs="方正仿宋_GB2312"/>
                <w:sz w:val="24"/>
                <w:szCs w:val="24"/>
              </w:rPr>
            </w:pPr>
          </w:p>
        </w:tc>
        <w:tc>
          <w:tcPr>
            <w:tcW w:w="3784" w:type="dxa"/>
            <w:vAlign w:val="center"/>
          </w:tcPr>
          <w:p w14:paraId="5A6E0F3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2．内部人员进入确认</w:t>
            </w:r>
          </w:p>
        </w:tc>
        <w:tc>
          <w:tcPr>
            <w:tcW w:w="3732" w:type="dxa"/>
            <w:vAlign w:val="center"/>
          </w:tcPr>
          <w:p w14:paraId="4E9FB66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确认率100%，24小时在岗</w:t>
            </w:r>
          </w:p>
        </w:tc>
      </w:tr>
      <w:tr w14:paraId="063E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51F8A8B7">
            <w:pPr>
              <w:kinsoku/>
              <w:overflowPunct w:val="0"/>
              <w:rPr>
                <w:rFonts w:ascii="方正仿宋_GB2312" w:hAnsi="方正仿宋_GB2312" w:eastAsia="方正仿宋_GB2312" w:cs="方正仿宋_GB2312"/>
                <w:sz w:val="24"/>
                <w:szCs w:val="24"/>
              </w:rPr>
            </w:pPr>
          </w:p>
        </w:tc>
        <w:tc>
          <w:tcPr>
            <w:tcW w:w="3784" w:type="dxa"/>
            <w:vAlign w:val="center"/>
          </w:tcPr>
          <w:p w14:paraId="51C9925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3．识别并制止闲杂人员入内</w:t>
            </w:r>
          </w:p>
        </w:tc>
        <w:tc>
          <w:tcPr>
            <w:tcW w:w="3732" w:type="dxa"/>
            <w:vAlign w:val="center"/>
          </w:tcPr>
          <w:p w14:paraId="7F952A3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确认率100%，24小时在岗</w:t>
            </w:r>
          </w:p>
        </w:tc>
      </w:tr>
      <w:tr w14:paraId="6551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1DB32F7D">
            <w:pPr>
              <w:kinsoku/>
              <w:overflowPunct w:val="0"/>
              <w:rPr>
                <w:rFonts w:ascii="方正仿宋_GB2312" w:hAnsi="方正仿宋_GB2312" w:eastAsia="方正仿宋_GB2312" w:cs="方正仿宋_GB2312"/>
                <w:sz w:val="24"/>
                <w:szCs w:val="24"/>
              </w:rPr>
            </w:pPr>
          </w:p>
        </w:tc>
        <w:tc>
          <w:tcPr>
            <w:tcW w:w="3784" w:type="dxa"/>
            <w:vAlign w:val="center"/>
          </w:tcPr>
          <w:p w14:paraId="0F99FA3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4．责任区物品设备设施看护</w:t>
            </w:r>
          </w:p>
        </w:tc>
        <w:tc>
          <w:tcPr>
            <w:tcW w:w="3732" w:type="dxa"/>
            <w:vAlign w:val="center"/>
          </w:tcPr>
          <w:p w14:paraId="6AC4D1B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管理率100%，24小时在岗</w:t>
            </w:r>
          </w:p>
        </w:tc>
      </w:tr>
      <w:tr w14:paraId="4760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63995AFF">
            <w:pPr>
              <w:kinsoku/>
              <w:overflowPunct w:val="0"/>
              <w:rPr>
                <w:rFonts w:ascii="方正仿宋_GB2312" w:hAnsi="方正仿宋_GB2312" w:eastAsia="方正仿宋_GB2312" w:cs="方正仿宋_GB2312"/>
                <w:sz w:val="24"/>
                <w:szCs w:val="24"/>
              </w:rPr>
            </w:pPr>
          </w:p>
        </w:tc>
        <w:tc>
          <w:tcPr>
            <w:tcW w:w="3784" w:type="dxa"/>
            <w:vAlign w:val="center"/>
          </w:tcPr>
          <w:p w14:paraId="0EC3A49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5．为来宾提供咨询导向</w:t>
            </w:r>
          </w:p>
        </w:tc>
        <w:tc>
          <w:tcPr>
            <w:tcW w:w="3732" w:type="dxa"/>
            <w:vAlign w:val="center"/>
          </w:tcPr>
          <w:p w14:paraId="4FEB90E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管理率100%，24小时在岗</w:t>
            </w:r>
          </w:p>
        </w:tc>
      </w:tr>
      <w:tr w14:paraId="1850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75F53DEE">
            <w:pPr>
              <w:kinsoku/>
              <w:overflowPunct w:val="0"/>
              <w:rPr>
                <w:rFonts w:ascii="方正仿宋_GB2312" w:hAnsi="方正仿宋_GB2312" w:eastAsia="方正仿宋_GB2312" w:cs="方正仿宋_GB2312"/>
                <w:sz w:val="24"/>
                <w:szCs w:val="24"/>
              </w:rPr>
            </w:pPr>
          </w:p>
        </w:tc>
        <w:tc>
          <w:tcPr>
            <w:tcW w:w="3784" w:type="dxa"/>
            <w:vAlign w:val="center"/>
          </w:tcPr>
          <w:p w14:paraId="7166965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6．物品出入审批确认</w:t>
            </w:r>
          </w:p>
        </w:tc>
        <w:tc>
          <w:tcPr>
            <w:tcW w:w="3732" w:type="dxa"/>
            <w:vAlign w:val="center"/>
          </w:tcPr>
          <w:p w14:paraId="6FE0A1D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管理率100%，24小时在岗</w:t>
            </w:r>
          </w:p>
        </w:tc>
      </w:tr>
      <w:tr w14:paraId="40C9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vAlign w:val="center"/>
          </w:tcPr>
          <w:p w14:paraId="2CEA1C94">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楼宇内公共区域巡逻</w:t>
            </w:r>
          </w:p>
          <w:p w14:paraId="193FD2B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检查</w:t>
            </w:r>
          </w:p>
        </w:tc>
        <w:tc>
          <w:tcPr>
            <w:tcW w:w="3784" w:type="dxa"/>
            <w:vAlign w:val="center"/>
          </w:tcPr>
          <w:p w14:paraId="68A86D3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1．公共区重点部位日常安全巡视</w:t>
            </w:r>
          </w:p>
        </w:tc>
        <w:tc>
          <w:tcPr>
            <w:tcW w:w="3732" w:type="dxa"/>
            <w:vMerge w:val="restart"/>
            <w:vAlign w:val="center"/>
          </w:tcPr>
          <w:p w14:paraId="4354C4C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重点部位：6：00-20：00每2小时巡逻1次；</w:t>
            </w:r>
          </w:p>
          <w:p w14:paraId="47928C12">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20：00-6：00(次日)每4小时巡逻1次；</w:t>
            </w:r>
          </w:p>
          <w:p w14:paraId="7B3AA9A6">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公共区域无死角，各种情况及时发现，边处理边报告并详细记录。</w:t>
            </w:r>
          </w:p>
          <w:p w14:paraId="52191BC1">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处理率100%，突发事件3分钟到达现场。</w:t>
            </w:r>
          </w:p>
        </w:tc>
      </w:tr>
      <w:tr w14:paraId="177F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75AF11C6">
            <w:pPr>
              <w:kinsoku/>
              <w:overflowPunct w:val="0"/>
              <w:rPr>
                <w:rFonts w:ascii="方正仿宋_GB2312" w:hAnsi="方正仿宋_GB2312" w:eastAsia="方正仿宋_GB2312" w:cs="方正仿宋_GB2312"/>
                <w:sz w:val="24"/>
                <w:szCs w:val="24"/>
              </w:rPr>
            </w:pPr>
          </w:p>
        </w:tc>
        <w:tc>
          <w:tcPr>
            <w:tcW w:w="3784" w:type="dxa"/>
            <w:vAlign w:val="center"/>
          </w:tcPr>
          <w:p w14:paraId="5458B8D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2．公共区域设施设备及物品状况确认</w:t>
            </w:r>
          </w:p>
        </w:tc>
        <w:tc>
          <w:tcPr>
            <w:tcW w:w="3732" w:type="dxa"/>
            <w:vMerge w:val="continue"/>
            <w:vAlign w:val="center"/>
          </w:tcPr>
          <w:p w14:paraId="4409F8FB">
            <w:pPr>
              <w:kinsoku/>
              <w:overflowPunct w:val="0"/>
              <w:rPr>
                <w:rFonts w:ascii="方正仿宋_GB2312" w:hAnsi="方正仿宋_GB2312" w:eastAsia="方正仿宋_GB2312" w:cs="方正仿宋_GB2312"/>
                <w:sz w:val="24"/>
                <w:szCs w:val="24"/>
              </w:rPr>
            </w:pPr>
          </w:p>
        </w:tc>
      </w:tr>
      <w:tr w14:paraId="0CEB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993" w:type="dxa"/>
            <w:vMerge w:val="continue"/>
            <w:vAlign w:val="center"/>
          </w:tcPr>
          <w:p w14:paraId="0ED8D334">
            <w:pPr>
              <w:kinsoku/>
              <w:overflowPunct w:val="0"/>
              <w:rPr>
                <w:rFonts w:ascii="方正仿宋_GB2312" w:hAnsi="方正仿宋_GB2312" w:eastAsia="方正仿宋_GB2312" w:cs="方正仿宋_GB2312"/>
                <w:sz w:val="24"/>
                <w:szCs w:val="24"/>
              </w:rPr>
            </w:pPr>
          </w:p>
        </w:tc>
        <w:tc>
          <w:tcPr>
            <w:tcW w:w="3784" w:type="dxa"/>
            <w:vAlign w:val="center"/>
          </w:tcPr>
          <w:p w14:paraId="2E29401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3．夜间重点检查门窗关闭、灯具开关、门禁门锁开关完好状况</w:t>
            </w:r>
          </w:p>
        </w:tc>
        <w:tc>
          <w:tcPr>
            <w:tcW w:w="3732" w:type="dxa"/>
            <w:vMerge w:val="continue"/>
            <w:vAlign w:val="center"/>
          </w:tcPr>
          <w:p w14:paraId="39D5A2EF">
            <w:pPr>
              <w:kinsoku/>
              <w:overflowPunct w:val="0"/>
              <w:rPr>
                <w:rFonts w:ascii="方正仿宋_GB2312" w:hAnsi="方正仿宋_GB2312" w:eastAsia="方正仿宋_GB2312" w:cs="方正仿宋_GB2312"/>
                <w:sz w:val="24"/>
                <w:szCs w:val="24"/>
              </w:rPr>
            </w:pPr>
          </w:p>
        </w:tc>
      </w:tr>
      <w:tr w14:paraId="5C14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vAlign w:val="center"/>
          </w:tcPr>
          <w:p w14:paraId="1D366F1C">
            <w:pPr>
              <w:kinsoku/>
              <w:overflowPunct w:val="0"/>
              <w:rPr>
                <w:rFonts w:ascii="方正仿宋_GB2312" w:hAnsi="方正仿宋_GB2312" w:eastAsia="方正仿宋_GB2312" w:cs="方正仿宋_GB2312"/>
                <w:sz w:val="24"/>
                <w:szCs w:val="24"/>
              </w:rPr>
            </w:pPr>
          </w:p>
        </w:tc>
        <w:tc>
          <w:tcPr>
            <w:tcW w:w="3784" w:type="dxa"/>
            <w:vAlign w:val="center"/>
          </w:tcPr>
          <w:p w14:paraId="2B6F05F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4．洗手间、楼梯间、天台等死角部位有无人员隐藏</w:t>
            </w:r>
          </w:p>
        </w:tc>
        <w:tc>
          <w:tcPr>
            <w:tcW w:w="3732" w:type="dxa"/>
            <w:vMerge w:val="continue"/>
            <w:vAlign w:val="center"/>
          </w:tcPr>
          <w:p w14:paraId="5D47680C">
            <w:pPr>
              <w:kinsoku/>
              <w:overflowPunct w:val="0"/>
              <w:rPr>
                <w:rFonts w:ascii="方正仿宋_GB2312" w:hAnsi="方正仿宋_GB2312" w:eastAsia="方正仿宋_GB2312" w:cs="方正仿宋_GB2312"/>
                <w:sz w:val="24"/>
                <w:szCs w:val="24"/>
              </w:rPr>
            </w:pPr>
          </w:p>
        </w:tc>
      </w:tr>
      <w:tr w14:paraId="5BD1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20909BFD">
            <w:pPr>
              <w:kinsoku/>
              <w:overflowPunct w:val="0"/>
              <w:rPr>
                <w:rFonts w:ascii="方正仿宋_GB2312" w:hAnsi="方正仿宋_GB2312" w:eastAsia="方正仿宋_GB2312" w:cs="方正仿宋_GB2312"/>
                <w:sz w:val="24"/>
                <w:szCs w:val="24"/>
              </w:rPr>
            </w:pPr>
          </w:p>
        </w:tc>
        <w:tc>
          <w:tcPr>
            <w:tcW w:w="3784" w:type="dxa"/>
          </w:tcPr>
          <w:p w14:paraId="457AEFE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5．临时施工现场是否违规作业</w:t>
            </w:r>
          </w:p>
        </w:tc>
        <w:tc>
          <w:tcPr>
            <w:tcW w:w="3732" w:type="dxa"/>
            <w:vMerge w:val="continue"/>
          </w:tcPr>
          <w:p w14:paraId="327599D9">
            <w:pPr>
              <w:kinsoku/>
              <w:overflowPunct w:val="0"/>
              <w:rPr>
                <w:rFonts w:ascii="方正仿宋_GB2312" w:hAnsi="方正仿宋_GB2312" w:eastAsia="方正仿宋_GB2312" w:cs="方正仿宋_GB2312"/>
                <w:sz w:val="24"/>
                <w:szCs w:val="24"/>
              </w:rPr>
            </w:pPr>
          </w:p>
        </w:tc>
      </w:tr>
      <w:tr w14:paraId="482C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06E50BB7">
            <w:pPr>
              <w:kinsoku/>
              <w:overflowPunct w:val="0"/>
              <w:rPr>
                <w:rFonts w:ascii="方正仿宋_GB2312" w:hAnsi="方正仿宋_GB2312" w:eastAsia="方正仿宋_GB2312" w:cs="方正仿宋_GB2312"/>
                <w:sz w:val="24"/>
                <w:szCs w:val="24"/>
              </w:rPr>
            </w:pPr>
          </w:p>
        </w:tc>
        <w:tc>
          <w:tcPr>
            <w:tcW w:w="3784" w:type="dxa"/>
          </w:tcPr>
          <w:p w14:paraId="35B0330C">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6．按采购人要求局部夜间清场</w:t>
            </w:r>
          </w:p>
        </w:tc>
        <w:tc>
          <w:tcPr>
            <w:tcW w:w="3732" w:type="dxa"/>
            <w:vMerge w:val="continue"/>
          </w:tcPr>
          <w:p w14:paraId="25B848AE">
            <w:pPr>
              <w:kinsoku/>
              <w:overflowPunct w:val="0"/>
              <w:rPr>
                <w:rFonts w:ascii="方正仿宋_GB2312" w:hAnsi="方正仿宋_GB2312" w:eastAsia="方正仿宋_GB2312" w:cs="方正仿宋_GB2312"/>
                <w:sz w:val="24"/>
                <w:szCs w:val="24"/>
              </w:rPr>
            </w:pPr>
          </w:p>
        </w:tc>
      </w:tr>
      <w:tr w14:paraId="013D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7F72FB50">
            <w:pPr>
              <w:kinsoku/>
              <w:overflowPunct w:val="0"/>
              <w:rPr>
                <w:rFonts w:ascii="方正仿宋_GB2312" w:hAnsi="方正仿宋_GB2312" w:eastAsia="方正仿宋_GB2312" w:cs="方正仿宋_GB2312"/>
                <w:sz w:val="24"/>
                <w:szCs w:val="24"/>
              </w:rPr>
            </w:pPr>
          </w:p>
        </w:tc>
        <w:tc>
          <w:tcPr>
            <w:tcW w:w="3784" w:type="dxa"/>
          </w:tcPr>
          <w:p w14:paraId="03210B7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7．接受各岗的报告，协助处理各种突发情况</w:t>
            </w:r>
          </w:p>
        </w:tc>
        <w:tc>
          <w:tcPr>
            <w:tcW w:w="3732" w:type="dxa"/>
            <w:vMerge w:val="continue"/>
          </w:tcPr>
          <w:p w14:paraId="43CBF382">
            <w:pPr>
              <w:kinsoku/>
              <w:overflowPunct w:val="0"/>
              <w:rPr>
                <w:rFonts w:ascii="方正仿宋_GB2312" w:hAnsi="方正仿宋_GB2312" w:eastAsia="方正仿宋_GB2312" w:cs="方正仿宋_GB2312"/>
                <w:sz w:val="24"/>
                <w:szCs w:val="24"/>
              </w:rPr>
            </w:pPr>
          </w:p>
        </w:tc>
      </w:tr>
      <w:tr w14:paraId="35C4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4F3E8DF2">
            <w:pPr>
              <w:kinsoku/>
              <w:overflowPunct w:val="0"/>
              <w:rPr>
                <w:rFonts w:ascii="方正仿宋_GB2312" w:hAnsi="方正仿宋_GB2312" w:eastAsia="方正仿宋_GB2312" w:cs="方正仿宋_GB2312"/>
                <w:sz w:val="24"/>
                <w:szCs w:val="24"/>
              </w:rPr>
            </w:pPr>
          </w:p>
        </w:tc>
        <w:tc>
          <w:tcPr>
            <w:tcW w:w="3784" w:type="dxa"/>
          </w:tcPr>
          <w:p w14:paraId="6FB25C0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8．管理区域有无形迹可疑人员</w:t>
            </w:r>
          </w:p>
        </w:tc>
        <w:tc>
          <w:tcPr>
            <w:tcW w:w="3732" w:type="dxa"/>
            <w:vMerge w:val="continue"/>
          </w:tcPr>
          <w:p w14:paraId="49CAC228">
            <w:pPr>
              <w:kinsoku/>
              <w:overflowPunct w:val="0"/>
              <w:rPr>
                <w:rFonts w:ascii="方正仿宋_GB2312" w:hAnsi="方正仿宋_GB2312" w:eastAsia="方正仿宋_GB2312" w:cs="方正仿宋_GB2312"/>
                <w:sz w:val="24"/>
                <w:szCs w:val="24"/>
              </w:rPr>
            </w:pPr>
          </w:p>
        </w:tc>
      </w:tr>
      <w:tr w14:paraId="308A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172A9D61">
            <w:pPr>
              <w:kinsoku/>
              <w:overflowPunct w:val="0"/>
              <w:rPr>
                <w:rFonts w:ascii="方正仿宋_GB2312" w:hAnsi="方正仿宋_GB2312" w:eastAsia="方正仿宋_GB2312" w:cs="方正仿宋_GB2312"/>
                <w:sz w:val="24"/>
                <w:szCs w:val="24"/>
              </w:rPr>
            </w:pPr>
          </w:p>
        </w:tc>
        <w:tc>
          <w:tcPr>
            <w:tcW w:w="3784" w:type="dxa"/>
          </w:tcPr>
          <w:p w14:paraId="54DFB9E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9．车辆是否违规停放</w:t>
            </w:r>
          </w:p>
        </w:tc>
        <w:tc>
          <w:tcPr>
            <w:tcW w:w="3732" w:type="dxa"/>
            <w:vMerge w:val="continue"/>
          </w:tcPr>
          <w:p w14:paraId="04D6D18F">
            <w:pPr>
              <w:kinsoku/>
              <w:overflowPunct w:val="0"/>
              <w:rPr>
                <w:rFonts w:ascii="方正仿宋_GB2312" w:hAnsi="方正仿宋_GB2312" w:eastAsia="方正仿宋_GB2312" w:cs="方正仿宋_GB2312"/>
                <w:sz w:val="24"/>
                <w:szCs w:val="24"/>
              </w:rPr>
            </w:pPr>
          </w:p>
        </w:tc>
      </w:tr>
      <w:tr w14:paraId="21EB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44ED53F3">
            <w:pPr>
              <w:kinsoku/>
              <w:overflowPunct w:val="0"/>
              <w:rPr>
                <w:rFonts w:ascii="方正仿宋_GB2312" w:hAnsi="方正仿宋_GB2312" w:eastAsia="方正仿宋_GB2312" w:cs="方正仿宋_GB2312"/>
                <w:sz w:val="24"/>
                <w:szCs w:val="24"/>
              </w:rPr>
            </w:pPr>
          </w:p>
        </w:tc>
        <w:tc>
          <w:tcPr>
            <w:tcW w:w="3784" w:type="dxa"/>
          </w:tcPr>
          <w:p w14:paraId="11C92EE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10．规劝在车场和车道搞文体娱乐活动的人员</w:t>
            </w:r>
          </w:p>
        </w:tc>
        <w:tc>
          <w:tcPr>
            <w:tcW w:w="3732" w:type="dxa"/>
            <w:vMerge w:val="continue"/>
          </w:tcPr>
          <w:p w14:paraId="26AF370F">
            <w:pPr>
              <w:kinsoku/>
              <w:overflowPunct w:val="0"/>
              <w:rPr>
                <w:rFonts w:ascii="方正仿宋_GB2312" w:hAnsi="方正仿宋_GB2312" w:eastAsia="方正仿宋_GB2312" w:cs="方正仿宋_GB2312"/>
                <w:sz w:val="24"/>
                <w:szCs w:val="24"/>
              </w:rPr>
            </w:pPr>
          </w:p>
        </w:tc>
      </w:tr>
      <w:tr w14:paraId="54BC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tcPr>
          <w:p w14:paraId="440DA38E">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停车场</w:t>
            </w:r>
          </w:p>
          <w:p w14:paraId="5754F33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w:t>
            </w:r>
          </w:p>
        </w:tc>
        <w:tc>
          <w:tcPr>
            <w:tcW w:w="3784" w:type="dxa"/>
            <w:vAlign w:val="center"/>
          </w:tcPr>
          <w:p w14:paraId="07B4281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1．车辆违章停放管理</w:t>
            </w:r>
          </w:p>
        </w:tc>
        <w:tc>
          <w:tcPr>
            <w:tcW w:w="3732" w:type="dxa"/>
          </w:tcPr>
          <w:p w14:paraId="7FF9AC5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管理率100% </w:t>
            </w:r>
          </w:p>
        </w:tc>
      </w:tr>
      <w:tr w14:paraId="5B27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2D3037D7">
            <w:pPr>
              <w:kinsoku/>
              <w:overflowPunct w:val="0"/>
              <w:rPr>
                <w:rFonts w:ascii="方正仿宋_GB2312" w:hAnsi="方正仿宋_GB2312" w:eastAsia="方正仿宋_GB2312" w:cs="方正仿宋_GB2312"/>
                <w:sz w:val="24"/>
                <w:szCs w:val="24"/>
              </w:rPr>
            </w:pPr>
          </w:p>
        </w:tc>
        <w:tc>
          <w:tcPr>
            <w:tcW w:w="3784" w:type="dxa"/>
            <w:vAlign w:val="center"/>
          </w:tcPr>
          <w:p w14:paraId="5C9C57A9">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2．车辆停放安全管理</w:t>
            </w:r>
          </w:p>
        </w:tc>
        <w:tc>
          <w:tcPr>
            <w:tcW w:w="3732" w:type="dxa"/>
          </w:tcPr>
          <w:p w14:paraId="51BD64D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失职责任0%</w:t>
            </w:r>
          </w:p>
        </w:tc>
      </w:tr>
      <w:tr w14:paraId="7F4C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44F766D6">
            <w:pPr>
              <w:kinsoku/>
              <w:overflowPunct w:val="0"/>
              <w:rPr>
                <w:rFonts w:ascii="方正仿宋_GB2312" w:hAnsi="方正仿宋_GB2312" w:eastAsia="方正仿宋_GB2312" w:cs="方正仿宋_GB2312"/>
                <w:sz w:val="24"/>
                <w:szCs w:val="24"/>
              </w:rPr>
            </w:pPr>
          </w:p>
        </w:tc>
        <w:tc>
          <w:tcPr>
            <w:tcW w:w="3784" w:type="dxa"/>
            <w:vAlign w:val="center"/>
          </w:tcPr>
          <w:p w14:paraId="1AF3EDB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3．看护临时封存的备案车辆</w:t>
            </w:r>
          </w:p>
        </w:tc>
        <w:tc>
          <w:tcPr>
            <w:tcW w:w="3732" w:type="dxa"/>
          </w:tcPr>
          <w:p w14:paraId="17B7620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完好率100%</w:t>
            </w:r>
          </w:p>
        </w:tc>
      </w:tr>
      <w:tr w14:paraId="0818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993" w:type="dxa"/>
            <w:vMerge w:val="continue"/>
          </w:tcPr>
          <w:p w14:paraId="28EAA192">
            <w:pPr>
              <w:kinsoku/>
              <w:overflowPunct w:val="0"/>
              <w:rPr>
                <w:rFonts w:ascii="方正仿宋_GB2312" w:hAnsi="方正仿宋_GB2312" w:eastAsia="方正仿宋_GB2312" w:cs="方正仿宋_GB2312"/>
                <w:sz w:val="24"/>
                <w:szCs w:val="24"/>
              </w:rPr>
            </w:pPr>
          </w:p>
        </w:tc>
        <w:tc>
          <w:tcPr>
            <w:tcW w:w="3784" w:type="dxa"/>
            <w:vAlign w:val="center"/>
          </w:tcPr>
          <w:p w14:paraId="526B62E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4．场内交通和停放秩序管理</w:t>
            </w:r>
          </w:p>
        </w:tc>
        <w:tc>
          <w:tcPr>
            <w:tcW w:w="3732" w:type="dxa"/>
          </w:tcPr>
          <w:p w14:paraId="3F61D46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w:t>
            </w:r>
          </w:p>
        </w:tc>
      </w:tr>
      <w:tr w14:paraId="4EE0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93" w:type="dxa"/>
            <w:vMerge w:val="continue"/>
          </w:tcPr>
          <w:p w14:paraId="337A004C">
            <w:pPr>
              <w:kinsoku/>
              <w:overflowPunct w:val="0"/>
              <w:rPr>
                <w:rFonts w:ascii="方正仿宋_GB2312" w:hAnsi="方正仿宋_GB2312" w:eastAsia="方正仿宋_GB2312" w:cs="方正仿宋_GB2312"/>
                <w:sz w:val="24"/>
                <w:szCs w:val="24"/>
              </w:rPr>
            </w:pPr>
          </w:p>
        </w:tc>
        <w:tc>
          <w:tcPr>
            <w:tcW w:w="3784" w:type="dxa"/>
            <w:vAlign w:val="center"/>
          </w:tcPr>
          <w:p w14:paraId="2A7750A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5．大型接待、庆典活动交通管理</w:t>
            </w:r>
          </w:p>
        </w:tc>
        <w:tc>
          <w:tcPr>
            <w:tcW w:w="3732" w:type="dxa"/>
          </w:tcPr>
          <w:p w14:paraId="3B3579F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保证畅通、秩序井然</w:t>
            </w:r>
          </w:p>
        </w:tc>
      </w:tr>
      <w:tr w14:paraId="7AA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93" w:type="dxa"/>
            <w:vMerge w:val="restart"/>
            <w:vAlign w:val="center"/>
          </w:tcPr>
          <w:p w14:paraId="42203DDF">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临时施工管理</w:t>
            </w:r>
          </w:p>
        </w:tc>
        <w:tc>
          <w:tcPr>
            <w:tcW w:w="3784" w:type="dxa"/>
            <w:vAlign w:val="center"/>
          </w:tcPr>
          <w:p w14:paraId="5206100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1．入场前办理施工手续和工作证件</w:t>
            </w:r>
          </w:p>
        </w:tc>
        <w:tc>
          <w:tcPr>
            <w:tcW w:w="3732" w:type="dxa"/>
          </w:tcPr>
          <w:p w14:paraId="2F7B43A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w:t>
            </w:r>
          </w:p>
        </w:tc>
      </w:tr>
      <w:tr w14:paraId="7821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93" w:type="dxa"/>
            <w:vMerge w:val="continue"/>
          </w:tcPr>
          <w:p w14:paraId="7052A917">
            <w:pPr>
              <w:kinsoku/>
              <w:overflowPunct w:val="0"/>
              <w:rPr>
                <w:rFonts w:ascii="方正仿宋_GB2312" w:hAnsi="方正仿宋_GB2312" w:eastAsia="方正仿宋_GB2312" w:cs="方正仿宋_GB2312"/>
                <w:sz w:val="24"/>
                <w:szCs w:val="24"/>
              </w:rPr>
            </w:pPr>
          </w:p>
        </w:tc>
        <w:tc>
          <w:tcPr>
            <w:tcW w:w="3784" w:type="dxa"/>
            <w:vAlign w:val="center"/>
          </w:tcPr>
          <w:p w14:paraId="3F2B0E6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2．施工期间保护建筑成品</w:t>
            </w:r>
          </w:p>
        </w:tc>
        <w:tc>
          <w:tcPr>
            <w:tcW w:w="3732" w:type="dxa"/>
          </w:tcPr>
          <w:p w14:paraId="4059BC28">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w:t>
            </w:r>
          </w:p>
        </w:tc>
      </w:tr>
      <w:tr w14:paraId="4379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93" w:type="dxa"/>
            <w:vMerge w:val="continue"/>
          </w:tcPr>
          <w:p w14:paraId="70F3CE76">
            <w:pPr>
              <w:kinsoku/>
              <w:overflowPunct w:val="0"/>
              <w:rPr>
                <w:rFonts w:ascii="方正仿宋_GB2312" w:hAnsi="方正仿宋_GB2312" w:eastAsia="方正仿宋_GB2312" w:cs="方正仿宋_GB2312"/>
                <w:sz w:val="24"/>
                <w:szCs w:val="24"/>
              </w:rPr>
            </w:pPr>
          </w:p>
        </w:tc>
        <w:tc>
          <w:tcPr>
            <w:tcW w:w="3784" w:type="dxa"/>
            <w:vAlign w:val="center"/>
          </w:tcPr>
          <w:p w14:paraId="2AA82FB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3．施工现场专人管理，监督安全文明施工</w:t>
            </w:r>
          </w:p>
        </w:tc>
        <w:tc>
          <w:tcPr>
            <w:tcW w:w="3732" w:type="dxa"/>
          </w:tcPr>
          <w:p w14:paraId="3F75D3B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w:t>
            </w:r>
          </w:p>
        </w:tc>
      </w:tr>
      <w:tr w14:paraId="29F0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93" w:type="dxa"/>
            <w:vMerge w:val="continue"/>
          </w:tcPr>
          <w:p w14:paraId="35AC356D">
            <w:pPr>
              <w:kinsoku/>
              <w:overflowPunct w:val="0"/>
              <w:rPr>
                <w:rFonts w:ascii="方正仿宋_GB2312" w:hAnsi="方正仿宋_GB2312" w:eastAsia="方正仿宋_GB2312" w:cs="方正仿宋_GB2312"/>
                <w:sz w:val="24"/>
                <w:szCs w:val="24"/>
              </w:rPr>
            </w:pPr>
          </w:p>
        </w:tc>
        <w:tc>
          <w:tcPr>
            <w:tcW w:w="3784" w:type="dxa"/>
            <w:vAlign w:val="center"/>
          </w:tcPr>
          <w:p w14:paraId="3893F99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4．施工撤离清理作业现场，办理撤离手续</w:t>
            </w:r>
          </w:p>
        </w:tc>
        <w:tc>
          <w:tcPr>
            <w:tcW w:w="3732" w:type="dxa"/>
          </w:tcPr>
          <w:p w14:paraId="74E77C2A">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管理率100%</w:t>
            </w:r>
          </w:p>
        </w:tc>
      </w:tr>
      <w:tr w14:paraId="7858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tcPr>
          <w:p w14:paraId="70A3BCC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重大</w:t>
            </w:r>
          </w:p>
          <w:p w14:paraId="2CB635D9">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活动的</w:t>
            </w:r>
          </w:p>
          <w:p w14:paraId="2F3C7ED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警卫和</w:t>
            </w:r>
          </w:p>
          <w:p w14:paraId="73B515A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接待</w:t>
            </w:r>
          </w:p>
        </w:tc>
        <w:tc>
          <w:tcPr>
            <w:tcW w:w="3784" w:type="dxa"/>
            <w:vAlign w:val="center"/>
          </w:tcPr>
          <w:p w14:paraId="2AA838C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1．车辆停放管理</w:t>
            </w:r>
          </w:p>
        </w:tc>
        <w:tc>
          <w:tcPr>
            <w:tcW w:w="3732" w:type="dxa"/>
            <w:vMerge w:val="restart"/>
            <w:vAlign w:val="center"/>
          </w:tcPr>
          <w:p w14:paraId="35F739F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完成率100%</w:t>
            </w:r>
          </w:p>
          <w:p w14:paraId="4827D52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因采购人额外活动造成的秩序维护员加班，额外产生的费用另行计算，不在本方案涵盖之内</w:t>
            </w:r>
          </w:p>
        </w:tc>
      </w:tr>
      <w:tr w14:paraId="7154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38BDFFAD">
            <w:pPr>
              <w:kinsoku/>
              <w:overflowPunct w:val="0"/>
              <w:rPr>
                <w:rFonts w:ascii="方正仿宋_GB2312" w:hAnsi="方正仿宋_GB2312" w:eastAsia="方正仿宋_GB2312" w:cs="方正仿宋_GB2312"/>
                <w:sz w:val="24"/>
                <w:szCs w:val="24"/>
              </w:rPr>
            </w:pPr>
          </w:p>
        </w:tc>
        <w:tc>
          <w:tcPr>
            <w:tcW w:w="3784" w:type="dxa"/>
            <w:vAlign w:val="center"/>
          </w:tcPr>
          <w:p w14:paraId="0A54D6E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2．车辆交通管理</w:t>
            </w:r>
          </w:p>
        </w:tc>
        <w:tc>
          <w:tcPr>
            <w:tcW w:w="3732" w:type="dxa"/>
            <w:vMerge w:val="continue"/>
          </w:tcPr>
          <w:p w14:paraId="7ADE38C3">
            <w:pPr>
              <w:kinsoku/>
              <w:overflowPunct w:val="0"/>
              <w:rPr>
                <w:rFonts w:ascii="方正仿宋_GB2312" w:hAnsi="方正仿宋_GB2312" w:eastAsia="方正仿宋_GB2312" w:cs="方正仿宋_GB2312"/>
                <w:sz w:val="24"/>
                <w:szCs w:val="24"/>
              </w:rPr>
            </w:pPr>
          </w:p>
        </w:tc>
      </w:tr>
      <w:tr w14:paraId="2FC4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1494A0DF">
            <w:pPr>
              <w:kinsoku/>
              <w:overflowPunct w:val="0"/>
              <w:rPr>
                <w:rFonts w:ascii="方正仿宋_GB2312" w:hAnsi="方正仿宋_GB2312" w:eastAsia="方正仿宋_GB2312" w:cs="方正仿宋_GB2312"/>
                <w:sz w:val="24"/>
                <w:szCs w:val="24"/>
              </w:rPr>
            </w:pPr>
          </w:p>
        </w:tc>
        <w:tc>
          <w:tcPr>
            <w:tcW w:w="3784" w:type="dxa"/>
            <w:vAlign w:val="center"/>
          </w:tcPr>
          <w:p w14:paraId="069CF2D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3．现场警卫工作</w:t>
            </w:r>
          </w:p>
        </w:tc>
        <w:tc>
          <w:tcPr>
            <w:tcW w:w="3732" w:type="dxa"/>
            <w:vMerge w:val="continue"/>
          </w:tcPr>
          <w:p w14:paraId="0DE680A3">
            <w:pPr>
              <w:kinsoku/>
              <w:overflowPunct w:val="0"/>
              <w:rPr>
                <w:rFonts w:ascii="方正仿宋_GB2312" w:hAnsi="方正仿宋_GB2312" w:eastAsia="方正仿宋_GB2312" w:cs="方正仿宋_GB2312"/>
                <w:sz w:val="24"/>
                <w:szCs w:val="24"/>
              </w:rPr>
            </w:pPr>
          </w:p>
        </w:tc>
      </w:tr>
      <w:tr w14:paraId="014D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08FB6EF3">
            <w:pPr>
              <w:kinsoku/>
              <w:overflowPunct w:val="0"/>
              <w:rPr>
                <w:rFonts w:ascii="方正仿宋_GB2312" w:hAnsi="方正仿宋_GB2312" w:eastAsia="方正仿宋_GB2312" w:cs="方正仿宋_GB2312"/>
                <w:sz w:val="24"/>
                <w:szCs w:val="24"/>
              </w:rPr>
            </w:pPr>
          </w:p>
        </w:tc>
        <w:tc>
          <w:tcPr>
            <w:tcW w:w="3784" w:type="dxa"/>
            <w:vAlign w:val="center"/>
          </w:tcPr>
          <w:p w14:paraId="1559A1B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4．线路警卫工作</w:t>
            </w:r>
          </w:p>
        </w:tc>
        <w:tc>
          <w:tcPr>
            <w:tcW w:w="3732" w:type="dxa"/>
            <w:vMerge w:val="continue"/>
          </w:tcPr>
          <w:p w14:paraId="7BCAB53B">
            <w:pPr>
              <w:kinsoku/>
              <w:overflowPunct w:val="0"/>
              <w:rPr>
                <w:rFonts w:ascii="方正仿宋_GB2312" w:hAnsi="方正仿宋_GB2312" w:eastAsia="方正仿宋_GB2312" w:cs="方正仿宋_GB2312"/>
                <w:sz w:val="24"/>
                <w:szCs w:val="24"/>
              </w:rPr>
            </w:pPr>
          </w:p>
        </w:tc>
      </w:tr>
      <w:tr w14:paraId="4CAF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Pr>
          <w:p w14:paraId="2E3DB778">
            <w:pPr>
              <w:kinsoku/>
              <w:overflowPunct w:val="0"/>
              <w:rPr>
                <w:rFonts w:ascii="方正仿宋_GB2312" w:hAnsi="方正仿宋_GB2312" w:eastAsia="方正仿宋_GB2312" w:cs="方正仿宋_GB2312"/>
                <w:sz w:val="24"/>
                <w:szCs w:val="24"/>
              </w:rPr>
            </w:pPr>
          </w:p>
        </w:tc>
        <w:tc>
          <w:tcPr>
            <w:tcW w:w="3784" w:type="dxa"/>
            <w:vAlign w:val="center"/>
          </w:tcPr>
          <w:p w14:paraId="7C54604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5．制高点警卫工作</w:t>
            </w:r>
          </w:p>
        </w:tc>
        <w:tc>
          <w:tcPr>
            <w:tcW w:w="3732" w:type="dxa"/>
            <w:vMerge w:val="continue"/>
          </w:tcPr>
          <w:p w14:paraId="07CFF1C2">
            <w:pPr>
              <w:kinsoku/>
              <w:overflowPunct w:val="0"/>
              <w:rPr>
                <w:rFonts w:ascii="方正仿宋_GB2312" w:hAnsi="方正仿宋_GB2312" w:eastAsia="方正仿宋_GB2312" w:cs="方正仿宋_GB2312"/>
                <w:sz w:val="24"/>
                <w:szCs w:val="24"/>
              </w:rPr>
            </w:pPr>
          </w:p>
        </w:tc>
      </w:tr>
      <w:tr w14:paraId="5516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993" w:type="dxa"/>
            <w:vAlign w:val="center"/>
          </w:tcPr>
          <w:p w14:paraId="3FD406CC">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突发、</w:t>
            </w:r>
          </w:p>
          <w:p w14:paraId="36BC3FC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异常</w:t>
            </w:r>
          </w:p>
          <w:p w14:paraId="4826B113">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情况</w:t>
            </w:r>
          </w:p>
          <w:p w14:paraId="4D68B42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处理</w:t>
            </w:r>
          </w:p>
        </w:tc>
        <w:tc>
          <w:tcPr>
            <w:tcW w:w="3784" w:type="dxa"/>
            <w:vAlign w:val="center"/>
          </w:tcPr>
          <w:p w14:paraId="3C87E67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及时发现</w:t>
            </w:r>
          </w:p>
          <w:p w14:paraId="6CDEDDE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及时报告并记录</w:t>
            </w:r>
          </w:p>
          <w:p w14:paraId="4700C2D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及时处理及全程跟踪备案</w:t>
            </w:r>
          </w:p>
        </w:tc>
        <w:tc>
          <w:tcPr>
            <w:tcW w:w="3732" w:type="dxa"/>
            <w:vAlign w:val="center"/>
          </w:tcPr>
          <w:p w14:paraId="10FD83F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问题发现不超过12小时</w:t>
            </w:r>
          </w:p>
          <w:p w14:paraId="782FB5DB">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重大事件报告时限不超过10分钟，普通事件报告时限不超过24小时，记录及时，准确率100%</w:t>
            </w:r>
          </w:p>
          <w:p w14:paraId="7EED8EC0">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全程跟踪率100%</w:t>
            </w:r>
          </w:p>
          <w:p w14:paraId="12B0C05F">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零小问题处理时限不超过12小时</w:t>
            </w:r>
          </w:p>
        </w:tc>
      </w:tr>
      <w:tr w14:paraId="4E08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4777" w:type="dxa"/>
            <w:gridSpan w:val="2"/>
          </w:tcPr>
          <w:p w14:paraId="5DFA6FE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夜间故障及隐患的报修、联络</w:t>
            </w:r>
          </w:p>
        </w:tc>
        <w:tc>
          <w:tcPr>
            <w:tcW w:w="3732" w:type="dxa"/>
          </w:tcPr>
          <w:p w14:paraId="193AC09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发现及时，报告及时</w:t>
            </w:r>
          </w:p>
        </w:tc>
      </w:tr>
      <w:tr w14:paraId="5A3D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77" w:type="dxa"/>
            <w:gridSpan w:val="2"/>
          </w:tcPr>
          <w:p w14:paraId="3F6726F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采购人要求的不违反学院规定的其他力所能及的服务项目</w:t>
            </w:r>
          </w:p>
        </w:tc>
        <w:tc>
          <w:tcPr>
            <w:tcW w:w="3732" w:type="dxa"/>
          </w:tcPr>
          <w:p w14:paraId="2F69F9B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立足本职，力所能及，随叫随到</w:t>
            </w:r>
          </w:p>
        </w:tc>
      </w:tr>
    </w:tbl>
    <w:p w14:paraId="1CA8F985">
      <w:pPr>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7.绿化服务标准如下：</w:t>
      </w:r>
    </w:p>
    <w:tbl>
      <w:tblPr>
        <w:tblStyle w:val="8"/>
        <w:tblW w:w="4999" w:type="pct"/>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1650"/>
        <w:gridCol w:w="6874"/>
      </w:tblGrid>
      <w:tr w14:paraId="5F3A7F8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008A21F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项目</w:t>
            </w:r>
          </w:p>
        </w:tc>
        <w:tc>
          <w:tcPr>
            <w:tcW w:w="4031" w:type="pct"/>
            <w:tcBorders>
              <w:top w:val="single" w:color="auto" w:sz="4" w:space="0"/>
              <w:left w:val="nil"/>
              <w:bottom w:val="single" w:color="auto" w:sz="4" w:space="0"/>
              <w:right w:val="single" w:color="auto" w:sz="4" w:space="0"/>
            </w:tcBorders>
            <w:vAlign w:val="center"/>
          </w:tcPr>
          <w:p w14:paraId="3FEEF9CD">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服务要求</w:t>
            </w:r>
          </w:p>
        </w:tc>
      </w:tr>
      <w:tr w14:paraId="12D6899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0C902332">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总要求</w:t>
            </w:r>
          </w:p>
        </w:tc>
        <w:tc>
          <w:tcPr>
            <w:tcW w:w="4031" w:type="pct"/>
            <w:tcBorders>
              <w:top w:val="single" w:color="auto" w:sz="4" w:space="0"/>
              <w:left w:val="nil"/>
              <w:bottom w:val="single" w:color="auto" w:sz="4" w:space="0"/>
              <w:right w:val="single" w:color="auto" w:sz="4" w:space="0"/>
            </w:tcBorders>
            <w:vAlign w:val="center"/>
          </w:tcPr>
          <w:p w14:paraId="07C6AD4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按二级绿化养护标准达到绿地或花坛内各类乔、灌、草等绿化存活率。绿地设施及硬质景观保持常年完好。</w:t>
            </w:r>
          </w:p>
        </w:tc>
      </w:tr>
      <w:tr w14:paraId="0B1515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3D47578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修剪</w:t>
            </w:r>
          </w:p>
        </w:tc>
        <w:tc>
          <w:tcPr>
            <w:tcW w:w="4031" w:type="pct"/>
            <w:tcBorders>
              <w:top w:val="single" w:color="auto" w:sz="4" w:space="0"/>
              <w:left w:val="nil"/>
              <w:bottom w:val="single" w:color="auto" w:sz="4" w:space="0"/>
              <w:right w:val="single" w:color="auto" w:sz="4" w:space="0"/>
            </w:tcBorders>
            <w:vAlign w:val="center"/>
          </w:tcPr>
          <w:p w14:paraId="25283C47">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年普修8遍以上，草屑即时清，切边整理3次以上，草坪常年保持平整、边缘清晰，平均草高度不应超过9cm。</w:t>
            </w:r>
          </w:p>
        </w:tc>
      </w:tr>
      <w:tr w14:paraId="6A47B79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18D011C0">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灌溉</w:t>
            </w:r>
          </w:p>
        </w:tc>
        <w:tc>
          <w:tcPr>
            <w:tcW w:w="4031" w:type="pct"/>
            <w:tcBorders>
              <w:top w:val="single" w:color="auto" w:sz="4" w:space="0"/>
              <w:left w:val="nil"/>
              <w:bottom w:val="single" w:color="auto" w:sz="4" w:space="0"/>
              <w:right w:val="single" w:color="auto" w:sz="4" w:space="0"/>
            </w:tcBorders>
            <w:vAlign w:val="center"/>
          </w:tcPr>
          <w:p w14:paraId="5A81584B">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按季节特点，每月对草地进行有效灌溉，用覆沙保持调整，保持地形平整，排水流畅。</w:t>
            </w:r>
          </w:p>
        </w:tc>
      </w:tr>
      <w:tr w14:paraId="5C5C87A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2842F69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中耕除草、松土</w:t>
            </w:r>
          </w:p>
        </w:tc>
        <w:tc>
          <w:tcPr>
            <w:tcW w:w="4031" w:type="pct"/>
            <w:tcBorders>
              <w:top w:val="single" w:color="auto" w:sz="4" w:space="0"/>
              <w:left w:val="nil"/>
              <w:bottom w:val="single" w:color="auto" w:sz="4" w:space="0"/>
              <w:right w:val="single" w:color="auto" w:sz="4" w:space="0"/>
            </w:tcBorders>
            <w:vAlign w:val="center"/>
          </w:tcPr>
          <w:p w14:paraId="1404FA0E">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年中耕除草、疏松表土10次以上。</w:t>
            </w:r>
          </w:p>
        </w:tc>
      </w:tr>
      <w:tr w14:paraId="71F7728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4B766253">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施肥</w:t>
            </w:r>
          </w:p>
        </w:tc>
        <w:tc>
          <w:tcPr>
            <w:tcW w:w="4031" w:type="pct"/>
            <w:tcBorders>
              <w:top w:val="single" w:color="auto" w:sz="4" w:space="0"/>
              <w:left w:val="nil"/>
              <w:bottom w:val="single" w:color="auto" w:sz="4" w:space="0"/>
              <w:right w:val="single" w:color="auto" w:sz="4" w:space="0"/>
            </w:tcBorders>
            <w:vAlign w:val="center"/>
          </w:tcPr>
          <w:p w14:paraId="3A2C0935">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按植物品种、生长、土壤状况，适时、适量施肥。年普施基肥不少于1遍，花灌木追复合肥2遍。</w:t>
            </w:r>
          </w:p>
        </w:tc>
      </w:tr>
      <w:tr w14:paraId="64A7EEA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3422F9E1">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病虫害防治</w:t>
            </w:r>
          </w:p>
        </w:tc>
        <w:tc>
          <w:tcPr>
            <w:tcW w:w="4031" w:type="pct"/>
            <w:tcBorders>
              <w:top w:val="single" w:color="auto" w:sz="4" w:space="0"/>
              <w:left w:val="nil"/>
              <w:bottom w:val="single" w:color="auto" w:sz="4" w:space="0"/>
              <w:right w:val="single" w:color="auto" w:sz="4" w:space="0"/>
            </w:tcBorders>
            <w:vAlign w:val="center"/>
          </w:tcPr>
          <w:p w14:paraId="035207E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预防为主，生态治理。</w:t>
            </w:r>
          </w:p>
        </w:tc>
      </w:tr>
      <w:tr w14:paraId="62FAE39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968" w:type="pct"/>
            <w:tcBorders>
              <w:top w:val="single" w:color="auto" w:sz="4" w:space="0"/>
              <w:left w:val="single" w:color="auto" w:sz="4" w:space="0"/>
              <w:bottom w:val="single" w:color="auto" w:sz="4" w:space="0"/>
              <w:right w:val="single" w:color="auto" w:sz="4" w:space="0"/>
            </w:tcBorders>
            <w:vAlign w:val="center"/>
          </w:tcPr>
          <w:p w14:paraId="3B0E5864">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扶正、加固</w:t>
            </w:r>
          </w:p>
        </w:tc>
        <w:tc>
          <w:tcPr>
            <w:tcW w:w="4031" w:type="pct"/>
            <w:tcBorders>
              <w:top w:val="single" w:color="auto" w:sz="4" w:space="0"/>
              <w:left w:val="nil"/>
              <w:bottom w:val="single" w:color="auto" w:sz="4" w:space="0"/>
              <w:right w:val="single" w:color="auto" w:sz="4" w:space="0"/>
            </w:tcBorders>
            <w:vAlign w:val="center"/>
          </w:tcPr>
          <w:p w14:paraId="67A97A66">
            <w:pPr>
              <w:kinsoku/>
              <w:overflowPunct w:val="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按规范做好综合防护措施，及时扶正加固。</w:t>
            </w:r>
          </w:p>
        </w:tc>
      </w:tr>
    </w:tbl>
    <w:p w14:paraId="2B175577">
      <w:pPr>
        <w:kinsoku/>
        <w:overflowPunct w:val="0"/>
        <w:ind w:firstLine="480" w:firstLineChars="200"/>
        <w:rPr>
          <w:rFonts w:ascii="方正仿宋_GB2312" w:hAnsi="方正仿宋_GB2312" w:eastAsia="方正仿宋_GB2312" w:cs="方正仿宋_GB2312"/>
          <w:sz w:val="24"/>
          <w:szCs w:val="24"/>
        </w:rPr>
      </w:pPr>
    </w:p>
    <w:p w14:paraId="7FBB0B7E">
      <w:pPr>
        <w:kinsoku/>
        <w:overflowPunct w:val="0"/>
        <w:ind w:firstLine="480" w:firstLineChars="200"/>
        <w:rPr>
          <w:rFonts w:ascii="方正仿宋_GB2312" w:hAnsi="方正仿宋_GB2312" w:eastAsia="方正仿宋_GB2312" w:cs="方正仿宋_GB2312"/>
          <w:snapToGrid/>
          <w:color w:val="auto"/>
          <w:kern w:val="2"/>
          <w:sz w:val="24"/>
          <w:szCs w:val="24"/>
        </w:rPr>
      </w:pPr>
    </w:p>
    <w:p w14:paraId="35CCEAF4">
      <w:pPr>
        <w:kinsoku/>
        <w:overflowPunct w:val="0"/>
        <w:ind w:firstLine="480" w:firstLineChars="200"/>
        <w:rPr>
          <w:rFonts w:ascii="方正仿宋_GB2312" w:hAnsi="方正仿宋_GB2312" w:eastAsia="方正仿宋_GB2312" w:cs="方正仿宋_GB2312"/>
          <w:snapToGrid/>
          <w:color w:val="auto"/>
          <w:kern w:val="2"/>
          <w:sz w:val="24"/>
          <w:szCs w:val="24"/>
        </w:rPr>
        <w:sectPr>
          <w:footerReference r:id="rId3" w:type="default"/>
          <w:type w:val="continuous"/>
          <w:pgSz w:w="11910" w:h="16840"/>
          <w:pgMar w:top="1440" w:right="1800" w:bottom="1440" w:left="1800" w:header="0" w:footer="996" w:gutter="0"/>
          <w:cols w:space="720" w:num="1"/>
        </w:sectPr>
      </w:pPr>
    </w:p>
    <w:p w14:paraId="7F828BBE">
      <w:pPr>
        <w:kinsoku/>
        <w:overflowPunct w:val="0"/>
        <w:ind w:firstLine="480" w:firstLineChars="200"/>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t>附件二：项目主要管理人员名单</w:t>
      </w:r>
    </w:p>
    <w:p w14:paraId="37F16D6B">
      <w:pPr>
        <w:kinsoku/>
        <w:overflowPunct w:val="0"/>
        <w:adjustRightInd/>
        <w:snapToGrid/>
        <w:ind w:firstLine="480" w:firstLineChars="200"/>
        <w:textAlignment w:val="auto"/>
        <w:rPr>
          <w:rFonts w:ascii="方正仿宋_GB2312" w:hAnsi="方正仿宋_GB2312" w:eastAsia="方正仿宋_GB2312" w:cs="方正仿宋_GB2312"/>
          <w:snapToGrid/>
          <w:color w:val="auto"/>
          <w:kern w:val="2"/>
          <w:sz w:val="24"/>
          <w:szCs w:val="24"/>
        </w:rPr>
      </w:pPr>
      <w:r>
        <w:rPr>
          <w:rFonts w:hint="eastAsia" w:ascii="方正仿宋_GB2312" w:hAnsi="方正仿宋_GB2312" w:eastAsia="方正仿宋_GB2312" w:cs="方正仿宋_GB2312"/>
          <w:snapToGrid/>
          <w:color w:val="auto"/>
          <w:kern w:val="2"/>
          <w:sz w:val="24"/>
          <w:szCs w:val="24"/>
        </w:rPr>
        <w:br w:type="page"/>
      </w:r>
    </w:p>
    <w:p w14:paraId="0C252B9C">
      <w:pPr>
        <w:pStyle w:val="2"/>
        <w:kinsoku/>
        <w:overflowPunct w:val="0"/>
        <w:ind w:firstLine="480" w:firstLineChars="200"/>
        <w:rPr>
          <w:rFonts w:ascii="方正仿宋_GB2312" w:hAnsi="方正仿宋_GB2312" w:eastAsia="方正仿宋_GB2312" w:cs="方正仿宋_GB2312"/>
          <w:sz w:val="24"/>
          <w:szCs w:val="24"/>
        </w:rPr>
      </w:pPr>
      <w:r>
        <w:rPr>
          <w:rFonts w:hint="eastAsia" w:ascii="方正仿宋_GB2312" w:hAnsi="方正仿宋_GB2312" w:eastAsia="方正仿宋_GB2312" w:cs="方正仿宋_GB2312"/>
          <w:snapToGrid/>
          <w:color w:val="auto"/>
          <w:kern w:val="2"/>
          <w:sz w:val="24"/>
          <w:szCs w:val="24"/>
        </w:rPr>
        <w:t>附件三：分项报价表</w:t>
      </w:r>
    </w:p>
    <w:sectPr>
      <w:pgSz w:w="11910" w:h="16840"/>
      <w:pgMar w:top="1440" w:right="1800" w:bottom="1440" w:left="1800" w:header="0" w:footer="99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embedRegular r:id="rId1" w:fontKey="{861863A2-B876-4F60-A5EF-499206733F4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auto"/>
      </w:rPr>
      <w:id w:val="-77369980"/>
    </w:sdtPr>
    <w:sdtEndPr>
      <w:rPr>
        <w:color w:val="auto"/>
      </w:rPr>
    </w:sdtEndPr>
    <w:sdtContent>
      <w:sdt>
        <w:sdtPr>
          <w:rPr>
            <w:color w:val="auto"/>
          </w:rPr>
          <w:id w:val="1728636285"/>
        </w:sdtPr>
        <w:sdtEndPr>
          <w:rPr>
            <w:color w:val="auto"/>
          </w:rPr>
        </w:sdtEndPr>
        <w:sdtContent>
          <w:p w14:paraId="6EB25BA5">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62</w:t>
            </w:r>
            <w:r>
              <w:rPr>
                <w:b/>
                <w:bCs/>
                <w:sz w:val="24"/>
                <w:szCs w:val="24"/>
              </w:rPr>
              <w:fldChar w:fldCharType="end"/>
            </w:r>
          </w:p>
        </w:sdtContent>
      </w:sdt>
    </w:sdtContent>
  </w:sdt>
  <w:p w14:paraId="2CD0C9FF">
    <w:pPr>
      <w:spacing w:line="219" w:lineRule="auto"/>
      <w:ind w:left="3616"/>
      <w:rPr>
        <w:rFonts w:ascii="宋体" w:hAnsi="宋体" w:eastAsia="宋体" w:cs="宋体"/>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簀Ȃ憴Ȃ卆䵇ɓᰀ+ꀀ4ꀀ耀ꀀ+ꀀ耀ꀀ+怄Ȃ卆䵇ɓᰀ+ꀀ4ꀀ耀ꀀ+悔Ȃ卆䵇ɓᰀ+ꀀ4ꀀ耀ꀀ+ꀀ⁅0倀扄Ȃ卆䵇ɓᰀ+ꀀ4ꀀ耀ꀀ+ꀀ⁅0倀拔Ȃ卆䵇ɓᰀ+ꀀ4ꀀ耀ꀀ+簄Ȃ卆䵇ɓᰀ+ꀀ4ꀀ耀ꀀ+"/>
  </w:docVars>
  <w:rsids>
    <w:rsidRoot w:val="0093366E"/>
    <w:rsid w:val="000227B8"/>
    <w:rsid w:val="00042CD4"/>
    <w:rsid w:val="00081669"/>
    <w:rsid w:val="00082A77"/>
    <w:rsid w:val="000912AD"/>
    <w:rsid w:val="000A01B5"/>
    <w:rsid w:val="000E1243"/>
    <w:rsid w:val="00140F62"/>
    <w:rsid w:val="0014164A"/>
    <w:rsid w:val="00144B68"/>
    <w:rsid w:val="00195DB4"/>
    <w:rsid w:val="001A4530"/>
    <w:rsid w:val="001A5EB1"/>
    <w:rsid w:val="0020681A"/>
    <w:rsid w:val="002072E2"/>
    <w:rsid w:val="00235DB1"/>
    <w:rsid w:val="00292E86"/>
    <w:rsid w:val="002A33B7"/>
    <w:rsid w:val="002A73A5"/>
    <w:rsid w:val="002B6D04"/>
    <w:rsid w:val="002C195B"/>
    <w:rsid w:val="002F726D"/>
    <w:rsid w:val="00323A14"/>
    <w:rsid w:val="003423CB"/>
    <w:rsid w:val="003C2C59"/>
    <w:rsid w:val="003D3996"/>
    <w:rsid w:val="003E77B7"/>
    <w:rsid w:val="00415F4C"/>
    <w:rsid w:val="004215EA"/>
    <w:rsid w:val="004325BA"/>
    <w:rsid w:val="0046490E"/>
    <w:rsid w:val="004717ED"/>
    <w:rsid w:val="004D5D33"/>
    <w:rsid w:val="00532D48"/>
    <w:rsid w:val="005424F4"/>
    <w:rsid w:val="00567C1D"/>
    <w:rsid w:val="00581790"/>
    <w:rsid w:val="00586647"/>
    <w:rsid w:val="005B1C2C"/>
    <w:rsid w:val="005B2957"/>
    <w:rsid w:val="0061695F"/>
    <w:rsid w:val="00617989"/>
    <w:rsid w:val="00644713"/>
    <w:rsid w:val="00690CE6"/>
    <w:rsid w:val="00696C8D"/>
    <w:rsid w:val="006E7E16"/>
    <w:rsid w:val="007324A0"/>
    <w:rsid w:val="00762536"/>
    <w:rsid w:val="007B01F2"/>
    <w:rsid w:val="007C0477"/>
    <w:rsid w:val="007C0813"/>
    <w:rsid w:val="007C2C30"/>
    <w:rsid w:val="007D5DC2"/>
    <w:rsid w:val="007F7279"/>
    <w:rsid w:val="00837650"/>
    <w:rsid w:val="00864526"/>
    <w:rsid w:val="008822E5"/>
    <w:rsid w:val="0089449D"/>
    <w:rsid w:val="00895167"/>
    <w:rsid w:val="008A7D03"/>
    <w:rsid w:val="009102E5"/>
    <w:rsid w:val="00922664"/>
    <w:rsid w:val="0093366E"/>
    <w:rsid w:val="00956A2D"/>
    <w:rsid w:val="0095720A"/>
    <w:rsid w:val="009D66DA"/>
    <w:rsid w:val="009E64B3"/>
    <w:rsid w:val="009E6674"/>
    <w:rsid w:val="00A11551"/>
    <w:rsid w:val="00A42682"/>
    <w:rsid w:val="00A42865"/>
    <w:rsid w:val="00A469FA"/>
    <w:rsid w:val="00A628AB"/>
    <w:rsid w:val="00A64F3A"/>
    <w:rsid w:val="00A75258"/>
    <w:rsid w:val="00AA0B5F"/>
    <w:rsid w:val="00AA7435"/>
    <w:rsid w:val="00B01CBF"/>
    <w:rsid w:val="00B05F3D"/>
    <w:rsid w:val="00B251D2"/>
    <w:rsid w:val="00B40318"/>
    <w:rsid w:val="00B672E1"/>
    <w:rsid w:val="00B80A14"/>
    <w:rsid w:val="00B94104"/>
    <w:rsid w:val="00B9660E"/>
    <w:rsid w:val="00BB6DE6"/>
    <w:rsid w:val="00BF41FE"/>
    <w:rsid w:val="00C17D63"/>
    <w:rsid w:val="00C34F1E"/>
    <w:rsid w:val="00C9051B"/>
    <w:rsid w:val="00CA63D7"/>
    <w:rsid w:val="00D05E0E"/>
    <w:rsid w:val="00D52572"/>
    <w:rsid w:val="00D732F8"/>
    <w:rsid w:val="00D85D82"/>
    <w:rsid w:val="00DA753A"/>
    <w:rsid w:val="00DC01B7"/>
    <w:rsid w:val="00DF0895"/>
    <w:rsid w:val="00E26852"/>
    <w:rsid w:val="00E55D79"/>
    <w:rsid w:val="00E56424"/>
    <w:rsid w:val="00E60CE8"/>
    <w:rsid w:val="00E62202"/>
    <w:rsid w:val="00E8605F"/>
    <w:rsid w:val="00EB3AE0"/>
    <w:rsid w:val="00EB4F69"/>
    <w:rsid w:val="00ED3E73"/>
    <w:rsid w:val="00EF29BC"/>
    <w:rsid w:val="00EF305C"/>
    <w:rsid w:val="00F05FD5"/>
    <w:rsid w:val="00F20615"/>
    <w:rsid w:val="00F55206"/>
    <w:rsid w:val="00F637E8"/>
    <w:rsid w:val="00F75927"/>
    <w:rsid w:val="00F8779D"/>
    <w:rsid w:val="00FA3A2A"/>
    <w:rsid w:val="00FC208F"/>
    <w:rsid w:val="00FE0557"/>
    <w:rsid w:val="00FE14FE"/>
    <w:rsid w:val="00FE4275"/>
    <w:rsid w:val="00FF2F07"/>
    <w:rsid w:val="01EC0334"/>
    <w:rsid w:val="022C3ECA"/>
    <w:rsid w:val="03162EAB"/>
    <w:rsid w:val="053807F8"/>
    <w:rsid w:val="06271C9D"/>
    <w:rsid w:val="07C602C8"/>
    <w:rsid w:val="089A505C"/>
    <w:rsid w:val="08E45794"/>
    <w:rsid w:val="0E7560A5"/>
    <w:rsid w:val="11AC2C70"/>
    <w:rsid w:val="130A39C8"/>
    <w:rsid w:val="19FA4BEF"/>
    <w:rsid w:val="1B943642"/>
    <w:rsid w:val="1E1D38F7"/>
    <w:rsid w:val="2135021E"/>
    <w:rsid w:val="23DC390D"/>
    <w:rsid w:val="243F6506"/>
    <w:rsid w:val="246D33E6"/>
    <w:rsid w:val="25AC29BC"/>
    <w:rsid w:val="268B78E8"/>
    <w:rsid w:val="28283C06"/>
    <w:rsid w:val="2A8B37A8"/>
    <w:rsid w:val="2C037EE1"/>
    <w:rsid w:val="2E4517CC"/>
    <w:rsid w:val="305F58F8"/>
    <w:rsid w:val="30F7099D"/>
    <w:rsid w:val="35F054BF"/>
    <w:rsid w:val="37040397"/>
    <w:rsid w:val="39DE7951"/>
    <w:rsid w:val="3C396A3C"/>
    <w:rsid w:val="3D0A362A"/>
    <w:rsid w:val="3F9F192C"/>
    <w:rsid w:val="406D5DEF"/>
    <w:rsid w:val="41730DE6"/>
    <w:rsid w:val="428D386D"/>
    <w:rsid w:val="42DE182B"/>
    <w:rsid w:val="45AD0D81"/>
    <w:rsid w:val="48767174"/>
    <w:rsid w:val="48DE6275"/>
    <w:rsid w:val="4CDA1BB4"/>
    <w:rsid w:val="4D2C2AA2"/>
    <w:rsid w:val="4DF47921"/>
    <w:rsid w:val="4E236F71"/>
    <w:rsid w:val="51AA2A76"/>
    <w:rsid w:val="5212591E"/>
    <w:rsid w:val="54262A7C"/>
    <w:rsid w:val="5FE33F45"/>
    <w:rsid w:val="61CF7E99"/>
    <w:rsid w:val="62BF3B9A"/>
    <w:rsid w:val="6438216D"/>
    <w:rsid w:val="652B653A"/>
    <w:rsid w:val="67D2591C"/>
    <w:rsid w:val="68B94A82"/>
    <w:rsid w:val="696129B2"/>
    <w:rsid w:val="69801C11"/>
    <w:rsid w:val="6BE777C8"/>
    <w:rsid w:val="6BFB1A23"/>
    <w:rsid w:val="6EE113A4"/>
    <w:rsid w:val="6F9E1F41"/>
    <w:rsid w:val="70A42B41"/>
    <w:rsid w:val="74DB0643"/>
    <w:rsid w:val="76A02F18"/>
    <w:rsid w:val="7A923E9A"/>
    <w:rsid w:val="7B775023"/>
    <w:rsid w:val="7D902913"/>
    <w:rsid w:val="7ED72A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3">
    <w:name w:val="heading 1"/>
    <w:basedOn w:val="1"/>
    <w:next w:val="1"/>
    <w:link w:val="15"/>
    <w:qFormat/>
    <w:uiPriority w:val="9"/>
    <w:pPr>
      <w:keepNext/>
      <w:keepLines/>
      <w:widowControl w:val="0"/>
      <w:kinsoku/>
      <w:autoSpaceDE/>
      <w:autoSpaceDN/>
      <w:adjustRightInd/>
      <w:snapToGrid/>
      <w:spacing w:beforeLines="100" w:afterLines="100" w:line="360" w:lineRule="auto"/>
      <w:jc w:val="center"/>
      <w:textAlignment w:val="auto"/>
      <w:outlineLvl w:val="0"/>
    </w:pPr>
    <w:rPr>
      <w:rFonts w:asciiTheme="minorHAnsi" w:hAnsiTheme="minorHAnsi" w:eastAsiaTheme="minorEastAsia" w:cstheme="minorBidi"/>
      <w:b/>
      <w:bCs/>
      <w:snapToGrid/>
      <w:color w:val="auto"/>
      <w:kern w:val="44"/>
      <w:sz w:val="24"/>
      <w:szCs w:val="24"/>
    </w:rPr>
  </w:style>
  <w:style w:type="paragraph" w:styleId="4">
    <w:name w:val="heading 2"/>
    <w:basedOn w:val="1"/>
    <w:next w:val="1"/>
    <w:link w:val="16"/>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5">
    <w:name w:val="Balloon Text"/>
    <w:basedOn w:val="1"/>
    <w:link w:val="19"/>
    <w:qFormat/>
    <w:uiPriority w:val="0"/>
    <w:rPr>
      <w:sz w:val="18"/>
      <w:szCs w:val="18"/>
    </w:rPr>
  </w:style>
  <w:style w:type="paragraph" w:styleId="6">
    <w:name w:val="footer"/>
    <w:basedOn w:val="1"/>
    <w:link w:val="14"/>
    <w:qFormat/>
    <w:uiPriority w:val="99"/>
    <w:pPr>
      <w:tabs>
        <w:tab w:val="center" w:pos="4153"/>
        <w:tab w:val="right" w:pos="8306"/>
      </w:tabs>
    </w:pPr>
    <w:rPr>
      <w:sz w:val="18"/>
      <w:szCs w:val="18"/>
    </w:rPr>
  </w:style>
  <w:style w:type="paragraph" w:styleId="7">
    <w:name w:val="header"/>
    <w:basedOn w:val="1"/>
    <w:link w:val="13"/>
    <w:qFormat/>
    <w:uiPriority w:val="0"/>
    <w:pPr>
      <w:tabs>
        <w:tab w:val="center" w:pos="4153"/>
        <w:tab w:val="right" w:pos="8306"/>
      </w:tabs>
      <w:jc w:val="center"/>
    </w:pPr>
    <w:rPr>
      <w:sz w:val="18"/>
      <w:szCs w:val="18"/>
    </w:rPr>
  </w:style>
  <w:style w:type="table" w:styleId="9">
    <w:name w:val="Table Grid"/>
    <w:basedOn w:val="8"/>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qFormat/>
    <w:uiPriority w:val="99"/>
    <w:rPr>
      <w:sz w:val="21"/>
      <w:szCs w:val="21"/>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页眉 Char"/>
    <w:basedOn w:val="10"/>
    <w:link w:val="7"/>
    <w:qFormat/>
    <w:uiPriority w:val="0"/>
    <w:rPr>
      <w:rFonts w:eastAsia="Arial"/>
      <w:snapToGrid w:val="0"/>
      <w:color w:val="000000"/>
      <w:sz w:val="18"/>
      <w:szCs w:val="18"/>
    </w:rPr>
  </w:style>
  <w:style w:type="character" w:customStyle="1" w:styleId="14">
    <w:name w:val="页脚 Char"/>
    <w:basedOn w:val="10"/>
    <w:link w:val="6"/>
    <w:qFormat/>
    <w:uiPriority w:val="99"/>
    <w:rPr>
      <w:rFonts w:eastAsia="Arial"/>
      <w:snapToGrid w:val="0"/>
      <w:color w:val="000000"/>
      <w:sz w:val="18"/>
      <w:szCs w:val="18"/>
    </w:rPr>
  </w:style>
  <w:style w:type="character" w:customStyle="1" w:styleId="15">
    <w:name w:val="标题 1 Char"/>
    <w:basedOn w:val="10"/>
    <w:link w:val="3"/>
    <w:qFormat/>
    <w:uiPriority w:val="9"/>
    <w:rPr>
      <w:rFonts w:asciiTheme="minorHAnsi" w:hAnsiTheme="minorHAnsi" w:cstheme="minorBidi"/>
      <w:b/>
      <w:bCs/>
      <w:kern w:val="44"/>
      <w:sz w:val="24"/>
      <w:szCs w:val="24"/>
    </w:rPr>
  </w:style>
  <w:style w:type="character" w:customStyle="1" w:styleId="16">
    <w:name w:val="标题 2 Char"/>
    <w:basedOn w:val="10"/>
    <w:link w:val="4"/>
    <w:semiHidden/>
    <w:qFormat/>
    <w:uiPriority w:val="0"/>
    <w:rPr>
      <w:rFonts w:asciiTheme="majorHAnsi" w:hAnsiTheme="majorHAnsi" w:eastAsiaTheme="majorEastAsia" w:cstheme="majorBidi"/>
      <w:b/>
      <w:bCs/>
      <w:snapToGrid w:val="0"/>
      <w:color w:val="000000"/>
      <w:sz w:val="32"/>
      <w:szCs w:val="32"/>
    </w:rPr>
  </w:style>
  <w:style w:type="table" w:customStyle="1" w:styleId="17">
    <w:name w:val="Table Normal_0"/>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18">
    <w:name w:val="修订1"/>
    <w:hidden/>
    <w:semiHidden/>
    <w:qFormat/>
    <w:uiPriority w:val="99"/>
    <w:rPr>
      <w:rFonts w:ascii="Arial" w:hAnsi="Arial" w:eastAsia="Arial" w:cs="Arial"/>
      <w:snapToGrid w:val="0"/>
      <w:color w:val="000000"/>
      <w:sz w:val="21"/>
      <w:szCs w:val="21"/>
      <w:lang w:val="en-US" w:eastAsia="zh-CN" w:bidi="ar-SA"/>
    </w:rPr>
  </w:style>
  <w:style w:type="character" w:customStyle="1" w:styleId="19">
    <w:name w:val="批注框文本 Char"/>
    <w:basedOn w:val="10"/>
    <w:link w:val="5"/>
    <w:qFormat/>
    <w:uiPriority w:val="0"/>
    <w:rPr>
      <w:rFonts w:eastAsia="Arial"/>
      <w:snapToGrid w:val="0"/>
      <w:color w:val="00000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63</Pages>
  <Words>1669</Words>
  <Characters>1738</Characters>
  <Lines>274</Lines>
  <Paragraphs>77</Paragraphs>
  <TotalTime>1205</TotalTime>
  <ScaleCrop>false</ScaleCrop>
  <LinksUpToDate>false</LinksUpToDate>
  <CharactersWithSpaces>1803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2023-06-30T03:23:00Z</dcterms:created>
  <dc:creator>Kingsoft-PDF</dc:creator>
  <cp:lastModifiedBy>原东东</cp:lastModifiedBy>
  <dcterms:modified xsi:type="dcterms:W3CDTF">2025-10-29T12:37:58Z</dcterms:modified>
  <dc:subject>pdfbuilder</dc:subject>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2023-06-16T15:42:48Z</vt:filetime>
  </property>
  <property fmtid="{D5CDD505-2E9C-101B-9397-08002B2CF9AE}" pid="4" name="UsrData">
    <vt:lpwstr>648c1239671803001f376904</vt:lpwstr>
  </property>
  <property fmtid="{D5CDD505-2E9C-101B-9397-08002B2CF9AE}" pid="5" name="KSOProductBuildVer">
    <vt:lpwstr>2052-12.1.0.23125</vt:lpwstr>
  </property>
  <property fmtid="{D5CDD505-2E9C-101B-9397-08002B2CF9AE}" pid="6" name="ICV">
    <vt:lpwstr>B69FA455F6A6497EA324907075961BCD_13</vt:lpwstr>
  </property>
  <property fmtid="{D5CDD505-2E9C-101B-9397-08002B2CF9AE}" pid="7" name="KSOTemplateDocerSaveRecord">
    <vt:lpwstr>eyJoZGlkIjoiNGUwMWI0ZDFkYjdkZDUyZWY4ZjdmZGMxZGJmOTRhOTMiLCJ1c2VySWQiOiIyMzAzNzQ3NjMifQ==</vt:lpwstr>
  </property>
</Properties>
</file>