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1B1EA">
      <w:pPr>
        <w:spacing w:line="400" w:lineRule="exact"/>
        <w:jc w:val="center"/>
        <w:rPr>
          <w:b/>
          <w:bCs/>
          <w:sz w:val="32"/>
          <w:szCs w:val="52"/>
        </w:rPr>
      </w:pPr>
      <w:r>
        <w:rPr>
          <w:rFonts w:hint="eastAsia"/>
          <w:b/>
          <w:bCs/>
          <w:sz w:val="32"/>
          <w:szCs w:val="52"/>
        </w:rPr>
        <w:t>设备维保</w:t>
      </w:r>
      <w:r>
        <w:rPr>
          <w:b/>
          <w:bCs/>
          <w:sz w:val="32"/>
          <w:szCs w:val="52"/>
        </w:rPr>
        <w:t>合同</w:t>
      </w:r>
    </w:p>
    <w:p w14:paraId="1C8131C4">
      <w:pPr>
        <w:snapToGrid w:val="0"/>
        <w:spacing w:line="480" w:lineRule="auto"/>
        <w:jc w:val="right"/>
        <w:rPr>
          <w:b/>
          <w:bCs/>
          <w:sz w:val="32"/>
          <w:szCs w:val="52"/>
        </w:rPr>
      </w:pPr>
      <w:r>
        <w:rPr>
          <w:rFonts w:hint="eastAsia" w:ascii="宋体" w:hAnsi="宋体" w:cs="宋体"/>
          <w:szCs w:val="21"/>
        </w:rPr>
        <w:t>签订地点：深圳</w:t>
      </w:r>
    </w:p>
    <w:p w14:paraId="1510E738">
      <w:pPr>
        <w:spacing w:line="480" w:lineRule="auto"/>
        <w:rPr>
          <w:b/>
          <w:bCs/>
          <w:kern w:val="0"/>
          <w:sz w:val="24"/>
          <w:szCs w:val="24"/>
          <w:u w:val="single"/>
        </w:rPr>
      </w:pPr>
      <w:r>
        <w:rPr>
          <w:b/>
          <w:bCs/>
          <w:kern w:val="0"/>
          <w:sz w:val="24"/>
          <w:szCs w:val="24"/>
        </w:rPr>
        <w:t>甲方（</w:t>
      </w:r>
      <w:r>
        <w:rPr>
          <w:rFonts w:hint="eastAsia"/>
          <w:b/>
          <w:bCs/>
          <w:kern w:val="0"/>
          <w:sz w:val="24"/>
          <w:szCs w:val="24"/>
        </w:rPr>
        <w:t>需</w:t>
      </w:r>
      <w:r>
        <w:rPr>
          <w:b/>
          <w:bCs/>
          <w:kern w:val="0"/>
          <w:sz w:val="24"/>
          <w:szCs w:val="24"/>
        </w:rPr>
        <w:t>方）:  清华大学</w:t>
      </w:r>
      <w:r>
        <w:rPr>
          <w:rFonts w:hint="eastAsia"/>
          <w:b/>
          <w:bCs/>
          <w:kern w:val="0"/>
          <w:sz w:val="24"/>
          <w:szCs w:val="24"/>
        </w:rPr>
        <w:t>深圳国际研究生院</w:t>
      </w:r>
      <w:r>
        <w:rPr>
          <w:b/>
          <w:bCs/>
          <w:kern w:val="0"/>
          <w:sz w:val="24"/>
          <w:szCs w:val="24"/>
        </w:rPr>
        <w:t xml:space="preserve">  </w:t>
      </w:r>
      <w:r>
        <w:rPr>
          <w:rFonts w:hint="eastAsia"/>
          <w:b/>
          <w:bCs/>
          <w:kern w:val="0"/>
          <w:sz w:val="24"/>
          <w:szCs w:val="24"/>
        </w:rPr>
        <w:t xml:space="preserve">         </w:t>
      </w:r>
      <w:r>
        <w:rPr>
          <w:b/>
          <w:bCs/>
          <w:kern w:val="0"/>
          <w:sz w:val="24"/>
          <w:szCs w:val="24"/>
        </w:rPr>
        <w:t xml:space="preserve"> </w:t>
      </w:r>
    </w:p>
    <w:p w14:paraId="5A11AC6B">
      <w:pPr>
        <w:spacing w:afterLines="100" w:line="480" w:lineRule="auto"/>
        <w:rPr>
          <w:b/>
          <w:bCs/>
          <w:kern w:val="0"/>
          <w:sz w:val="24"/>
          <w:szCs w:val="24"/>
        </w:rPr>
      </w:pPr>
      <w:r>
        <w:rPr>
          <w:b/>
          <w:bCs/>
          <w:kern w:val="0"/>
          <w:sz w:val="24"/>
          <w:szCs w:val="24"/>
        </w:rPr>
        <w:t>乙方（</w:t>
      </w:r>
      <w:r>
        <w:rPr>
          <w:rFonts w:hint="eastAsia"/>
          <w:b/>
          <w:bCs/>
          <w:kern w:val="0"/>
          <w:sz w:val="24"/>
          <w:szCs w:val="24"/>
        </w:rPr>
        <w:t>供</w:t>
      </w:r>
      <w:r>
        <w:rPr>
          <w:b/>
          <w:bCs/>
          <w:kern w:val="0"/>
          <w:sz w:val="24"/>
          <w:szCs w:val="24"/>
        </w:rPr>
        <w:t>方）:</w:t>
      </w:r>
      <w:r>
        <w:rPr>
          <w:kern w:val="0"/>
          <w:sz w:val="24"/>
          <w:szCs w:val="24"/>
        </w:rPr>
        <w:t xml:space="preserve"> </w:t>
      </w:r>
      <w:r>
        <w:rPr>
          <w:kern w:val="0"/>
          <w:sz w:val="24"/>
          <w:szCs w:val="24"/>
          <w:u w:val="single"/>
        </w:rPr>
        <w:t xml:space="preserve">                                 </w:t>
      </w:r>
    </w:p>
    <w:p w14:paraId="650649E6">
      <w:pPr>
        <w:adjustRightInd w:val="0"/>
        <w:snapToGrid w:val="0"/>
        <w:spacing w:afterLines="50" w:line="360" w:lineRule="auto"/>
        <w:ind w:firstLine="420" w:firstLineChars="200"/>
        <w:rPr>
          <w:szCs w:val="21"/>
        </w:rPr>
      </w:pPr>
      <w:r>
        <w:rPr>
          <w:szCs w:val="21"/>
        </w:rPr>
        <w:t>根据《中华人民共和国</w:t>
      </w:r>
      <w:r>
        <w:rPr>
          <w:rFonts w:hint="eastAsia"/>
          <w:szCs w:val="21"/>
        </w:rPr>
        <w:t>民法典</w:t>
      </w:r>
      <w:r>
        <w:rPr>
          <w:szCs w:val="21"/>
        </w:rPr>
        <w:t>》</w:t>
      </w:r>
      <w:r>
        <w:rPr>
          <w:rFonts w:hint="eastAsia"/>
          <w:szCs w:val="21"/>
        </w:rPr>
        <w:t>、</w:t>
      </w:r>
      <w:r>
        <w:rPr>
          <w:rFonts w:hint="eastAsia" w:asciiTheme="minorEastAsia" w:hAnsiTheme="minorEastAsia" w:eastAsiaTheme="minorEastAsia"/>
          <w:szCs w:val="21"/>
        </w:rPr>
        <w:t>《深圳经济特区政府采购条例》</w:t>
      </w:r>
      <w:r>
        <w:rPr>
          <w:szCs w:val="21"/>
        </w:rPr>
        <w:t>及其他相关法律法规，</w:t>
      </w:r>
      <w:bookmarkStart w:id="0" w:name="_GoBack"/>
      <w:bookmarkEnd w:id="0"/>
      <w:r>
        <w:rPr>
          <w:szCs w:val="21"/>
        </w:rPr>
        <w:t>甲乙双方本着自愿公平、诚实信用的原则，经双方充分、友好协商，签订本合同，以供双方恪守履行。</w:t>
      </w:r>
    </w:p>
    <w:p w14:paraId="1DC7D0D8">
      <w:pPr>
        <w:adjustRightInd w:val="0"/>
        <w:snapToGrid w:val="0"/>
        <w:spacing w:afterLines="50" w:line="360" w:lineRule="auto"/>
        <w:rPr>
          <w:b/>
          <w:szCs w:val="21"/>
        </w:rPr>
      </w:pPr>
      <w:r>
        <w:rPr>
          <w:rFonts w:hint="eastAsia"/>
          <w:b/>
          <w:szCs w:val="21"/>
        </w:rPr>
        <w:t>一、所需维保设备信息</w:t>
      </w:r>
    </w:p>
    <w:tbl>
      <w:tblPr>
        <w:tblStyle w:val="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397"/>
        <w:gridCol w:w="992"/>
        <w:gridCol w:w="992"/>
        <w:gridCol w:w="1134"/>
        <w:gridCol w:w="1134"/>
        <w:gridCol w:w="851"/>
      </w:tblGrid>
      <w:tr w14:paraId="3338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shd w:val="clear" w:color="auto" w:fill="auto"/>
            <w:vAlign w:val="center"/>
          </w:tcPr>
          <w:p w14:paraId="4C83DDF5">
            <w:pPr>
              <w:spacing w:line="360" w:lineRule="auto"/>
              <w:jc w:val="center"/>
              <w:rPr>
                <w:b/>
                <w:szCs w:val="21"/>
              </w:rPr>
            </w:pPr>
            <w:r>
              <w:rPr>
                <w:rFonts w:hint="eastAsia"/>
                <w:b/>
                <w:szCs w:val="21"/>
              </w:rPr>
              <w:t>序号</w:t>
            </w:r>
          </w:p>
        </w:tc>
        <w:tc>
          <w:tcPr>
            <w:tcW w:w="2397" w:type="dxa"/>
            <w:shd w:val="clear" w:color="auto" w:fill="auto"/>
            <w:vAlign w:val="center"/>
          </w:tcPr>
          <w:p w14:paraId="4EC06A9F">
            <w:pPr>
              <w:spacing w:line="360" w:lineRule="auto"/>
              <w:jc w:val="center"/>
              <w:rPr>
                <w:b/>
                <w:szCs w:val="21"/>
              </w:rPr>
            </w:pPr>
            <w:r>
              <w:rPr>
                <w:rFonts w:hint="eastAsia"/>
                <w:b/>
                <w:szCs w:val="21"/>
              </w:rPr>
              <w:t>所需维保设备</w:t>
            </w:r>
            <w:r>
              <w:rPr>
                <w:b/>
                <w:szCs w:val="21"/>
              </w:rPr>
              <w:t>名称</w:t>
            </w:r>
          </w:p>
        </w:tc>
        <w:tc>
          <w:tcPr>
            <w:tcW w:w="992" w:type="dxa"/>
            <w:shd w:val="clear" w:color="auto" w:fill="auto"/>
            <w:vAlign w:val="center"/>
          </w:tcPr>
          <w:p w14:paraId="125D4B5E">
            <w:pPr>
              <w:spacing w:line="360" w:lineRule="auto"/>
              <w:jc w:val="center"/>
              <w:rPr>
                <w:b/>
                <w:szCs w:val="21"/>
              </w:rPr>
            </w:pPr>
            <w:r>
              <w:rPr>
                <w:rFonts w:hint="eastAsia"/>
                <w:b/>
                <w:szCs w:val="21"/>
              </w:rPr>
              <w:t>规格</w:t>
            </w:r>
          </w:p>
          <w:p w14:paraId="2FE47B42">
            <w:pPr>
              <w:spacing w:line="360" w:lineRule="auto"/>
              <w:jc w:val="center"/>
              <w:rPr>
                <w:b/>
                <w:szCs w:val="21"/>
              </w:rPr>
            </w:pPr>
            <w:r>
              <w:rPr>
                <w:b/>
                <w:szCs w:val="21"/>
              </w:rPr>
              <w:t>型号</w:t>
            </w:r>
          </w:p>
        </w:tc>
        <w:tc>
          <w:tcPr>
            <w:tcW w:w="992" w:type="dxa"/>
            <w:shd w:val="clear" w:color="auto" w:fill="auto"/>
            <w:vAlign w:val="center"/>
          </w:tcPr>
          <w:p w14:paraId="358D4C22">
            <w:pPr>
              <w:spacing w:line="360" w:lineRule="auto"/>
              <w:jc w:val="center"/>
              <w:rPr>
                <w:b/>
                <w:szCs w:val="21"/>
              </w:rPr>
            </w:pPr>
            <w:r>
              <w:rPr>
                <w:rFonts w:hint="eastAsia"/>
                <w:b/>
                <w:szCs w:val="21"/>
              </w:rPr>
              <w:t>生产</w:t>
            </w:r>
          </w:p>
          <w:p w14:paraId="304D8E1B">
            <w:pPr>
              <w:spacing w:line="360" w:lineRule="auto"/>
              <w:jc w:val="center"/>
              <w:rPr>
                <w:b/>
                <w:szCs w:val="21"/>
              </w:rPr>
            </w:pPr>
            <w:r>
              <w:rPr>
                <w:rFonts w:hint="eastAsia"/>
                <w:b/>
                <w:szCs w:val="21"/>
              </w:rPr>
              <w:t>厂家</w:t>
            </w:r>
          </w:p>
        </w:tc>
        <w:tc>
          <w:tcPr>
            <w:tcW w:w="1134" w:type="dxa"/>
            <w:shd w:val="clear" w:color="auto" w:fill="auto"/>
            <w:vAlign w:val="center"/>
          </w:tcPr>
          <w:p w14:paraId="5F69C8DB">
            <w:pPr>
              <w:spacing w:line="360" w:lineRule="auto"/>
              <w:jc w:val="center"/>
              <w:rPr>
                <w:b/>
                <w:szCs w:val="21"/>
              </w:rPr>
            </w:pPr>
            <w:r>
              <w:rPr>
                <w:rFonts w:hint="eastAsia"/>
                <w:b/>
                <w:szCs w:val="21"/>
              </w:rPr>
              <w:t>原单价（元）</w:t>
            </w:r>
          </w:p>
        </w:tc>
        <w:tc>
          <w:tcPr>
            <w:tcW w:w="1134" w:type="dxa"/>
            <w:vAlign w:val="center"/>
          </w:tcPr>
          <w:p w14:paraId="50795588">
            <w:pPr>
              <w:spacing w:line="360" w:lineRule="auto"/>
              <w:jc w:val="center"/>
              <w:rPr>
                <w:b/>
                <w:szCs w:val="21"/>
              </w:rPr>
            </w:pPr>
            <w:r>
              <w:rPr>
                <w:rFonts w:hint="eastAsia"/>
                <w:b/>
                <w:szCs w:val="21"/>
              </w:rPr>
              <w:t>数量</w:t>
            </w:r>
          </w:p>
          <w:p w14:paraId="0F17EC89">
            <w:pPr>
              <w:spacing w:line="360" w:lineRule="auto"/>
              <w:jc w:val="center"/>
              <w:rPr>
                <w:b/>
                <w:szCs w:val="21"/>
              </w:rPr>
            </w:pPr>
            <w:r>
              <w:rPr>
                <w:rFonts w:hint="eastAsia"/>
                <w:b/>
                <w:szCs w:val="21"/>
              </w:rPr>
              <w:t>（单位）</w:t>
            </w:r>
          </w:p>
        </w:tc>
        <w:tc>
          <w:tcPr>
            <w:tcW w:w="851" w:type="dxa"/>
            <w:vAlign w:val="center"/>
          </w:tcPr>
          <w:p w14:paraId="59BC450D">
            <w:pPr>
              <w:spacing w:line="360" w:lineRule="auto"/>
              <w:jc w:val="center"/>
              <w:rPr>
                <w:b/>
                <w:szCs w:val="21"/>
              </w:rPr>
            </w:pPr>
            <w:r>
              <w:rPr>
                <w:rFonts w:hint="eastAsia"/>
                <w:b/>
                <w:szCs w:val="21"/>
              </w:rPr>
              <w:t>备注</w:t>
            </w:r>
          </w:p>
        </w:tc>
      </w:tr>
      <w:tr w14:paraId="03E7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shd w:val="clear" w:color="auto" w:fill="auto"/>
          </w:tcPr>
          <w:p w14:paraId="0199F557">
            <w:pPr>
              <w:spacing w:afterLines="50" w:line="360" w:lineRule="auto"/>
              <w:jc w:val="center"/>
              <w:rPr>
                <w:szCs w:val="21"/>
              </w:rPr>
            </w:pPr>
            <w:r>
              <w:rPr>
                <w:rFonts w:hint="eastAsia"/>
                <w:szCs w:val="21"/>
              </w:rPr>
              <w:t>1</w:t>
            </w:r>
          </w:p>
        </w:tc>
        <w:tc>
          <w:tcPr>
            <w:tcW w:w="2397" w:type="dxa"/>
            <w:shd w:val="clear" w:color="auto" w:fill="auto"/>
          </w:tcPr>
          <w:p w14:paraId="2B9920CD">
            <w:pPr>
              <w:spacing w:afterLines="50" w:line="360" w:lineRule="auto"/>
              <w:jc w:val="center"/>
              <w:rPr>
                <w:szCs w:val="21"/>
              </w:rPr>
            </w:pPr>
          </w:p>
        </w:tc>
        <w:tc>
          <w:tcPr>
            <w:tcW w:w="992" w:type="dxa"/>
            <w:shd w:val="clear" w:color="auto" w:fill="auto"/>
          </w:tcPr>
          <w:p w14:paraId="78C2187A">
            <w:pPr>
              <w:spacing w:afterLines="50" w:line="360" w:lineRule="auto"/>
              <w:rPr>
                <w:szCs w:val="21"/>
              </w:rPr>
            </w:pPr>
          </w:p>
        </w:tc>
        <w:tc>
          <w:tcPr>
            <w:tcW w:w="992" w:type="dxa"/>
            <w:shd w:val="clear" w:color="auto" w:fill="auto"/>
          </w:tcPr>
          <w:p w14:paraId="3081B803">
            <w:pPr>
              <w:spacing w:afterLines="50" w:line="360" w:lineRule="auto"/>
              <w:rPr>
                <w:szCs w:val="21"/>
              </w:rPr>
            </w:pPr>
          </w:p>
        </w:tc>
        <w:tc>
          <w:tcPr>
            <w:tcW w:w="1134" w:type="dxa"/>
            <w:shd w:val="clear" w:color="auto" w:fill="auto"/>
          </w:tcPr>
          <w:p w14:paraId="2ACB33E5">
            <w:pPr>
              <w:spacing w:afterLines="50" w:line="360" w:lineRule="auto"/>
              <w:rPr>
                <w:szCs w:val="21"/>
              </w:rPr>
            </w:pPr>
          </w:p>
        </w:tc>
        <w:tc>
          <w:tcPr>
            <w:tcW w:w="1134" w:type="dxa"/>
          </w:tcPr>
          <w:p w14:paraId="1670BD44">
            <w:pPr>
              <w:spacing w:afterLines="50" w:line="360" w:lineRule="auto"/>
              <w:rPr>
                <w:szCs w:val="21"/>
              </w:rPr>
            </w:pPr>
          </w:p>
        </w:tc>
        <w:tc>
          <w:tcPr>
            <w:tcW w:w="851" w:type="dxa"/>
          </w:tcPr>
          <w:p w14:paraId="483BEB41">
            <w:pPr>
              <w:spacing w:afterLines="50" w:line="360" w:lineRule="auto"/>
              <w:rPr>
                <w:szCs w:val="21"/>
              </w:rPr>
            </w:pPr>
          </w:p>
        </w:tc>
      </w:tr>
      <w:tr w14:paraId="2BA0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shd w:val="clear" w:color="auto" w:fill="auto"/>
          </w:tcPr>
          <w:p w14:paraId="4733827A">
            <w:pPr>
              <w:spacing w:afterLines="50" w:line="360" w:lineRule="auto"/>
              <w:jc w:val="center"/>
              <w:rPr>
                <w:szCs w:val="21"/>
              </w:rPr>
            </w:pPr>
            <w:r>
              <w:rPr>
                <w:rFonts w:hint="eastAsia"/>
                <w:szCs w:val="21"/>
              </w:rPr>
              <w:t>2</w:t>
            </w:r>
          </w:p>
        </w:tc>
        <w:tc>
          <w:tcPr>
            <w:tcW w:w="2397" w:type="dxa"/>
            <w:shd w:val="clear" w:color="auto" w:fill="auto"/>
          </w:tcPr>
          <w:p w14:paraId="64B28017">
            <w:pPr>
              <w:spacing w:afterLines="50" w:line="360" w:lineRule="auto"/>
              <w:rPr>
                <w:szCs w:val="21"/>
              </w:rPr>
            </w:pPr>
          </w:p>
        </w:tc>
        <w:tc>
          <w:tcPr>
            <w:tcW w:w="992" w:type="dxa"/>
            <w:shd w:val="clear" w:color="auto" w:fill="auto"/>
          </w:tcPr>
          <w:p w14:paraId="4A8C73BF">
            <w:pPr>
              <w:spacing w:afterLines="50" w:line="360" w:lineRule="auto"/>
              <w:rPr>
                <w:szCs w:val="21"/>
              </w:rPr>
            </w:pPr>
          </w:p>
        </w:tc>
        <w:tc>
          <w:tcPr>
            <w:tcW w:w="992" w:type="dxa"/>
            <w:shd w:val="clear" w:color="auto" w:fill="auto"/>
          </w:tcPr>
          <w:p w14:paraId="3489CAC3">
            <w:pPr>
              <w:spacing w:afterLines="50" w:line="360" w:lineRule="auto"/>
              <w:rPr>
                <w:szCs w:val="21"/>
              </w:rPr>
            </w:pPr>
          </w:p>
        </w:tc>
        <w:tc>
          <w:tcPr>
            <w:tcW w:w="1134" w:type="dxa"/>
            <w:shd w:val="clear" w:color="auto" w:fill="auto"/>
          </w:tcPr>
          <w:p w14:paraId="06784440">
            <w:pPr>
              <w:spacing w:afterLines="50" w:line="360" w:lineRule="auto"/>
              <w:rPr>
                <w:szCs w:val="21"/>
              </w:rPr>
            </w:pPr>
          </w:p>
        </w:tc>
        <w:tc>
          <w:tcPr>
            <w:tcW w:w="1134" w:type="dxa"/>
          </w:tcPr>
          <w:p w14:paraId="14C3D497">
            <w:pPr>
              <w:spacing w:afterLines="50" w:line="360" w:lineRule="auto"/>
              <w:rPr>
                <w:szCs w:val="21"/>
              </w:rPr>
            </w:pPr>
          </w:p>
        </w:tc>
        <w:tc>
          <w:tcPr>
            <w:tcW w:w="851" w:type="dxa"/>
          </w:tcPr>
          <w:p w14:paraId="03958254">
            <w:pPr>
              <w:spacing w:afterLines="50" w:line="360" w:lineRule="auto"/>
              <w:rPr>
                <w:szCs w:val="21"/>
              </w:rPr>
            </w:pPr>
          </w:p>
        </w:tc>
      </w:tr>
    </w:tbl>
    <w:p w14:paraId="00B45842">
      <w:pPr>
        <w:adjustRightInd w:val="0"/>
        <w:snapToGrid w:val="0"/>
        <w:spacing w:beforeLines="100" w:line="360" w:lineRule="exact"/>
        <w:rPr>
          <w:b/>
          <w:szCs w:val="21"/>
        </w:rPr>
      </w:pPr>
      <w:r>
        <w:rPr>
          <w:rFonts w:hint="eastAsia"/>
          <w:b/>
          <w:szCs w:val="21"/>
        </w:rPr>
        <w:t>二、维保</w:t>
      </w:r>
      <w:r>
        <w:rPr>
          <w:b/>
          <w:szCs w:val="21"/>
        </w:rPr>
        <w:t>合同价款及付款方式：</w:t>
      </w:r>
    </w:p>
    <w:p w14:paraId="36567432">
      <w:pPr>
        <w:adjustRightInd w:val="0"/>
        <w:snapToGrid w:val="0"/>
        <w:spacing w:line="360" w:lineRule="exact"/>
        <w:ind w:firstLine="420" w:firstLineChars="200"/>
        <w:rPr>
          <w:bCs/>
          <w:szCs w:val="21"/>
        </w:rPr>
      </w:pPr>
      <w:r>
        <w:rPr>
          <w:rFonts w:hint="eastAsia"/>
          <w:bCs/>
          <w:szCs w:val="21"/>
        </w:rPr>
        <w:t xml:space="preserve">1. </w:t>
      </w:r>
      <w:r>
        <w:rPr>
          <w:bCs/>
          <w:szCs w:val="21"/>
        </w:rPr>
        <w:t>合同价款</w:t>
      </w:r>
      <w:r>
        <w:rPr>
          <w:rFonts w:hint="eastAsia"/>
          <w:bCs/>
          <w:szCs w:val="21"/>
        </w:rPr>
        <w:t>为</w:t>
      </w:r>
      <w:r>
        <w:rPr>
          <w:bCs/>
          <w:szCs w:val="21"/>
        </w:rPr>
        <w:t>人民币：</w:t>
      </w:r>
      <w:r>
        <w:rPr>
          <w:rFonts w:hint="eastAsia"/>
          <w:bCs/>
          <w:szCs w:val="21"/>
        </w:rPr>
        <w:t>大写</w:t>
      </w:r>
      <w:r>
        <w:rPr>
          <w:rFonts w:hint="eastAsia"/>
          <w:bCs/>
          <w:szCs w:val="21"/>
          <w:u w:val="single"/>
        </w:rPr>
        <w:t xml:space="preserve">   </w:t>
      </w:r>
      <w:r>
        <w:rPr>
          <w:bCs/>
          <w:szCs w:val="21"/>
          <w:u w:val="single"/>
        </w:rPr>
        <w:t xml:space="preserve">              </w:t>
      </w:r>
      <w:r>
        <w:rPr>
          <w:bCs/>
          <w:szCs w:val="21"/>
        </w:rPr>
        <w:t>（</w:t>
      </w:r>
      <w:r>
        <w:rPr>
          <w:rFonts w:hint="eastAsia"/>
          <w:bCs/>
          <w:szCs w:val="21"/>
        </w:rPr>
        <w:t>小写</w:t>
      </w:r>
      <w:r>
        <w:rPr>
          <w:bCs/>
          <w:szCs w:val="21"/>
        </w:rPr>
        <w:t>￥</w:t>
      </w:r>
      <w:r>
        <w:rPr>
          <w:bCs/>
          <w:szCs w:val="21"/>
          <w:u w:val="single"/>
        </w:rPr>
        <w:t xml:space="preserve">         </w:t>
      </w:r>
      <w:r>
        <w:rPr>
          <w:rFonts w:hint="eastAsia"/>
          <w:bCs/>
          <w:szCs w:val="21"/>
        </w:rPr>
        <w:t>元</w:t>
      </w:r>
      <w:r>
        <w:rPr>
          <w:bCs/>
          <w:szCs w:val="21"/>
        </w:rPr>
        <w:t>），该价格为全部价款，包括</w:t>
      </w:r>
      <w:r>
        <w:rPr>
          <w:rFonts w:hint="eastAsia"/>
          <w:bCs/>
          <w:szCs w:val="21"/>
        </w:rPr>
        <w:t>人工费用、设备维修</w:t>
      </w:r>
      <w:r>
        <w:rPr>
          <w:bCs/>
          <w:szCs w:val="21"/>
        </w:rPr>
        <w:t>、调试及售后服务等各项费用</w:t>
      </w:r>
      <w:r>
        <w:rPr>
          <w:rFonts w:hint="eastAsia"/>
          <w:bCs/>
          <w:szCs w:val="21"/>
        </w:rPr>
        <w:t>及相关税费等</w:t>
      </w:r>
      <w:r>
        <w:rPr>
          <w:bCs/>
          <w:szCs w:val="21"/>
        </w:rPr>
        <w:t>，甲方不再向乙方支付本合同</w:t>
      </w:r>
      <w:r>
        <w:rPr>
          <w:rFonts w:hint="eastAsia"/>
          <w:bCs/>
          <w:szCs w:val="21"/>
        </w:rPr>
        <w:t>约定</w:t>
      </w:r>
      <w:r>
        <w:rPr>
          <w:bCs/>
          <w:szCs w:val="21"/>
        </w:rPr>
        <w:t>之外的任何其他费用。</w:t>
      </w:r>
    </w:p>
    <w:p w14:paraId="5D384622">
      <w:pPr>
        <w:adjustRightInd w:val="0"/>
        <w:snapToGrid w:val="0"/>
        <w:spacing w:line="360" w:lineRule="exact"/>
        <w:ind w:firstLine="420" w:firstLineChars="200"/>
        <w:rPr>
          <w:bCs/>
          <w:szCs w:val="21"/>
        </w:rPr>
      </w:pPr>
      <w:r>
        <w:rPr>
          <w:rFonts w:hint="eastAsia"/>
          <w:bCs/>
          <w:szCs w:val="21"/>
        </w:rPr>
        <w:t xml:space="preserve">2. </w:t>
      </w:r>
      <w:r>
        <w:rPr>
          <w:bCs/>
          <w:szCs w:val="21"/>
        </w:rPr>
        <w:t>付款方式：</w:t>
      </w:r>
    </w:p>
    <w:p w14:paraId="78B78FF6">
      <w:pPr>
        <w:adjustRightInd w:val="0"/>
        <w:snapToGrid w:val="0"/>
        <w:spacing w:line="360" w:lineRule="exact"/>
        <w:ind w:firstLine="630" w:firstLineChars="300"/>
        <w:rPr>
          <w:bCs/>
          <w:szCs w:val="21"/>
        </w:rPr>
      </w:pPr>
      <w:r>
        <w:rPr>
          <w:rFonts w:hint="eastAsia"/>
          <w:bCs/>
          <w:szCs w:val="21"/>
        </w:rPr>
        <w:t>甲方采用下列第     条的方式支付合同价款。</w:t>
      </w:r>
    </w:p>
    <w:p w14:paraId="6CB6E0B1">
      <w:pPr>
        <w:adjustRightInd w:val="0"/>
        <w:snapToGrid w:val="0"/>
        <w:spacing w:line="360" w:lineRule="exact"/>
        <w:ind w:firstLine="630" w:firstLineChars="300"/>
        <w:rPr>
          <w:bCs/>
          <w:szCs w:val="21"/>
        </w:rPr>
      </w:pPr>
      <w:r>
        <w:rPr>
          <w:rFonts w:hint="eastAsia"/>
          <w:bCs/>
          <w:szCs w:val="21"/>
        </w:rPr>
        <w:t>（1）一次性支付：</w:t>
      </w:r>
    </w:p>
    <w:p w14:paraId="179F28EC">
      <w:pPr>
        <w:adjustRightInd w:val="0"/>
        <w:snapToGrid w:val="0"/>
        <w:spacing w:line="360" w:lineRule="exact"/>
        <w:ind w:firstLine="630" w:firstLineChars="300"/>
        <w:rPr>
          <w:bCs/>
          <w:szCs w:val="21"/>
        </w:rPr>
      </w:pPr>
      <w:r>
        <w:rPr>
          <w:rFonts w:hint="eastAsia"/>
          <w:bCs/>
          <w:szCs w:val="21"/>
        </w:rPr>
        <w:t>甲方自本合同生效并收到乙方开具的等额发票后</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个工作日内支付；</w:t>
      </w:r>
    </w:p>
    <w:p w14:paraId="1E43D8BA">
      <w:pPr>
        <w:adjustRightInd w:val="0"/>
        <w:snapToGrid w:val="0"/>
        <w:spacing w:line="360" w:lineRule="exact"/>
        <w:ind w:firstLine="630" w:firstLineChars="300"/>
        <w:rPr>
          <w:szCs w:val="21"/>
        </w:rPr>
      </w:pPr>
      <w:r>
        <w:rPr>
          <w:rFonts w:hint="eastAsia"/>
          <w:bCs/>
          <w:szCs w:val="21"/>
        </w:rPr>
        <w:t>（2）</w:t>
      </w:r>
      <w:r>
        <w:rPr>
          <w:szCs w:val="21"/>
        </w:rPr>
        <w:t>分期付款</w:t>
      </w:r>
      <w:r>
        <w:rPr>
          <w:rFonts w:hint="eastAsia"/>
          <w:szCs w:val="21"/>
        </w:rPr>
        <w:t xml:space="preserve">： </w:t>
      </w:r>
    </w:p>
    <w:p w14:paraId="252928B8">
      <w:pPr>
        <w:adjustRightInd w:val="0"/>
        <w:snapToGrid w:val="0"/>
        <w:spacing w:line="360" w:lineRule="exact"/>
        <w:ind w:firstLine="420" w:firstLineChars="200"/>
        <w:rPr>
          <w:bCs/>
          <w:szCs w:val="21"/>
        </w:rPr>
      </w:pPr>
      <w:r>
        <w:rPr>
          <w:bCs/>
          <w:szCs w:val="21"/>
        </w:rPr>
        <w:t>甲方自合同生效后</w:t>
      </w:r>
      <w:r>
        <w:rPr>
          <w:bCs/>
          <w:szCs w:val="21"/>
          <w:u w:val="single"/>
        </w:rPr>
        <w:t xml:space="preserve">    </w:t>
      </w:r>
      <w:r>
        <w:rPr>
          <w:bCs/>
          <w:szCs w:val="21"/>
        </w:rPr>
        <w:t>个工作日内，</w:t>
      </w:r>
      <w:commentRangeStart w:id="0"/>
      <w:r>
        <w:rPr>
          <w:bCs/>
          <w:szCs w:val="21"/>
        </w:rPr>
        <w:t>支付预付款人民币大写</w:t>
      </w:r>
      <w:r>
        <w:rPr>
          <w:bCs/>
          <w:szCs w:val="21"/>
          <w:u w:val="single"/>
        </w:rPr>
        <w:t xml:space="preserve">        </w:t>
      </w:r>
      <w:commentRangeEnd w:id="0"/>
      <w:r>
        <w:rPr>
          <w:bCs/>
          <w:szCs w:val="21"/>
          <w:u w:val="single"/>
        </w:rPr>
        <w:commentReference w:id="0"/>
      </w:r>
      <w:r>
        <w:rPr>
          <w:bCs/>
          <w:szCs w:val="21"/>
        </w:rPr>
        <w:t>，小写：</w:t>
      </w:r>
    </w:p>
    <w:p w14:paraId="62AEECD9">
      <w:pPr>
        <w:adjustRightInd w:val="0"/>
        <w:snapToGrid w:val="0"/>
        <w:spacing w:line="360" w:lineRule="exact"/>
        <w:ind w:firstLine="420" w:firstLineChars="200"/>
        <w:rPr>
          <w:bCs/>
          <w:szCs w:val="21"/>
        </w:rPr>
      </w:pPr>
      <w:r>
        <w:rPr>
          <w:bCs/>
          <w:szCs w:val="21"/>
          <w:u w:val="single"/>
        </w:rPr>
        <w:t xml:space="preserve">        </w:t>
      </w:r>
      <w:r>
        <w:rPr>
          <w:rFonts w:hint="eastAsia"/>
          <w:bCs/>
          <w:szCs w:val="21"/>
          <w:u w:val="single"/>
        </w:rPr>
        <w:t xml:space="preserve">  </w:t>
      </w:r>
      <w:r>
        <w:rPr>
          <w:bCs/>
          <w:szCs w:val="21"/>
        </w:rPr>
        <w:t>（含税）；</w:t>
      </w:r>
    </w:p>
    <w:p w14:paraId="54F5774E">
      <w:pPr>
        <w:adjustRightInd w:val="0"/>
        <w:snapToGrid w:val="0"/>
        <w:spacing w:line="360" w:lineRule="exact"/>
        <w:ind w:firstLine="420" w:firstLineChars="200"/>
        <w:rPr>
          <w:szCs w:val="21"/>
        </w:rPr>
      </w:pPr>
      <w:r>
        <w:rPr>
          <w:szCs w:val="21"/>
        </w:rPr>
        <w:t>甲方自</w:t>
      </w:r>
      <w:r>
        <w:rPr>
          <w:rFonts w:hint="eastAsia"/>
          <w:szCs w:val="21"/>
        </w:rPr>
        <w:t>设备维保</w:t>
      </w:r>
      <w:r>
        <w:rPr>
          <w:szCs w:val="21"/>
        </w:rPr>
        <w:t>验收合格并收到乙方开具的等额发票后</w:t>
      </w:r>
      <w:r>
        <w:rPr>
          <w:szCs w:val="21"/>
          <w:u w:val="single"/>
        </w:rPr>
        <w:t xml:space="preserve">       </w:t>
      </w:r>
      <w:r>
        <w:rPr>
          <w:szCs w:val="21"/>
        </w:rPr>
        <w:t>个工作日内，支付</w:t>
      </w:r>
      <w:r>
        <w:rPr>
          <w:rFonts w:hint="eastAsia"/>
          <w:szCs w:val="21"/>
        </w:rPr>
        <w:t>尾</w:t>
      </w:r>
      <w:r>
        <w:rPr>
          <w:szCs w:val="21"/>
        </w:rPr>
        <w:t>款人民币</w:t>
      </w:r>
      <w:r>
        <w:rPr>
          <w:rFonts w:hint="eastAsia"/>
          <w:szCs w:val="21"/>
        </w:rPr>
        <w:t>大写</w:t>
      </w:r>
      <w:r>
        <w:rPr>
          <w:szCs w:val="21"/>
          <w:u w:val="single"/>
        </w:rPr>
        <w:t xml:space="preserve">           </w:t>
      </w:r>
      <w:r>
        <w:rPr>
          <w:szCs w:val="21"/>
        </w:rPr>
        <w:t>，</w:t>
      </w:r>
      <w:r>
        <w:rPr>
          <w:rFonts w:hint="eastAsia"/>
          <w:szCs w:val="21"/>
        </w:rPr>
        <w:t>小</w:t>
      </w:r>
      <w:r>
        <w:rPr>
          <w:szCs w:val="21"/>
        </w:rPr>
        <w:t>写：</w:t>
      </w:r>
      <w:r>
        <w:rPr>
          <w:szCs w:val="21"/>
          <w:u w:val="single"/>
        </w:rPr>
        <w:t xml:space="preserve">            </w:t>
      </w:r>
      <w:r>
        <w:rPr>
          <w:szCs w:val="21"/>
        </w:rPr>
        <w:t>（含税）</w:t>
      </w:r>
      <w:r>
        <w:rPr>
          <w:rFonts w:hint="eastAsia"/>
          <w:szCs w:val="21"/>
        </w:rPr>
        <w:t>。</w:t>
      </w:r>
    </w:p>
    <w:p w14:paraId="798844DC">
      <w:pPr>
        <w:adjustRightInd w:val="0"/>
        <w:snapToGrid w:val="0"/>
        <w:spacing w:line="360" w:lineRule="exact"/>
        <w:ind w:firstLine="420" w:firstLineChars="200"/>
        <w:rPr>
          <w:bCs/>
          <w:szCs w:val="21"/>
        </w:rPr>
      </w:pPr>
      <w:r>
        <w:rPr>
          <w:rFonts w:hint="eastAsia"/>
          <w:bCs/>
          <w:szCs w:val="21"/>
        </w:rPr>
        <w:t>3. 发票开具：乙方应按规定向甲方开具符合国家规定的等额合规增值税发票，并承诺开具发票的形式与内容均合法、有效、完整、准确。开具的发票不合法、不合规，甲方有权延迟支付乙方应付款项且不承担违约责任，且乙方仍应按合同约定履行各项义务。</w:t>
      </w:r>
    </w:p>
    <w:p w14:paraId="307A42F8">
      <w:pPr>
        <w:adjustRightInd w:val="0"/>
        <w:snapToGrid w:val="0"/>
        <w:spacing w:beforeLines="50" w:afterLines="50" w:line="360" w:lineRule="exact"/>
        <w:rPr>
          <w:b/>
          <w:szCs w:val="21"/>
        </w:rPr>
      </w:pPr>
      <w:r>
        <w:rPr>
          <w:rFonts w:hint="eastAsia"/>
          <w:b/>
          <w:szCs w:val="21"/>
        </w:rPr>
        <w:t>三、合同期限</w:t>
      </w:r>
    </w:p>
    <w:p w14:paraId="7113A23B">
      <w:pPr>
        <w:adjustRightInd w:val="0"/>
        <w:snapToGrid w:val="0"/>
        <w:spacing w:beforeLines="50" w:afterLines="50" w:line="360" w:lineRule="exact"/>
        <w:ind w:firstLine="420" w:firstLineChars="200"/>
        <w:rPr>
          <w:bCs/>
          <w:szCs w:val="21"/>
          <w:u w:val="single"/>
        </w:rPr>
      </w:pPr>
      <w:r>
        <w:rPr>
          <w:rFonts w:hint="eastAsia"/>
          <w:szCs w:val="21"/>
        </w:rPr>
        <w:t>本合同</w:t>
      </w:r>
      <w:r>
        <w:rPr>
          <w:szCs w:val="21"/>
        </w:rPr>
        <w:t>服务有效</w:t>
      </w:r>
      <w:r>
        <w:rPr>
          <w:rFonts w:hint="eastAsia"/>
          <w:szCs w:val="21"/>
        </w:rPr>
        <w:t>期</w:t>
      </w:r>
      <w:r>
        <w:rPr>
          <w:szCs w:val="21"/>
        </w:rPr>
        <w:t>自</w:t>
      </w:r>
      <w:r>
        <w:rPr>
          <w:rFonts w:hint="eastAsia"/>
          <w:szCs w:val="21"/>
        </w:rPr>
        <w:t>合同</w:t>
      </w:r>
      <w:r>
        <w:rPr>
          <w:szCs w:val="21"/>
        </w:rPr>
        <w:t>签署</w:t>
      </w:r>
      <w:r>
        <w:rPr>
          <w:rFonts w:hint="eastAsia"/>
          <w:szCs w:val="21"/>
        </w:rPr>
        <w:t>之日</w:t>
      </w:r>
      <w:r>
        <w:rPr>
          <w:szCs w:val="21"/>
        </w:rPr>
        <w:t>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年，自合同生效之日起计算</w:t>
      </w:r>
      <w:r>
        <w:rPr>
          <w:szCs w:val="21"/>
        </w:rPr>
        <w:t>。</w:t>
      </w:r>
    </w:p>
    <w:p w14:paraId="29492A61">
      <w:pPr>
        <w:adjustRightInd w:val="0"/>
        <w:snapToGrid w:val="0"/>
        <w:spacing w:beforeLines="50" w:afterLines="50" w:line="360" w:lineRule="exact"/>
        <w:rPr>
          <w:b/>
          <w:bCs/>
          <w:szCs w:val="21"/>
        </w:rPr>
      </w:pPr>
      <w:r>
        <w:rPr>
          <w:rFonts w:hint="eastAsia"/>
          <w:b/>
          <w:bCs/>
          <w:szCs w:val="21"/>
        </w:rPr>
        <w:t>四、设备</w:t>
      </w:r>
      <w:r>
        <w:rPr>
          <w:b/>
          <w:bCs/>
          <w:szCs w:val="21"/>
        </w:rPr>
        <w:t>维保</w:t>
      </w:r>
      <w:r>
        <w:rPr>
          <w:rFonts w:hint="eastAsia"/>
          <w:b/>
          <w:bCs/>
          <w:szCs w:val="21"/>
        </w:rPr>
        <w:t>内容、技术要求</w:t>
      </w:r>
      <w:r>
        <w:rPr>
          <w:b/>
          <w:bCs/>
          <w:szCs w:val="21"/>
        </w:rPr>
        <w:t>和维保周期</w:t>
      </w:r>
      <w:r>
        <w:rPr>
          <w:rFonts w:hint="eastAsia"/>
          <w:b/>
          <w:bCs/>
          <w:szCs w:val="21"/>
        </w:rPr>
        <w:t>详细要求</w:t>
      </w:r>
      <w:r>
        <w:rPr>
          <w:b/>
          <w:bCs/>
          <w:szCs w:val="21"/>
        </w:rPr>
        <w:t>如下：</w:t>
      </w:r>
    </w:p>
    <w:p w14:paraId="42D57E82">
      <w:pPr>
        <w:adjustRightInd w:val="0"/>
        <w:snapToGrid w:val="0"/>
        <w:spacing w:beforeLines="50" w:afterLines="50" w:line="360" w:lineRule="exact"/>
        <w:rPr>
          <w:b/>
          <w:bCs/>
          <w:szCs w:val="21"/>
        </w:rPr>
      </w:pPr>
    </w:p>
    <w:p w14:paraId="501AC432">
      <w:pPr>
        <w:adjustRightInd w:val="0"/>
        <w:snapToGrid w:val="0"/>
        <w:spacing w:beforeLines="50" w:afterLines="50" w:line="360" w:lineRule="exact"/>
        <w:rPr>
          <w:bCs/>
          <w:szCs w:val="21"/>
        </w:rPr>
      </w:pPr>
    </w:p>
    <w:p w14:paraId="1B0387D4">
      <w:pPr>
        <w:adjustRightInd w:val="0"/>
        <w:snapToGrid w:val="0"/>
        <w:spacing w:beforeLines="50" w:line="360" w:lineRule="exact"/>
        <w:rPr>
          <w:b/>
          <w:szCs w:val="21"/>
        </w:rPr>
      </w:pPr>
      <w:r>
        <w:rPr>
          <w:rFonts w:hint="eastAsia"/>
          <w:b/>
          <w:szCs w:val="21"/>
        </w:rPr>
        <w:t>五、验收</w:t>
      </w:r>
    </w:p>
    <w:p w14:paraId="13B3D072">
      <w:pPr>
        <w:adjustRightInd w:val="0"/>
        <w:snapToGrid w:val="0"/>
        <w:spacing w:line="360" w:lineRule="exact"/>
        <w:ind w:firstLine="420" w:firstLineChars="200"/>
        <w:rPr>
          <w:bCs/>
          <w:szCs w:val="21"/>
        </w:rPr>
      </w:pPr>
      <w:r>
        <w:rPr>
          <w:rFonts w:hint="eastAsia"/>
          <w:bCs/>
          <w:szCs w:val="21"/>
        </w:rPr>
        <w:t>乙方应当按照合同的约定的技术标准和甲方要求进行设备维保。甲方有权依照合同约定或者国家、省、行业标准对维保后的设备进行验收。如果验收不合格的，甲方有权要求乙方在限定期限内继续履行维保义务，直至验收合格为止，并自行承担相应的费用。</w:t>
      </w:r>
    </w:p>
    <w:p w14:paraId="63C67F02">
      <w:pPr>
        <w:adjustRightInd w:val="0"/>
        <w:snapToGrid w:val="0"/>
        <w:spacing w:beforeLines="50" w:line="360" w:lineRule="exact"/>
        <w:rPr>
          <w:b/>
          <w:szCs w:val="21"/>
        </w:rPr>
      </w:pPr>
      <w:r>
        <w:rPr>
          <w:rFonts w:hint="eastAsia"/>
          <w:b/>
          <w:szCs w:val="21"/>
        </w:rPr>
        <w:t>六、</w:t>
      </w:r>
      <w:r>
        <w:rPr>
          <w:b/>
          <w:szCs w:val="21"/>
        </w:rPr>
        <w:t>质保期限</w:t>
      </w:r>
    </w:p>
    <w:p w14:paraId="726C8CB0">
      <w:pPr>
        <w:numPr>
          <w:ilvl w:val="0"/>
          <w:numId w:val="1"/>
        </w:numPr>
        <w:adjustRightInd w:val="0"/>
        <w:snapToGrid w:val="0"/>
        <w:spacing w:line="360" w:lineRule="exact"/>
        <w:ind w:firstLine="420" w:firstLineChars="200"/>
        <w:rPr>
          <w:szCs w:val="21"/>
        </w:rPr>
      </w:pPr>
      <w:r>
        <w:rPr>
          <w:rFonts w:hint="eastAsia"/>
          <w:szCs w:val="21"/>
        </w:rPr>
        <w:t>设备的质保期为</w:t>
      </w:r>
      <w:r>
        <w:rPr>
          <w:rFonts w:hint="eastAsia"/>
          <w:szCs w:val="21"/>
          <w:u w:val="single"/>
        </w:rPr>
        <w:t xml:space="preserve"> </w:t>
      </w:r>
      <w:r>
        <w:rPr>
          <w:szCs w:val="21"/>
          <w:u w:val="single"/>
        </w:rPr>
        <w:t xml:space="preserve">   </w:t>
      </w:r>
      <w:r>
        <w:rPr>
          <w:rFonts w:hint="eastAsia"/>
          <w:szCs w:val="21"/>
        </w:rPr>
        <w:t>年，自维保验收合格之日起计算。质保期内，乙方为甲方维保</w:t>
      </w:r>
      <w:r>
        <w:rPr>
          <w:szCs w:val="21"/>
        </w:rPr>
        <w:t>更新的</w:t>
      </w:r>
      <w:r>
        <w:rPr>
          <w:rFonts w:hint="eastAsia"/>
          <w:szCs w:val="21"/>
        </w:rPr>
        <w:t>零配件部分免费提供维修、更换服务。</w:t>
      </w:r>
    </w:p>
    <w:p w14:paraId="1DE97E0A">
      <w:pPr>
        <w:numPr>
          <w:ilvl w:val="0"/>
          <w:numId w:val="1"/>
        </w:numPr>
        <w:adjustRightInd w:val="0"/>
        <w:snapToGrid w:val="0"/>
        <w:spacing w:line="360" w:lineRule="exact"/>
        <w:ind w:firstLine="420" w:firstLineChars="200"/>
        <w:rPr>
          <w:szCs w:val="21"/>
        </w:rPr>
      </w:pPr>
      <w:r>
        <w:rPr>
          <w:rFonts w:hint="eastAsia"/>
          <w:szCs w:val="21"/>
        </w:rPr>
        <w:t>质保期限内，乙方有责任对甲方提供的相应文档、技术资料、安装介质进行妥善保管，并保证遵守相应的保密义务，避免甲方或用户机密信息的泄露，如有因乙方技术人员失误或故意行为导致的甲方或用户机密泄露，乙方要承担相应的赔偿责任。本协议期限届满或者提前终止的，乙方有义务在甲方指定的期限内删除、清理、销毁其接收或者获取到的甲方或者用户所有的信息、数据、文件或者相关内容。</w:t>
      </w:r>
    </w:p>
    <w:p w14:paraId="496451A7">
      <w:pPr>
        <w:adjustRightInd w:val="0"/>
        <w:snapToGrid w:val="0"/>
        <w:spacing w:beforeLines="50" w:line="360" w:lineRule="exact"/>
        <w:rPr>
          <w:b/>
          <w:bCs/>
          <w:szCs w:val="21"/>
        </w:rPr>
      </w:pPr>
      <w:r>
        <w:rPr>
          <w:rFonts w:hint="eastAsia"/>
          <w:b/>
          <w:bCs/>
          <w:szCs w:val="21"/>
        </w:rPr>
        <w:t>七、</w:t>
      </w:r>
      <w:r>
        <w:rPr>
          <w:b/>
          <w:bCs/>
          <w:szCs w:val="21"/>
        </w:rPr>
        <w:t>违约责任</w:t>
      </w:r>
    </w:p>
    <w:p w14:paraId="0A70E178">
      <w:pPr>
        <w:numPr>
          <w:ilvl w:val="0"/>
          <w:numId w:val="2"/>
        </w:numPr>
        <w:adjustRightInd w:val="0"/>
        <w:snapToGrid w:val="0"/>
        <w:spacing w:line="360" w:lineRule="exact"/>
        <w:ind w:firstLine="420" w:firstLineChars="200"/>
        <w:rPr>
          <w:bCs/>
          <w:szCs w:val="21"/>
        </w:rPr>
      </w:pPr>
      <w:r>
        <w:rPr>
          <w:rFonts w:hint="eastAsia"/>
          <w:bCs/>
          <w:szCs w:val="21"/>
        </w:rPr>
        <w:t>乙方未在甲方要求或者合同约定的时间内响应或排除故障，对甲方教学、科研或者项目活动造成影响的，每逾期1日，乙方应当向甲方支付该设备维保费用总额</w:t>
      </w:r>
      <w:commentRangeStart w:id="1"/>
      <w:r>
        <w:rPr>
          <w:bCs/>
          <w:szCs w:val="21"/>
          <w:u w:val="single"/>
        </w:rPr>
        <w:t xml:space="preserve">    %</w:t>
      </w:r>
      <w:commentRangeEnd w:id="1"/>
      <w:r>
        <w:commentReference w:id="1"/>
      </w:r>
      <w:r>
        <w:rPr>
          <w:rFonts w:hint="eastAsia"/>
          <w:bCs/>
          <w:szCs w:val="21"/>
        </w:rPr>
        <w:t>的违约金。</w:t>
      </w:r>
    </w:p>
    <w:p w14:paraId="153DC3F2">
      <w:pPr>
        <w:numPr>
          <w:ilvl w:val="0"/>
          <w:numId w:val="2"/>
        </w:numPr>
        <w:adjustRightInd w:val="0"/>
        <w:snapToGrid w:val="0"/>
        <w:spacing w:line="360" w:lineRule="exact"/>
        <w:ind w:firstLine="420" w:firstLineChars="200"/>
        <w:rPr>
          <w:bCs/>
          <w:szCs w:val="21"/>
        </w:rPr>
      </w:pPr>
      <w:r>
        <w:rPr>
          <w:rFonts w:hint="eastAsia"/>
          <w:bCs/>
          <w:szCs w:val="21"/>
        </w:rPr>
        <w:t>乙方履行合同期间，因违反国家法律、法规，甲方规章制度，安全作业标准及本合同约定，造成甲方或第三人财产损失、人身损害的，独立承担全部赔偿责任，由此给甲方造成损害的，应赔偿甲方全部损失。</w:t>
      </w:r>
    </w:p>
    <w:p w14:paraId="695E3788">
      <w:pPr>
        <w:numPr>
          <w:ilvl w:val="0"/>
          <w:numId w:val="2"/>
        </w:numPr>
        <w:adjustRightInd w:val="0"/>
        <w:snapToGrid w:val="0"/>
        <w:spacing w:line="360" w:lineRule="exact"/>
        <w:ind w:firstLine="420" w:firstLineChars="200"/>
        <w:rPr>
          <w:bCs/>
          <w:szCs w:val="21"/>
        </w:rPr>
      </w:pPr>
      <w:r>
        <w:rPr>
          <w:bCs/>
          <w:szCs w:val="21"/>
        </w:rPr>
        <w:t>甲乙双方任何一方未按合同</w:t>
      </w:r>
      <w:r>
        <w:rPr>
          <w:rFonts w:hint="eastAsia"/>
          <w:bCs/>
          <w:szCs w:val="21"/>
        </w:rPr>
        <w:t>约定的</w:t>
      </w:r>
      <w:r>
        <w:rPr>
          <w:bCs/>
          <w:szCs w:val="21"/>
        </w:rPr>
        <w:t>条款</w:t>
      </w:r>
      <w:r>
        <w:rPr>
          <w:rFonts w:hint="eastAsia"/>
          <w:bCs/>
          <w:szCs w:val="21"/>
        </w:rPr>
        <w:t>履行</w:t>
      </w:r>
      <w:r>
        <w:rPr>
          <w:bCs/>
          <w:szCs w:val="21"/>
        </w:rPr>
        <w:t>即视为违约，</w:t>
      </w:r>
      <w:r>
        <w:rPr>
          <w:rFonts w:hint="eastAsia"/>
          <w:bCs/>
          <w:szCs w:val="21"/>
        </w:rPr>
        <w:t>守约方有权要求违约方在指定期限内进行整改或者补救，如果在指定期限内未整改或者补救，或者经整改后仍不能达到约定要求的，守约方有权单方解除合同，</w:t>
      </w:r>
      <w:r>
        <w:rPr>
          <w:bCs/>
          <w:szCs w:val="21"/>
        </w:rPr>
        <w:t>违约方</w:t>
      </w:r>
      <w:r>
        <w:rPr>
          <w:rFonts w:hint="eastAsia"/>
          <w:bCs/>
          <w:szCs w:val="21"/>
        </w:rPr>
        <w:t>须向守约方</w:t>
      </w:r>
      <w:r>
        <w:rPr>
          <w:bCs/>
          <w:szCs w:val="21"/>
        </w:rPr>
        <w:t>支付合同额</w:t>
      </w:r>
      <w:commentRangeStart w:id="2"/>
      <w:r>
        <w:rPr>
          <w:rFonts w:hint="eastAsia"/>
          <w:bCs/>
          <w:szCs w:val="21"/>
          <w:u w:val="single"/>
        </w:rPr>
        <w:t xml:space="preserve"> </w:t>
      </w:r>
      <w:r>
        <w:rPr>
          <w:bCs/>
          <w:szCs w:val="21"/>
          <w:u w:val="single"/>
        </w:rPr>
        <w:t xml:space="preserve">   </w:t>
      </w:r>
      <w:r>
        <w:rPr>
          <w:bCs/>
          <w:szCs w:val="21"/>
        </w:rPr>
        <w:t>%</w:t>
      </w:r>
      <w:commentRangeEnd w:id="2"/>
      <w:r>
        <w:commentReference w:id="2"/>
      </w:r>
      <w:r>
        <w:rPr>
          <w:bCs/>
          <w:szCs w:val="21"/>
        </w:rPr>
        <w:t>的违约金</w:t>
      </w:r>
      <w:r>
        <w:rPr>
          <w:rFonts w:hint="eastAsia"/>
          <w:bCs/>
          <w:szCs w:val="21"/>
        </w:rPr>
        <w:t>，给守约方造成损失的，还应当赔偿相应损失</w:t>
      </w:r>
      <w:r>
        <w:rPr>
          <w:bCs/>
          <w:szCs w:val="21"/>
        </w:rPr>
        <w:t>。</w:t>
      </w:r>
    </w:p>
    <w:p w14:paraId="2F7AD723">
      <w:pPr>
        <w:adjustRightInd w:val="0"/>
        <w:snapToGrid w:val="0"/>
        <w:spacing w:beforeLines="50" w:line="360" w:lineRule="exact"/>
        <w:rPr>
          <w:rFonts w:eastAsiaTheme="minorEastAsia"/>
          <w:szCs w:val="21"/>
        </w:rPr>
      </w:pPr>
      <w:r>
        <w:rPr>
          <w:rFonts w:hint="eastAsia"/>
          <w:b/>
          <w:bCs/>
          <w:szCs w:val="21"/>
        </w:rPr>
        <w:t>八、</w:t>
      </w:r>
      <w:r>
        <w:rPr>
          <w:rFonts w:eastAsiaTheme="minorEastAsia"/>
          <w:b/>
          <w:szCs w:val="21"/>
        </w:rPr>
        <w:t>争议解决</w:t>
      </w:r>
    </w:p>
    <w:p w14:paraId="6452C8CB">
      <w:pPr>
        <w:numPr>
          <w:ilvl w:val="0"/>
          <w:numId w:val="3"/>
        </w:numPr>
        <w:snapToGrid w:val="0"/>
        <w:spacing w:line="360" w:lineRule="exact"/>
        <w:ind w:firstLine="420" w:firstLineChars="200"/>
        <w:rPr>
          <w:rFonts w:eastAsiaTheme="minorEastAsia"/>
          <w:bCs/>
          <w:szCs w:val="21"/>
        </w:rPr>
      </w:pPr>
      <w:r>
        <w:rPr>
          <w:szCs w:val="21"/>
        </w:rPr>
        <w:t>合同执行过程中所发生的一切争</w:t>
      </w:r>
      <w:r>
        <w:rPr>
          <w:rFonts w:hint="eastAsia"/>
          <w:szCs w:val="21"/>
        </w:rPr>
        <w:t>议</w:t>
      </w:r>
      <w:r>
        <w:rPr>
          <w:szCs w:val="21"/>
        </w:rPr>
        <w:t>，双方应在相互体谅及友好协商的基础上解决，如协商解决达不成协议时，</w:t>
      </w:r>
      <w:r>
        <w:rPr>
          <w:rFonts w:hint="eastAsia"/>
        </w:rPr>
        <w:t>任何一方均可向深圳国际仲裁院申请仲裁。</w:t>
      </w:r>
      <w:r>
        <w:rPr>
          <w:rFonts w:hint="eastAsia" w:eastAsiaTheme="minorEastAsia"/>
          <w:bCs/>
          <w:szCs w:val="21"/>
        </w:rPr>
        <w:t>解决争议期间，除争议事项外，双方应继续履行本合同规定的其他各项条款。</w:t>
      </w:r>
    </w:p>
    <w:p w14:paraId="6E337ECE">
      <w:pPr>
        <w:numPr>
          <w:ilvl w:val="0"/>
          <w:numId w:val="3"/>
        </w:numPr>
        <w:snapToGrid w:val="0"/>
        <w:spacing w:line="360" w:lineRule="exact"/>
        <w:ind w:firstLine="420" w:firstLineChars="200"/>
        <w:rPr>
          <w:szCs w:val="21"/>
        </w:rPr>
      </w:pPr>
      <w:r>
        <w:rPr>
          <w:rFonts w:hint="eastAsia" w:eastAsiaTheme="minorEastAsia"/>
          <w:bCs/>
          <w:szCs w:val="21"/>
        </w:rPr>
        <w:t>因仲裁所产生的费用由败诉方承担，包括但不限于仲裁费、保全费、保全保险费、鉴定费、评估费、律师费、公证费、取证费用、差旅费用等。</w:t>
      </w:r>
    </w:p>
    <w:p w14:paraId="0519A6DD">
      <w:pPr>
        <w:snapToGrid w:val="0"/>
        <w:spacing w:beforeLines="50" w:line="360" w:lineRule="exact"/>
        <w:rPr>
          <w:b/>
          <w:bCs/>
          <w:szCs w:val="21"/>
        </w:rPr>
      </w:pPr>
      <w:r>
        <w:rPr>
          <w:rFonts w:hint="eastAsia"/>
          <w:b/>
          <w:bCs/>
          <w:szCs w:val="21"/>
        </w:rPr>
        <w:t>九、通知与送达</w:t>
      </w:r>
    </w:p>
    <w:p w14:paraId="62870544">
      <w:pPr>
        <w:spacing w:line="360" w:lineRule="exact"/>
        <w:ind w:firstLine="420" w:firstLineChars="200"/>
        <w:rPr>
          <w:szCs w:val="21"/>
        </w:rPr>
      </w:pPr>
      <w:r>
        <w:rPr>
          <w:rFonts w:hint="eastAsia"/>
          <w:szCs w:val="21"/>
        </w:rPr>
        <w:t>本合同所列明的地址视为邮寄法律文书及双方邮寄律师函、催告函等文书的法定送达地址。任何一方变更地址的应书面通知对方，否则视为未变更。因受送达人本人或者受送达人指定的代收人拒绝签收，或者上述列明的地址无人签收导致诉讼文书未能被受送达人实际接收的，文书退回之日视为送达之日。</w:t>
      </w:r>
    </w:p>
    <w:p w14:paraId="0401B38B">
      <w:pPr>
        <w:widowControl/>
        <w:spacing w:beforeLines="50" w:line="360" w:lineRule="exact"/>
        <w:rPr>
          <w:b/>
          <w:bCs/>
          <w:szCs w:val="21"/>
        </w:rPr>
      </w:pPr>
      <w:r>
        <w:rPr>
          <w:rFonts w:hint="eastAsia"/>
          <w:b/>
          <w:bCs/>
          <w:szCs w:val="21"/>
        </w:rPr>
        <w:t>十、合同生效</w:t>
      </w:r>
    </w:p>
    <w:p w14:paraId="1257D49F">
      <w:pPr>
        <w:numPr>
          <w:ilvl w:val="0"/>
          <w:numId w:val="4"/>
        </w:numPr>
        <w:snapToGrid w:val="0"/>
        <w:spacing w:line="360" w:lineRule="exact"/>
        <w:ind w:firstLine="420" w:firstLineChars="200"/>
        <w:rPr>
          <w:rFonts w:eastAsiaTheme="minorEastAsia"/>
          <w:bCs/>
          <w:szCs w:val="21"/>
        </w:rPr>
      </w:pPr>
      <w:r>
        <w:rPr>
          <w:rFonts w:eastAsiaTheme="minorEastAsia"/>
          <w:bCs/>
          <w:szCs w:val="21"/>
        </w:rPr>
        <w:t>本合同</w:t>
      </w:r>
      <w:r>
        <w:rPr>
          <w:rFonts w:hint="eastAsia" w:eastAsiaTheme="minorEastAsia"/>
          <w:bCs/>
          <w:szCs w:val="21"/>
        </w:rPr>
        <w:t>经</w:t>
      </w:r>
      <w:r>
        <w:rPr>
          <w:rFonts w:eastAsiaTheme="minorEastAsia"/>
          <w:bCs/>
          <w:szCs w:val="21"/>
        </w:rPr>
        <w:t>双方</w:t>
      </w:r>
      <w:r>
        <w:rPr>
          <w:rFonts w:hint="eastAsia" w:eastAsiaTheme="minorEastAsia"/>
          <w:bCs/>
          <w:szCs w:val="21"/>
        </w:rPr>
        <w:t>法定代表人或授权代表签字并</w:t>
      </w:r>
      <w:r>
        <w:rPr>
          <w:rFonts w:eastAsiaTheme="minorEastAsia"/>
          <w:bCs/>
          <w:szCs w:val="21"/>
        </w:rPr>
        <w:t>加盖公章</w:t>
      </w:r>
      <w:r>
        <w:rPr>
          <w:rFonts w:hint="eastAsia" w:eastAsiaTheme="minorEastAsia"/>
          <w:bCs/>
          <w:szCs w:val="21"/>
        </w:rPr>
        <w:t>或合同专用章</w:t>
      </w:r>
      <w:r>
        <w:rPr>
          <w:rFonts w:eastAsiaTheme="minorEastAsia"/>
          <w:bCs/>
          <w:szCs w:val="21"/>
        </w:rPr>
        <w:t>后即行生效。</w:t>
      </w:r>
      <w:r>
        <w:rPr>
          <w:rFonts w:hint="eastAsia" w:eastAsiaTheme="minorEastAsia"/>
          <w:bCs/>
          <w:szCs w:val="21"/>
        </w:rPr>
        <w:t>合同签订日期以双方中最后一方加盖公章或合同专用章的日期为准。</w:t>
      </w:r>
    </w:p>
    <w:p w14:paraId="0499EFDD">
      <w:pPr>
        <w:numPr>
          <w:ilvl w:val="0"/>
          <w:numId w:val="4"/>
        </w:numPr>
        <w:adjustRightInd w:val="0"/>
        <w:snapToGrid w:val="0"/>
        <w:spacing w:line="360" w:lineRule="exact"/>
        <w:ind w:firstLine="420" w:firstLineChars="200"/>
        <w:rPr>
          <w:szCs w:val="21"/>
        </w:rPr>
      </w:pPr>
      <w:r>
        <w:rPr>
          <w:rFonts w:eastAsiaTheme="minorEastAsia"/>
          <w:bCs/>
          <w:szCs w:val="21"/>
        </w:rPr>
        <w:t>本合同生效后，对本合同的任何条款</w:t>
      </w:r>
      <w:r>
        <w:rPr>
          <w:rFonts w:hint="eastAsia" w:eastAsiaTheme="minorEastAsia"/>
          <w:bCs/>
          <w:szCs w:val="21"/>
        </w:rPr>
        <w:t>的</w:t>
      </w:r>
      <w:r>
        <w:rPr>
          <w:rFonts w:eastAsiaTheme="minorEastAsia"/>
          <w:bCs/>
          <w:szCs w:val="21"/>
        </w:rPr>
        <w:t>修改、</w:t>
      </w:r>
      <w:r>
        <w:rPr>
          <w:rFonts w:hint="eastAsia" w:eastAsiaTheme="minorEastAsia"/>
          <w:bCs/>
          <w:szCs w:val="21"/>
        </w:rPr>
        <w:t>变更须以书面形式</w:t>
      </w:r>
      <w:r>
        <w:rPr>
          <w:rFonts w:eastAsiaTheme="minorEastAsia"/>
          <w:bCs/>
          <w:szCs w:val="21"/>
        </w:rPr>
        <w:t>，</w:t>
      </w:r>
      <w:r>
        <w:rPr>
          <w:rFonts w:hint="eastAsia" w:eastAsiaTheme="minorEastAsia"/>
          <w:bCs/>
          <w:szCs w:val="21"/>
        </w:rPr>
        <w:t>并</w:t>
      </w:r>
      <w:r>
        <w:rPr>
          <w:rFonts w:eastAsiaTheme="minorEastAsia"/>
          <w:bCs/>
          <w:szCs w:val="21"/>
        </w:rPr>
        <w:t>经双方</w:t>
      </w:r>
      <w:r>
        <w:rPr>
          <w:rFonts w:hint="eastAsia" w:eastAsiaTheme="minorEastAsia"/>
          <w:bCs/>
          <w:szCs w:val="21"/>
        </w:rPr>
        <w:t>加盖</w:t>
      </w:r>
      <w:r>
        <w:rPr>
          <w:rFonts w:eastAsiaTheme="minorEastAsia"/>
          <w:bCs/>
          <w:szCs w:val="21"/>
        </w:rPr>
        <w:t>公章</w:t>
      </w:r>
      <w:r>
        <w:rPr>
          <w:rFonts w:hint="eastAsia" w:eastAsiaTheme="minorEastAsia"/>
          <w:bCs/>
          <w:szCs w:val="21"/>
        </w:rPr>
        <w:t>或合同专用章</w:t>
      </w:r>
      <w:r>
        <w:rPr>
          <w:rFonts w:eastAsiaTheme="minorEastAsia"/>
          <w:bCs/>
          <w:szCs w:val="21"/>
        </w:rPr>
        <w:t>后才能生效。</w:t>
      </w:r>
    </w:p>
    <w:p w14:paraId="4A25AD30">
      <w:pPr>
        <w:numPr>
          <w:ilvl w:val="0"/>
          <w:numId w:val="4"/>
        </w:numPr>
        <w:snapToGrid w:val="0"/>
        <w:spacing w:line="360" w:lineRule="exact"/>
        <w:ind w:firstLine="420" w:firstLineChars="200"/>
        <w:rPr>
          <w:rFonts w:eastAsiaTheme="minorEastAsia"/>
          <w:b/>
          <w:bCs/>
          <w:szCs w:val="21"/>
        </w:rPr>
      </w:pPr>
      <w:r>
        <w:rPr>
          <w:rFonts w:eastAsiaTheme="minorEastAsia"/>
          <w:bCs/>
          <w:szCs w:val="21"/>
        </w:rPr>
        <w:t>本合同未尽事宜，双方协商补充；本合同未做明确约定，而又有相关法律、法规规定的，从其规定。</w:t>
      </w:r>
    </w:p>
    <w:p w14:paraId="3DCA74C4">
      <w:pPr>
        <w:numPr>
          <w:ilvl w:val="0"/>
          <w:numId w:val="4"/>
        </w:numPr>
        <w:snapToGrid w:val="0"/>
        <w:spacing w:line="360" w:lineRule="exact"/>
        <w:ind w:firstLine="420" w:firstLineChars="200"/>
        <w:rPr>
          <w:rFonts w:eastAsiaTheme="minorEastAsia"/>
          <w:szCs w:val="21"/>
        </w:rPr>
      </w:pPr>
      <w:r>
        <w:rPr>
          <w:rFonts w:eastAsiaTheme="minorEastAsia"/>
          <w:szCs w:val="21"/>
        </w:rPr>
        <w:t>本合同一式</w:t>
      </w:r>
      <w:r>
        <w:rPr>
          <w:rFonts w:hint="eastAsia" w:eastAsiaTheme="minorEastAsia"/>
          <w:szCs w:val="21"/>
          <w:u w:val="single"/>
        </w:rPr>
        <w:t>肆</w:t>
      </w:r>
      <w:r>
        <w:rPr>
          <w:rFonts w:eastAsiaTheme="minorEastAsia"/>
          <w:szCs w:val="21"/>
        </w:rPr>
        <w:t>份，</w:t>
      </w:r>
      <w:r>
        <w:rPr>
          <w:rFonts w:hint="eastAsia" w:eastAsiaTheme="minorEastAsia"/>
          <w:szCs w:val="21"/>
        </w:rPr>
        <w:t>双方各执</w:t>
      </w:r>
      <w:r>
        <w:rPr>
          <w:rFonts w:hint="eastAsia" w:eastAsiaTheme="minorEastAsia"/>
          <w:szCs w:val="21"/>
          <w:u w:val="single"/>
        </w:rPr>
        <w:t>贰</w:t>
      </w:r>
      <w:r>
        <w:rPr>
          <w:rFonts w:hint="eastAsia" w:eastAsiaTheme="minorEastAsia"/>
          <w:szCs w:val="21"/>
        </w:rPr>
        <w:t>份，</w:t>
      </w:r>
      <w:r>
        <w:rPr>
          <w:rFonts w:eastAsiaTheme="minorEastAsia"/>
          <w:szCs w:val="21"/>
        </w:rPr>
        <w:t>具有同等法律效力。</w:t>
      </w:r>
    </w:p>
    <w:p w14:paraId="6BF36428">
      <w:pPr>
        <w:numPr>
          <w:ilvl w:val="0"/>
          <w:numId w:val="4"/>
        </w:numPr>
        <w:snapToGrid w:val="0"/>
        <w:spacing w:line="360" w:lineRule="exact"/>
        <w:ind w:firstLine="420" w:firstLineChars="200"/>
        <w:rPr>
          <w:rFonts w:eastAsiaTheme="minorEastAsia"/>
          <w:szCs w:val="21"/>
        </w:rPr>
      </w:pPr>
      <w:r>
        <w:rPr>
          <w:rFonts w:hint="eastAsia" w:eastAsiaTheme="minorEastAsia"/>
          <w:szCs w:val="21"/>
        </w:rPr>
        <w:t>合同有效期：自本合同生效日期之日起至本合同权利义务履行完毕之日止。</w:t>
      </w:r>
    </w:p>
    <w:p w14:paraId="49F9F271">
      <w:pPr>
        <w:snapToGrid w:val="0"/>
        <w:spacing w:beforeLines="50" w:line="360" w:lineRule="exact"/>
        <w:rPr>
          <w:b/>
          <w:bCs/>
          <w:szCs w:val="21"/>
        </w:rPr>
      </w:pPr>
      <w:r>
        <w:rPr>
          <w:rFonts w:hint="eastAsia"/>
          <w:b/>
          <w:bCs/>
          <w:szCs w:val="21"/>
        </w:rPr>
        <w:t>十一、合同解除</w:t>
      </w:r>
    </w:p>
    <w:p w14:paraId="7AE7CFED">
      <w:pPr>
        <w:snapToGrid w:val="0"/>
        <w:spacing w:line="360" w:lineRule="exact"/>
        <w:ind w:firstLine="420"/>
        <w:rPr>
          <w:bCs/>
          <w:szCs w:val="21"/>
        </w:rPr>
      </w:pPr>
      <w:r>
        <w:rPr>
          <w:rFonts w:hint="eastAsia"/>
          <w:bCs/>
          <w:szCs w:val="21"/>
        </w:rPr>
        <w:t>因乙方原因造成合同解除的，乙方应退回甲方所有交付款项并承担违约责任。</w:t>
      </w:r>
    </w:p>
    <w:p w14:paraId="20C7F444">
      <w:pPr>
        <w:snapToGrid w:val="0"/>
        <w:spacing w:line="360" w:lineRule="exact"/>
        <w:ind w:firstLine="420"/>
        <w:rPr>
          <w:b/>
          <w:bCs/>
          <w:szCs w:val="21"/>
        </w:rPr>
      </w:pPr>
    </w:p>
    <w:p w14:paraId="3CBC12EF">
      <w:pPr>
        <w:snapToGrid w:val="0"/>
        <w:spacing w:line="360" w:lineRule="exact"/>
        <w:ind w:firstLine="420" w:firstLineChars="200"/>
        <w:rPr>
          <w:bCs/>
          <w:szCs w:val="21"/>
        </w:rPr>
      </w:pPr>
      <w:r>
        <w:rPr>
          <w:bCs/>
          <w:szCs w:val="21"/>
        </w:rPr>
        <w:t>双方已充分理解并同意本合同项下全部条款、权利、义务以及风险，且不存在任何其他不明条款，故签订本合同。</w:t>
      </w:r>
    </w:p>
    <w:p w14:paraId="084DE8A4">
      <w:pPr>
        <w:snapToGrid w:val="0"/>
        <w:spacing w:line="360" w:lineRule="exact"/>
        <w:ind w:firstLine="420" w:firstLineChars="200"/>
        <w:rPr>
          <w:bCs/>
          <w:szCs w:val="21"/>
        </w:rPr>
      </w:pPr>
      <w:r>
        <w:rPr>
          <w:bCs/>
          <w:szCs w:val="21"/>
        </w:rPr>
        <w:t>以下无正文。</w:t>
      </w:r>
    </w:p>
    <w:p w14:paraId="51DC4C9F">
      <w:pPr>
        <w:snapToGrid w:val="0"/>
        <w:spacing w:line="360" w:lineRule="exact"/>
        <w:ind w:firstLine="420" w:firstLineChars="200"/>
        <w:rPr>
          <w:b/>
          <w:bCs/>
          <w:szCs w:val="21"/>
        </w:rPr>
      </w:pP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9"/>
        <w:gridCol w:w="4048"/>
      </w:tblGrid>
      <w:tr w14:paraId="5E7A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5" w:hRule="atLeast"/>
          <w:jc w:val="center"/>
        </w:trPr>
        <w:tc>
          <w:tcPr>
            <w:tcW w:w="4389" w:type="dxa"/>
          </w:tcPr>
          <w:p w14:paraId="0100689E">
            <w:pPr>
              <w:spacing w:line="360" w:lineRule="auto"/>
              <w:rPr>
                <w:b/>
                <w:szCs w:val="21"/>
              </w:rPr>
            </w:pPr>
            <w:r>
              <w:rPr>
                <w:b/>
                <w:szCs w:val="21"/>
              </w:rPr>
              <w:t>甲方（盖章）</w:t>
            </w:r>
            <w:r>
              <w:rPr>
                <w:szCs w:val="21"/>
              </w:rPr>
              <w:t>：清华大学</w:t>
            </w:r>
            <w:r>
              <w:rPr>
                <w:rFonts w:hint="eastAsia"/>
                <w:szCs w:val="21"/>
              </w:rPr>
              <w:t>深圳国际研究生院</w:t>
            </w:r>
          </w:p>
          <w:p w14:paraId="6DA84DD1">
            <w:pPr>
              <w:spacing w:line="360" w:lineRule="auto"/>
              <w:rPr>
                <w:szCs w:val="21"/>
              </w:rPr>
            </w:pPr>
            <w:r>
              <w:rPr>
                <w:szCs w:val="21"/>
              </w:rPr>
              <w:t>地址：</w:t>
            </w:r>
            <w:r>
              <w:rPr>
                <w:rFonts w:hint="eastAsia"/>
                <w:szCs w:val="21"/>
              </w:rPr>
              <w:t>深圳市西丽深圳大学城清华校区A栋二楼</w:t>
            </w:r>
          </w:p>
          <w:p w14:paraId="79FA7C70">
            <w:pPr>
              <w:spacing w:line="360" w:lineRule="auto"/>
            </w:pPr>
            <w:r>
              <w:rPr>
                <w:szCs w:val="21"/>
              </w:rPr>
              <w:t>开户银行：</w:t>
            </w:r>
            <w:r>
              <w:rPr>
                <w:rFonts w:hint="eastAsia"/>
                <w:szCs w:val="21"/>
              </w:rPr>
              <w:t>平安银行深圳大学城支行(联行号:307584008257)</w:t>
            </w:r>
          </w:p>
          <w:p w14:paraId="78C98EE9">
            <w:pPr>
              <w:spacing w:line="360" w:lineRule="auto"/>
              <w:rPr>
                <w:szCs w:val="21"/>
              </w:rPr>
            </w:pPr>
            <w:r>
              <w:rPr>
                <w:szCs w:val="21"/>
              </w:rPr>
              <w:t>税号：</w:t>
            </w:r>
          </w:p>
          <w:p w14:paraId="7DB0D324"/>
          <w:p w14:paraId="5210F8FC">
            <w:pPr>
              <w:spacing w:line="360" w:lineRule="auto"/>
              <w:rPr>
                <w:szCs w:val="21"/>
              </w:rPr>
            </w:pPr>
            <w:r>
              <w:rPr>
                <w:rFonts w:hint="eastAsia"/>
                <w:szCs w:val="21"/>
              </w:rPr>
              <w:t>项目负责人（签字）：</w:t>
            </w:r>
          </w:p>
          <w:p w14:paraId="22CDA666">
            <w:pPr>
              <w:spacing w:line="360" w:lineRule="auto"/>
              <w:rPr>
                <w:szCs w:val="21"/>
              </w:rPr>
            </w:pPr>
            <w:r>
              <w:rPr>
                <w:rFonts w:hint="eastAsia"/>
                <w:szCs w:val="21"/>
              </w:rPr>
              <w:t>联系人</w:t>
            </w:r>
            <w:r>
              <w:rPr>
                <w:szCs w:val="21"/>
              </w:rPr>
              <w:t>：</w:t>
            </w:r>
          </w:p>
          <w:p w14:paraId="055E9704">
            <w:pPr>
              <w:spacing w:line="360" w:lineRule="auto"/>
              <w:rPr>
                <w:szCs w:val="21"/>
              </w:rPr>
            </w:pPr>
            <w:r>
              <w:rPr>
                <w:szCs w:val="21"/>
              </w:rPr>
              <w:t>联系</w:t>
            </w:r>
            <w:r>
              <w:rPr>
                <w:rFonts w:hint="eastAsia"/>
                <w:szCs w:val="21"/>
              </w:rPr>
              <w:t>电话</w:t>
            </w:r>
            <w:r>
              <w:rPr>
                <w:szCs w:val="21"/>
              </w:rPr>
              <w:t>：</w:t>
            </w:r>
          </w:p>
          <w:p w14:paraId="3B27D760">
            <w:pPr>
              <w:spacing w:line="360" w:lineRule="auto"/>
              <w:rPr>
                <w:szCs w:val="21"/>
                <w:u w:val="single"/>
              </w:rPr>
            </w:pPr>
            <w:r>
              <w:rPr>
                <w:szCs w:val="21"/>
              </w:rPr>
              <w:t>日期</w:t>
            </w:r>
            <w:r>
              <w:rPr>
                <w:rFonts w:hint="eastAsia"/>
                <w:szCs w:val="21"/>
              </w:rPr>
              <w:t>：</w:t>
            </w:r>
            <w:r>
              <w:rPr>
                <w:b/>
                <w:u w:val="single"/>
                <w:shd w:val="clear" w:color="auto" w:fill="FFFFFF"/>
              </w:rPr>
              <w:t xml:space="preserve">    </w:t>
            </w:r>
            <w:r>
              <w:rPr>
                <w:rFonts w:hint="eastAsia"/>
                <w:b/>
                <w:shd w:val="clear" w:color="auto" w:fill="FFFFFF"/>
              </w:rPr>
              <w:t>年</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月</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日</w:t>
            </w:r>
          </w:p>
        </w:tc>
        <w:tc>
          <w:tcPr>
            <w:tcW w:w="4048" w:type="dxa"/>
          </w:tcPr>
          <w:p w14:paraId="5A5E5C4C">
            <w:pPr>
              <w:spacing w:line="360" w:lineRule="auto"/>
              <w:rPr>
                <w:b/>
                <w:szCs w:val="21"/>
              </w:rPr>
            </w:pPr>
            <w:r>
              <w:rPr>
                <w:b/>
                <w:szCs w:val="21"/>
              </w:rPr>
              <w:t>乙方（盖章）</w:t>
            </w:r>
            <w:r>
              <w:rPr>
                <w:szCs w:val="21"/>
              </w:rPr>
              <w:t>：</w:t>
            </w:r>
          </w:p>
          <w:p w14:paraId="5DF6B1CE">
            <w:pPr>
              <w:spacing w:line="360" w:lineRule="auto"/>
              <w:rPr>
                <w:szCs w:val="21"/>
              </w:rPr>
            </w:pPr>
            <w:r>
              <w:rPr>
                <w:rFonts w:hint="eastAsia"/>
                <w:szCs w:val="21"/>
              </w:rPr>
              <w:t>名称</w:t>
            </w:r>
            <w:r>
              <w:rPr>
                <w:szCs w:val="21"/>
              </w:rPr>
              <w:t>：</w:t>
            </w:r>
          </w:p>
          <w:p w14:paraId="09B75877">
            <w:pPr>
              <w:spacing w:line="360" w:lineRule="auto"/>
              <w:rPr>
                <w:szCs w:val="21"/>
              </w:rPr>
            </w:pPr>
            <w:r>
              <w:rPr>
                <w:szCs w:val="21"/>
              </w:rPr>
              <w:t>法定代表人：</w:t>
            </w:r>
          </w:p>
          <w:p w14:paraId="1934C70B">
            <w:pPr>
              <w:spacing w:line="360" w:lineRule="auto"/>
              <w:rPr>
                <w:szCs w:val="21"/>
              </w:rPr>
            </w:pPr>
            <w:r>
              <w:rPr>
                <w:szCs w:val="21"/>
              </w:rPr>
              <w:t xml:space="preserve">地址： </w:t>
            </w:r>
          </w:p>
          <w:p w14:paraId="058BEDA5">
            <w:pPr>
              <w:spacing w:line="360" w:lineRule="auto"/>
              <w:rPr>
                <w:szCs w:val="21"/>
              </w:rPr>
            </w:pPr>
            <w:r>
              <w:rPr>
                <w:szCs w:val="21"/>
              </w:rPr>
              <w:t>开户银行：</w:t>
            </w:r>
          </w:p>
          <w:p w14:paraId="27E9FDD3">
            <w:pPr>
              <w:spacing w:line="360" w:lineRule="auto"/>
              <w:rPr>
                <w:szCs w:val="21"/>
              </w:rPr>
            </w:pPr>
            <w:r>
              <w:rPr>
                <w:szCs w:val="21"/>
              </w:rPr>
              <w:t>银行账号：</w:t>
            </w:r>
          </w:p>
          <w:p w14:paraId="0BF5E834">
            <w:pPr>
              <w:spacing w:line="360" w:lineRule="auto"/>
              <w:rPr>
                <w:szCs w:val="21"/>
              </w:rPr>
            </w:pPr>
          </w:p>
          <w:p w14:paraId="56C44AB2">
            <w:pPr>
              <w:spacing w:line="360" w:lineRule="auto"/>
              <w:rPr>
                <w:szCs w:val="21"/>
              </w:rPr>
            </w:pPr>
            <w:r>
              <w:rPr>
                <w:rFonts w:hint="eastAsia"/>
                <w:szCs w:val="21"/>
              </w:rPr>
              <w:t>项目负责人（签字）：</w:t>
            </w:r>
          </w:p>
          <w:p w14:paraId="44D5F993">
            <w:pPr>
              <w:spacing w:line="360" w:lineRule="auto"/>
              <w:rPr>
                <w:szCs w:val="21"/>
              </w:rPr>
            </w:pPr>
            <w:r>
              <w:rPr>
                <w:szCs w:val="21"/>
              </w:rPr>
              <w:t>联系</w:t>
            </w:r>
            <w:r>
              <w:rPr>
                <w:rFonts w:hint="eastAsia"/>
                <w:szCs w:val="21"/>
              </w:rPr>
              <w:t>电话</w:t>
            </w:r>
            <w:r>
              <w:rPr>
                <w:szCs w:val="21"/>
              </w:rPr>
              <w:t xml:space="preserve">： </w:t>
            </w:r>
            <w:r>
              <w:rPr>
                <w:rFonts w:hint="eastAsia"/>
                <w:szCs w:val="21"/>
              </w:rPr>
              <w:t xml:space="preserve"> </w:t>
            </w:r>
            <w:r>
              <w:rPr>
                <w:szCs w:val="21"/>
              </w:rPr>
              <w:t xml:space="preserve">                                   </w:t>
            </w:r>
          </w:p>
          <w:p w14:paraId="7D63A96F">
            <w:pPr>
              <w:spacing w:line="360" w:lineRule="auto"/>
              <w:rPr>
                <w:szCs w:val="21"/>
              </w:rPr>
            </w:pPr>
            <w:r>
              <w:rPr>
                <w:szCs w:val="21"/>
              </w:rPr>
              <w:t>日期</w:t>
            </w:r>
            <w:r>
              <w:rPr>
                <w:rFonts w:hint="eastAsia"/>
                <w:szCs w:val="21"/>
              </w:rPr>
              <w:t>：</w:t>
            </w:r>
            <w:r>
              <w:rPr>
                <w:b/>
                <w:u w:val="single"/>
                <w:shd w:val="clear" w:color="auto" w:fill="FFFFFF"/>
              </w:rPr>
              <w:t xml:space="preserve">    </w:t>
            </w:r>
            <w:r>
              <w:rPr>
                <w:rFonts w:hint="eastAsia"/>
                <w:b/>
                <w:shd w:val="clear" w:color="auto" w:fill="FFFFFF"/>
              </w:rPr>
              <w:t>年</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月</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日</w:t>
            </w:r>
            <w:r>
              <w:rPr>
                <w:szCs w:val="21"/>
              </w:rPr>
              <w:t xml:space="preserve">                                                                                                                                                                                                                                                                                                                                                                                                                                                                                                                                                                                                                                                                                                                                                                                                                                                                                                                                                                                                                                                                                                                                                                                                                                                                                                                                                                                                                                                                                                                                                                                                                                                                                                                                                                                                                                                                                                                                                                                                                                                                                                                                                                                                                                                                                                                                                                                                                                                                                                                                                                                                                                                                                                                                                                                                                                                                                                                                                                                                                                                                                                                                                                                                                                                                                                                                                                                                                                                                                                                                                                                                                                                                                                                                                                                                                                                                                                                                                                                                                                                                                                                                                                                                                </w:t>
            </w:r>
            <w:r>
              <w:rPr>
                <w:szCs w:val="21"/>
              </w:rPr>
              <w:t xml:space="preserve">                                                                                                                                                                                                                                                                                                                                                                                                                                                                                                                                                                                                                                                                                                                                                                                              </w:t>
            </w:r>
          </w:p>
        </w:tc>
      </w:tr>
    </w:tbl>
    <w:p w14:paraId="3478F857">
      <w:pPr>
        <w:adjustRightInd w:val="0"/>
        <w:snapToGrid w:val="0"/>
        <w:spacing w:line="400" w:lineRule="exact"/>
        <w:rPr>
          <w:sz w:val="24"/>
        </w:rPr>
      </w:pPr>
    </w:p>
    <w:sectPr>
      <w:headerReference r:id="rId5" w:type="default"/>
      <w:footerReference r:id="rId6" w:type="default"/>
      <w:pgSz w:w="11906" w:h="16838"/>
      <w:pgMar w:top="1418" w:right="1701" w:bottom="1418" w:left="1758" w:header="1134" w:footer="964" w:gutter="0"/>
      <w:cols w:space="720"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2025-04-20T22:09:00Z" w:initials="">
    <w:p w14:paraId="07EA6DE6">
      <w:pPr>
        <w:pStyle w:val="19"/>
        <w:widowControl/>
        <w:ind w:left="360" w:firstLine="0" w:firstLineChars="0"/>
        <w:jc w:val="left"/>
        <w:rPr>
          <w:rFonts w:ascii="微软雅黑" w:hAnsi="微软雅黑" w:eastAsia="微软雅黑" w:cs="宋体"/>
          <w:color w:val="000000"/>
          <w:kern w:val="0"/>
          <w:sz w:val="24"/>
          <w:szCs w:val="24"/>
        </w:rPr>
      </w:pPr>
      <w:r>
        <w:rPr>
          <w:rFonts w:hint="eastAsia" w:ascii="微软雅黑" w:hAnsi="微软雅黑" w:eastAsia="微软雅黑" w:cs="宋体"/>
          <w:color w:val="000000"/>
          <w:kern w:val="0"/>
          <w:sz w:val="24"/>
          <w:szCs w:val="24"/>
        </w:rPr>
        <w:t>财政要求，原则上</w:t>
      </w:r>
      <w:r>
        <w:rPr>
          <w:rFonts w:ascii="微软雅黑" w:hAnsi="微软雅黑" w:eastAsia="微软雅黑" w:cs="宋体"/>
          <w:color w:val="000000"/>
          <w:kern w:val="0"/>
          <w:sz w:val="24"/>
          <w:szCs w:val="24"/>
        </w:rPr>
        <w:t>预付款</w:t>
      </w:r>
      <w:r>
        <w:rPr>
          <w:rFonts w:hint="eastAsia" w:ascii="微软雅黑" w:hAnsi="微软雅黑" w:eastAsia="微软雅黑" w:cs="宋体"/>
          <w:color w:val="000000"/>
          <w:kern w:val="0"/>
          <w:sz w:val="24"/>
          <w:szCs w:val="24"/>
        </w:rPr>
        <w:t>比例≥30</w:t>
      </w:r>
      <w:r>
        <w:rPr>
          <w:rFonts w:ascii="微软雅黑" w:hAnsi="微软雅黑" w:eastAsia="微软雅黑" w:cs="宋体"/>
          <w:color w:val="000000"/>
          <w:kern w:val="0"/>
          <w:sz w:val="24"/>
          <w:szCs w:val="24"/>
        </w:rPr>
        <w:t>%，</w:t>
      </w:r>
      <w:r>
        <w:rPr>
          <w:rFonts w:hint="eastAsia" w:ascii="微软雅黑" w:hAnsi="微软雅黑" w:eastAsia="微软雅黑" w:cs="宋体"/>
          <w:color w:val="000000"/>
          <w:kern w:val="0"/>
          <w:sz w:val="24"/>
          <w:szCs w:val="24"/>
        </w:rPr>
        <w:t>同时</w:t>
      </w:r>
      <w:r>
        <w:rPr>
          <w:rFonts w:ascii="微软雅黑" w:hAnsi="微软雅黑" w:eastAsia="微软雅黑" w:cs="宋体"/>
          <w:color w:val="000000"/>
          <w:kern w:val="0"/>
          <w:sz w:val="24"/>
          <w:szCs w:val="24"/>
        </w:rPr>
        <w:t>≤70%</w:t>
      </w:r>
      <w:r>
        <w:rPr>
          <w:rFonts w:hint="eastAsia" w:ascii="微软雅黑" w:hAnsi="微软雅黑" w:eastAsia="微软雅黑" w:cs="宋体"/>
          <w:color w:val="000000"/>
          <w:kern w:val="0"/>
          <w:sz w:val="24"/>
          <w:szCs w:val="24"/>
        </w:rPr>
        <w:t>。</w:t>
      </w:r>
    </w:p>
    <w:p w14:paraId="575E5DA3">
      <w:pPr>
        <w:widowControl/>
        <w:spacing w:before="100" w:beforeAutospacing="1" w:after="100" w:afterAutospacing="1"/>
        <w:jc w:val="left"/>
        <w:rPr>
          <w:rFonts w:ascii="宋体" w:hAnsi="宋体" w:cs="宋体"/>
          <w:color w:val="FF0000"/>
          <w:kern w:val="0"/>
          <w:szCs w:val="21"/>
        </w:rPr>
      </w:pPr>
      <w:r>
        <w:rPr>
          <w:rFonts w:hint="eastAsia" w:ascii="微软雅黑" w:hAnsi="微软雅黑" w:eastAsia="微软雅黑"/>
          <w:b/>
          <w:color w:val="FF0000"/>
          <w:kern w:val="0"/>
          <w:sz w:val="24"/>
        </w:rPr>
        <w:t>注：</w:t>
      </w:r>
      <w:r>
        <w:rPr>
          <w:rFonts w:hint="eastAsia" w:ascii="微软雅黑" w:hAnsi="微软雅黑" w:eastAsia="微软雅黑" w:cs="宋体"/>
          <w:color w:val="FF0000"/>
          <w:kern w:val="0"/>
          <w:sz w:val="27"/>
          <w:szCs w:val="27"/>
        </w:rPr>
        <w:t>按财政规定，政府采购货物和服务项目不得收取（预留）质量保证金，也不得将已收取的履约保证金转为质量保证金。</w:t>
      </w:r>
    </w:p>
    <w:p w14:paraId="5B227B73">
      <w:pPr>
        <w:pStyle w:val="3"/>
      </w:pPr>
    </w:p>
  </w:comment>
  <w:comment w:id="1" w:author="作者" w:date="2025-04-27T16:46:00Z" w:initials="">
    <w:p w14:paraId="30319DB9">
      <w:pPr>
        <w:pStyle w:val="3"/>
      </w:pPr>
      <w:r>
        <w:rPr>
          <w:rFonts w:hint="eastAsia"/>
        </w:rPr>
        <w:t>一般不超过3</w:t>
      </w:r>
      <w:r>
        <w:t>0</w:t>
      </w:r>
      <w:r>
        <w:rPr>
          <w:rFonts w:hint="eastAsia"/>
        </w:rPr>
        <w:t>%</w:t>
      </w:r>
    </w:p>
    <w:p w14:paraId="0936E47D">
      <w:pPr>
        <w:pStyle w:val="3"/>
      </w:pPr>
    </w:p>
  </w:comment>
  <w:comment w:id="2" w:author="作者" w:date="2025-04-27T16:46:00Z" w:initials="">
    <w:p w14:paraId="26772906">
      <w:pPr>
        <w:pStyle w:val="3"/>
      </w:pPr>
      <w:r>
        <w:rPr>
          <w:rFonts w:hint="eastAsia"/>
        </w:rPr>
        <w:t>一般不超过3</w:t>
      </w:r>
      <w:r>
        <w:t>0</w:t>
      </w:r>
      <w:r>
        <w:rPr>
          <w:rFonts w:hint="eastAsia"/>
        </w:rPr>
        <w:t>%</w:t>
      </w:r>
    </w:p>
    <w:p w14:paraId="26B55275">
      <w:pPr>
        <w:pStyle w:val="3"/>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B227B73" w15:done="0"/>
  <w15:commentEx w15:paraId="0936E47D" w15:done="0"/>
  <w15:commentEx w15:paraId="26B5527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6722059"/>
    </w:sdtPr>
    <w:sdtContent>
      <w:sdt>
        <w:sdtPr>
          <w:id w:val="1728636285"/>
        </w:sdtPr>
        <w:sdtContent>
          <w:p w14:paraId="05A79764">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14:paraId="64958910">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1712B">
    <w:pPr>
      <w:jc w:val="left"/>
      <w:rPr>
        <w:b/>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75E27"/>
    <w:multiLevelType w:val="singleLevel"/>
    <w:tmpl w:val="86675E27"/>
    <w:lvl w:ilvl="0" w:tentative="0">
      <w:start w:val="1"/>
      <w:numFmt w:val="decimal"/>
      <w:suff w:val="nothing"/>
      <w:lvlText w:val="%1．"/>
      <w:lvlJc w:val="left"/>
      <w:pPr>
        <w:ind w:left="0" w:firstLine="400"/>
      </w:pPr>
      <w:rPr>
        <w:rFonts w:hint="default"/>
      </w:rPr>
    </w:lvl>
  </w:abstractNum>
  <w:abstractNum w:abstractNumId="1">
    <w:nsid w:val="BF54C4BE"/>
    <w:multiLevelType w:val="singleLevel"/>
    <w:tmpl w:val="BF54C4BE"/>
    <w:lvl w:ilvl="0" w:tentative="0">
      <w:start w:val="1"/>
      <w:numFmt w:val="decimal"/>
      <w:suff w:val="nothing"/>
      <w:lvlText w:val="%1．"/>
      <w:lvlJc w:val="left"/>
      <w:pPr>
        <w:ind w:left="0" w:firstLine="400"/>
      </w:pPr>
      <w:rPr>
        <w:rFonts w:hint="default"/>
      </w:rPr>
    </w:lvl>
  </w:abstractNum>
  <w:abstractNum w:abstractNumId="2">
    <w:nsid w:val="EF772D08"/>
    <w:multiLevelType w:val="singleLevel"/>
    <w:tmpl w:val="EF772D08"/>
    <w:lvl w:ilvl="0" w:tentative="0">
      <w:start w:val="1"/>
      <w:numFmt w:val="decimal"/>
      <w:suff w:val="nothing"/>
      <w:lvlText w:val="%1．"/>
      <w:lvlJc w:val="left"/>
      <w:pPr>
        <w:ind w:left="0" w:firstLine="400"/>
      </w:pPr>
      <w:rPr>
        <w:rFonts w:hint="default"/>
      </w:rPr>
    </w:lvl>
  </w:abstractNum>
  <w:abstractNum w:abstractNumId="3">
    <w:nsid w:val="08E0B60F"/>
    <w:multiLevelType w:val="singleLevel"/>
    <w:tmpl w:val="08E0B60F"/>
    <w:lvl w:ilvl="0" w:tentative="0">
      <w:start w:val="1"/>
      <w:numFmt w:val="decimal"/>
      <w:suff w:val="nothing"/>
      <w:lvlText w:val="%1．"/>
      <w:lvlJc w:val="left"/>
      <w:pPr>
        <w:ind w:left="0" w:firstLine="400"/>
      </w:pPr>
      <w:rPr>
        <w:rFonts w:hint="default"/>
      </w:r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作者">
    <w15:presenceInfo w15:providerId="WPS Office" w15:userId="40405848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attachedTemplate r:id="rId1"/>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_x000a_Ŭ"/>
  </w:docVars>
  <w:rsids>
    <w:rsidRoot w:val="00606DA0"/>
    <w:rsid w:val="0000707D"/>
    <w:rsid w:val="00016AD1"/>
    <w:rsid w:val="00016F9D"/>
    <w:rsid w:val="00031441"/>
    <w:rsid w:val="00040506"/>
    <w:rsid w:val="000417B4"/>
    <w:rsid w:val="000420FF"/>
    <w:rsid w:val="00042968"/>
    <w:rsid w:val="00051054"/>
    <w:rsid w:val="000548C5"/>
    <w:rsid w:val="00065B96"/>
    <w:rsid w:val="00065D66"/>
    <w:rsid w:val="00071A6B"/>
    <w:rsid w:val="00072079"/>
    <w:rsid w:val="00073306"/>
    <w:rsid w:val="00073A10"/>
    <w:rsid w:val="00074C1C"/>
    <w:rsid w:val="00075413"/>
    <w:rsid w:val="00083340"/>
    <w:rsid w:val="00095ED6"/>
    <w:rsid w:val="0009690D"/>
    <w:rsid w:val="00097AFD"/>
    <w:rsid w:val="00097CB0"/>
    <w:rsid w:val="000A21AA"/>
    <w:rsid w:val="000B138F"/>
    <w:rsid w:val="000B5A69"/>
    <w:rsid w:val="000D0893"/>
    <w:rsid w:val="000D1035"/>
    <w:rsid w:val="000D509E"/>
    <w:rsid w:val="000E11FB"/>
    <w:rsid w:val="00107630"/>
    <w:rsid w:val="00111536"/>
    <w:rsid w:val="00117505"/>
    <w:rsid w:val="0012382F"/>
    <w:rsid w:val="00126664"/>
    <w:rsid w:val="001271A9"/>
    <w:rsid w:val="00130F2B"/>
    <w:rsid w:val="00140997"/>
    <w:rsid w:val="00144C4B"/>
    <w:rsid w:val="001463AE"/>
    <w:rsid w:val="00146F80"/>
    <w:rsid w:val="00147CE0"/>
    <w:rsid w:val="00155800"/>
    <w:rsid w:val="0016330B"/>
    <w:rsid w:val="00165FBB"/>
    <w:rsid w:val="0017258E"/>
    <w:rsid w:val="00172A27"/>
    <w:rsid w:val="0018032F"/>
    <w:rsid w:val="001814E3"/>
    <w:rsid w:val="001846CD"/>
    <w:rsid w:val="001874AD"/>
    <w:rsid w:val="00196D19"/>
    <w:rsid w:val="001A12F2"/>
    <w:rsid w:val="001A6FEB"/>
    <w:rsid w:val="001B540D"/>
    <w:rsid w:val="001B66DA"/>
    <w:rsid w:val="001B7672"/>
    <w:rsid w:val="001D35D8"/>
    <w:rsid w:val="001D3E59"/>
    <w:rsid w:val="001E0B99"/>
    <w:rsid w:val="001E5AFC"/>
    <w:rsid w:val="001F047D"/>
    <w:rsid w:val="001F3A82"/>
    <w:rsid w:val="001F79E6"/>
    <w:rsid w:val="0020606E"/>
    <w:rsid w:val="00207EC7"/>
    <w:rsid w:val="0021011B"/>
    <w:rsid w:val="002103F0"/>
    <w:rsid w:val="00215308"/>
    <w:rsid w:val="002227F0"/>
    <w:rsid w:val="002377F1"/>
    <w:rsid w:val="00237C9C"/>
    <w:rsid w:val="00242112"/>
    <w:rsid w:val="00242D8D"/>
    <w:rsid w:val="00245853"/>
    <w:rsid w:val="00254496"/>
    <w:rsid w:val="00256082"/>
    <w:rsid w:val="002609D0"/>
    <w:rsid w:val="00261A33"/>
    <w:rsid w:val="002626AC"/>
    <w:rsid w:val="00263081"/>
    <w:rsid w:val="00277202"/>
    <w:rsid w:val="002773CE"/>
    <w:rsid w:val="00283D60"/>
    <w:rsid w:val="00285D40"/>
    <w:rsid w:val="00293B54"/>
    <w:rsid w:val="002A0A45"/>
    <w:rsid w:val="002A1801"/>
    <w:rsid w:val="002A2554"/>
    <w:rsid w:val="002B34C9"/>
    <w:rsid w:val="002C15F7"/>
    <w:rsid w:val="002C4CA1"/>
    <w:rsid w:val="002D08E1"/>
    <w:rsid w:val="002D4E35"/>
    <w:rsid w:val="002E0222"/>
    <w:rsid w:val="002E16B3"/>
    <w:rsid w:val="002E1AF9"/>
    <w:rsid w:val="002E6CD9"/>
    <w:rsid w:val="002E70ED"/>
    <w:rsid w:val="002F112E"/>
    <w:rsid w:val="002F4596"/>
    <w:rsid w:val="002F712A"/>
    <w:rsid w:val="002F7BFB"/>
    <w:rsid w:val="003027E9"/>
    <w:rsid w:val="00303A57"/>
    <w:rsid w:val="0031498D"/>
    <w:rsid w:val="0031637E"/>
    <w:rsid w:val="0032740E"/>
    <w:rsid w:val="003417AA"/>
    <w:rsid w:val="00342480"/>
    <w:rsid w:val="00344CA8"/>
    <w:rsid w:val="00345C94"/>
    <w:rsid w:val="003523A1"/>
    <w:rsid w:val="00354FF0"/>
    <w:rsid w:val="00361B8B"/>
    <w:rsid w:val="00362597"/>
    <w:rsid w:val="00371B7B"/>
    <w:rsid w:val="0037231C"/>
    <w:rsid w:val="00375956"/>
    <w:rsid w:val="0037789C"/>
    <w:rsid w:val="003819F0"/>
    <w:rsid w:val="00385069"/>
    <w:rsid w:val="003860FC"/>
    <w:rsid w:val="003872E0"/>
    <w:rsid w:val="00390300"/>
    <w:rsid w:val="0039042F"/>
    <w:rsid w:val="003A12E7"/>
    <w:rsid w:val="003A7943"/>
    <w:rsid w:val="003B68F0"/>
    <w:rsid w:val="003C6F96"/>
    <w:rsid w:val="003D7F70"/>
    <w:rsid w:val="003E0087"/>
    <w:rsid w:val="003E110F"/>
    <w:rsid w:val="003E247C"/>
    <w:rsid w:val="003E34E1"/>
    <w:rsid w:val="003E4EEE"/>
    <w:rsid w:val="003E64FB"/>
    <w:rsid w:val="003E74FC"/>
    <w:rsid w:val="003F1DAF"/>
    <w:rsid w:val="003F2A09"/>
    <w:rsid w:val="003F40F9"/>
    <w:rsid w:val="00403095"/>
    <w:rsid w:val="00410E62"/>
    <w:rsid w:val="004129ED"/>
    <w:rsid w:val="004172B8"/>
    <w:rsid w:val="0041742A"/>
    <w:rsid w:val="004201BD"/>
    <w:rsid w:val="004205BA"/>
    <w:rsid w:val="004228C1"/>
    <w:rsid w:val="00427F69"/>
    <w:rsid w:val="004308D7"/>
    <w:rsid w:val="00432143"/>
    <w:rsid w:val="00432A84"/>
    <w:rsid w:val="004344CF"/>
    <w:rsid w:val="00434584"/>
    <w:rsid w:val="00440E1D"/>
    <w:rsid w:val="004436D3"/>
    <w:rsid w:val="00446145"/>
    <w:rsid w:val="00460AED"/>
    <w:rsid w:val="00462ED6"/>
    <w:rsid w:val="00473E62"/>
    <w:rsid w:val="00486204"/>
    <w:rsid w:val="00490D96"/>
    <w:rsid w:val="00495EA5"/>
    <w:rsid w:val="00496A32"/>
    <w:rsid w:val="004A5B9A"/>
    <w:rsid w:val="004B3D56"/>
    <w:rsid w:val="004B509B"/>
    <w:rsid w:val="004B6281"/>
    <w:rsid w:val="004C5391"/>
    <w:rsid w:val="004C62BB"/>
    <w:rsid w:val="004C7D3D"/>
    <w:rsid w:val="004D1C9B"/>
    <w:rsid w:val="004D46E4"/>
    <w:rsid w:val="004E3756"/>
    <w:rsid w:val="004E7237"/>
    <w:rsid w:val="004E7BAA"/>
    <w:rsid w:val="00502C7C"/>
    <w:rsid w:val="00512B13"/>
    <w:rsid w:val="00525D99"/>
    <w:rsid w:val="0053312F"/>
    <w:rsid w:val="00533A43"/>
    <w:rsid w:val="00534497"/>
    <w:rsid w:val="00536788"/>
    <w:rsid w:val="00536CE9"/>
    <w:rsid w:val="00551C0A"/>
    <w:rsid w:val="00554FE9"/>
    <w:rsid w:val="00555F12"/>
    <w:rsid w:val="005575BB"/>
    <w:rsid w:val="00566D60"/>
    <w:rsid w:val="005679EB"/>
    <w:rsid w:val="0058452B"/>
    <w:rsid w:val="00586CBD"/>
    <w:rsid w:val="005870C4"/>
    <w:rsid w:val="00592C99"/>
    <w:rsid w:val="0059711E"/>
    <w:rsid w:val="005A1E0F"/>
    <w:rsid w:val="005A2CFB"/>
    <w:rsid w:val="005A3C37"/>
    <w:rsid w:val="005A6AF2"/>
    <w:rsid w:val="005B4E28"/>
    <w:rsid w:val="005B78D3"/>
    <w:rsid w:val="005C1C1A"/>
    <w:rsid w:val="005C57A7"/>
    <w:rsid w:val="005C6BBA"/>
    <w:rsid w:val="005C6D42"/>
    <w:rsid w:val="005C7693"/>
    <w:rsid w:val="005C7F35"/>
    <w:rsid w:val="005D6571"/>
    <w:rsid w:val="005D73B3"/>
    <w:rsid w:val="005E5328"/>
    <w:rsid w:val="005F0784"/>
    <w:rsid w:val="005F0E6D"/>
    <w:rsid w:val="005F1C77"/>
    <w:rsid w:val="005F1F67"/>
    <w:rsid w:val="005F2324"/>
    <w:rsid w:val="005F4026"/>
    <w:rsid w:val="00602981"/>
    <w:rsid w:val="00606DA0"/>
    <w:rsid w:val="0061288F"/>
    <w:rsid w:val="00613EF7"/>
    <w:rsid w:val="00617A95"/>
    <w:rsid w:val="00617F57"/>
    <w:rsid w:val="006215BD"/>
    <w:rsid w:val="0062517F"/>
    <w:rsid w:val="006258C1"/>
    <w:rsid w:val="00632ACC"/>
    <w:rsid w:val="0063697F"/>
    <w:rsid w:val="006442DB"/>
    <w:rsid w:val="006532E7"/>
    <w:rsid w:val="00653445"/>
    <w:rsid w:val="00655D1C"/>
    <w:rsid w:val="0065629B"/>
    <w:rsid w:val="00656EE7"/>
    <w:rsid w:val="00662F48"/>
    <w:rsid w:val="006674B2"/>
    <w:rsid w:val="00667F90"/>
    <w:rsid w:val="006743E2"/>
    <w:rsid w:val="00677221"/>
    <w:rsid w:val="00685695"/>
    <w:rsid w:val="00685BE8"/>
    <w:rsid w:val="00686825"/>
    <w:rsid w:val="00691BA2"/>
    <w:rsid w:val="006B1BEA"/>
    <w:rsid w:val="006B4A8F"/>
    <w:rsid w:val="006B63AE"/>
    <w:rsid w:val="006C28EE"/>
    <w:rsid w:val="006C2BCC"/>
    <w:rsid w:val="006C4B9C"/>
    <w:rsid w:val="006C7800"/>
    <w:rsid w:val="006D56C0"/>
    <w:rsid w:val="006E1BE7"/>
    <w:rsid w:val="006E3BFF"/>
    <w:rsid w:val="006F6DDB"/>
    <w:rsid w:val="00700D93"/>
    <w:rsid w:val="00702234"/>
    <w:rsid w:val="00702343"/>
    <w:rsid w:val="007031C0"/>
    <w:rsid w:val="00705911"/>
    <w:rsid w:val="0071425C"/>
    <w:rsid w:val="007221E6"/>
    <w:rsid w:val="00722CDB"/>
    <w:rsid w:val="0072384D"/>
    <w:rsid w:val="00726377"/>
    <w:rsid w:val="00735599"/>
    <w:rsid w:val="00741B6E"/>
    <w:rsid w:val="00743958"/>
    <w:rsid w:val="00746BD2"/>
    <w:rsid w:val="00753C64"/>
    <w:rsid w:val="0075471B"/>
    <w:rsid w:val="00755ED4"/>
    <w:rsid w:val="00756DC1"/>
    <w:rsid w:val="007575E1"/>
    <w:rsid w:val="007638BD"/>
    <w:rsid w:val="00766F29"/>
    <w:rsid w:val="00771112"/>
    <w:rsid w:val="00776F0D"/>
    <w:rsid w:val="007773BF"/>
    <w:rsid w:val="00784D81"/>
    <w:rsid w:val="00791DCD"/>
    <w:rsid w:val="007A5F91"/>
    <w:rsid w:val="007B1EFA"/>
    <w:rsid w:val="007B3C7D"/>
    <w:rsid w:val="007C0CCB"/>
    <w:rsid w:val="007C1680"/>
    <w:rsid w:val="007C1E81"/>
    <w:rsid w:val="007C7F5F"/>
    <w:rsid w:val="007D2283"/>
    <w:rsid w:val="007E009E"/>
    <w:rsid w:val="007E449F"/>
    <w:rsid w:val="007F2952"/>
    <w:rsid w:val="00801DEF"/>
    <w:rsid w:val="00802BC0"/>
    <w:rsid w:val="00804CF5"/>
    <w:rsid w:val="00804F28"/>
    <w:rsid w:val="00806202"/>
    <w:rsid w:val="00813FF1"/>
    <w:rsid w:val="008270C7"/>
    <w:rsid w:val="008304A5"/>
    <w:rsid w:val="00835F5D"/>
    <w:rsid w:val="00845EC3"/>
    <w:rsid w:val="0085119C"/>
    <w:rsid w:val="00856973"/>
    <w:rsid w:val="008603B6"/>
    <w:rsid w:val="00876FE3"/>
    <w:rsid w:val="0088219F"/>
    <w:rsid w:val="00887C14"/>
    <w:rsid w:val="00894AFA"/>
    <w:rsid w:val="00894C0B"/>
    <w:rsid w:val="008A190E"/>
    <w:rsid w:val="008B268F"/>
    <w:rsid w:val="008B5C66"/>
    <w:rsid w:val="008C02CC"/>
    <w:rsid w:val="008C36AB"/>
    <w:rsid w:val="008D5D1A"/>
    <w:rsid w:val="008D7ADF"/>
    <w:rsid w:val="008E2756"/>
    <w:rsid w:val="008E2BE7"/>
    <w:rsid w:val="008E4A20"/>
    <w:rsid w:val="008E7952"/>
    <w:rsid w:val="009045BC"/>
    <w:rsid w:val="0091207C"/>
    <w:rsid w:val="00913811"/>
    <w:rsid w:val="00913C27"/>
    <w:rsid w:val="00927937"/>
    <w:rsid w:val="00930AFE"/>
    <w:rsid w:val="00932A24"/>
    <w:rsid w:val="00941A65"/>
    <w:rsid w:val="00946C50"/>
    <w:rsid w:val="00957D36"/>
    <w:rsid w:val="00966491"/>
    <w:rsid w:val="009812C0"/>
    <w:rsid w:val="0098409D"/>
    <w:rsid w:val="00984C18"/>
    <w:rsid w:val="00993345"/>
    <w:rsid w:val="0099502D"/>
    <w:rsid w:val="00996594"/>
    <w:rsid w:val="00997516"/>
    <w:rsid w:val="00997FBC"/>
    <w:rsid w:val="009A107B"/>
    <w:rsid w:val="009A185B"/>
    <w:rsid w:val="009A1CA4"/>
    <w:rsid w:val="009A207D"/>
    <w:rsid w:val="009A2530"/>
    <w:rsid w:val="009A5693"/>
    <w:rsid w:val="009A6035"/>
    <w:rsid w:val="009B1EFB"/>
    <w:rsid w:val="009B38E6"/>
    <w:rsid w:val="009C497D"/>
    <w:rsid w:val="009C5F8A"/>
    <w:rsid w:val="009D30CA"/>
    <w:rsid w:val="009D73BD"/>
    <w:rsid w:val="009E3C66"/>
    <w:rsid w:val="009E4CFB"/>
    <w:rsid w:val="009E4E60"/>
    <w:rsid w:val="009E5638"/>
    <w:rsid w:val="009E7372"/>
    <w:rsid w:val="009F79DB"/>
    <w:rsid w:val="00A03554"/>
    <w:rsid w:val="00A041EF"/>
    <w:rsid w:val="00A10C6B"/>
    <w:rsid w:val="00A114D9"/>
    <w:rsid w:val="00A13F6C"/>
    <w:rsid w:val="00A17169"/>
    <w:rsid w:val="00A3001B"/>
    <w:rsid w:val="00A32085"/>
    <w:rsid w:val="00A3273F"/>
    <w:rsid w:val="00A32CA4"/>
    <w:rsid w:val="00A3301F"/>
    <w:rsid w:val="00A43711"/>
    <w:rsid w:val="00A47539"/>
    <w:rsid w:val="00A47F03"/>
    <w:rsid w:val="00A520AB"/>
    <w:rsid w:val="00A651D1"/>
    <w:rsid w:val="00A73490"/>
    <w:rsid w:val="00A777E9"/>
    <w:rsid w:val="00A80894"/>
    <w:rsid w:val="00A855E2"/>
    <w:rsid w:val="00A9619C"/>
    <w:rsid w:val="00A97937"/>
    <w:rsid w:val="00AA1377"/>
    <w:rsid w:val="00AA13DE"/>
    <w:rsid w:val="00AA241A"/>
    <w:rsid w:val="00AA2855"/>
    <w:rsid w:val="00AA637E"/>
    <w:rsid w:val="00AB0226"/>
    <w:rsid w:val="00AB11E5"/>
    <w:rsid w:val="00AB1C3F"/>
    <w:rsid w:val="00AC79B0"/>
    <w:rsid w:val="00AE5992"/>
    <w:rsid w:val="00AF1DBE"/>
    <w:rsid w:val="00AF374B"/>
    <w:rsid w:val="00AF4C42"/>
    <w:rsid w:val="00AF52E8"/>
    <w:rsid w:val="00AF55DC"/>
    <w:rsid w:val="00B048DC"/>
    <w:rsid w:val="00B04B69"/>
    <w:rsid w:val="00B0694D"/>
    <w:rsid w:val="00B11990"/>
    <w:rsid w:val="00B2115B"/>
    <w:rsid w:val="00B31B69"/>
    <w:rsid w:val="00B3341D"/>
    <w:rsid w:val="00B33E5E"/>
    <w:rsid w:val="00B36DB8"/>
    <w:rsid w:val="00B37BE7"/>
    <w:rsid w:val="00B47851"/>
    <w:rsid w:val="00B63E0B"/>
    <w:rsid w:val="00B6442E"/>
    <w:rsid w:val="00B64BB2"/>
    <w:rsid w:val="00B70958"/>
    <w:rsid w:val="00B75976"/>
    <w:rsid w:val="00B76B81"/>
    <w:rsid w:val="00B76C0C"/>
    <w:rsid w:val="00B8224F"/>
    <w:rsid w:val="00B83B70"/>
    <w:rsid w:val="00B84100"/>
    <w:rsid w:val="00B84AAA"/>
    <w:rsid w:val="00B876D2"/>
    <w:rsid w:val="00B942BE"/>
    <w:rsid w:val="00B95747"/>
    <w:rsid w:val="00BA111F"/>
    <w:rsid w:val="00BA6DC7"/>
    <w:rsid w:val="00BA722E"/>
    <w:rsid w:val="00BB19A6"/>
    <w:rsid w:val="00BB3BD7"/>
    <w:rsid w:val="00BB3E3B"/>
    <w:rsid w:val="00BC0370"/>
    <w:rsid w:val="00BC23BE"/>
    <w:rsid w:val="00BD489A"/>
    <w:rsid w:val="00BD57AC"/>
    <w:rsid w:val="00BE0F1C"/>
    <w:rsid w:val="00BE2630"/>
    <w:rsid w:val="00BF3B70"/>
    <w:rsid w:val="00BF7088"/>
    <w:rsid w:val="00C02367"/>
    <w:rsid w:val="00C0268D"/>
    <w:rsid w:val="00C05540"/>
    <w:rsid w:val="00C05B4A"/>
    <w:rsid w:val="00C074FE"/>
    <w:rsid w:val="00C126B9"/>
    <w:rsid w:val="00C14E27"/>
    <w:rsid w:val="00C15D0C"/>
    <w:rsid w:val="00C161D3"/>
    <w:rsid w:val="00C16635"/>
    <w:rsid w:val="00C224CB"/>
    <w:rsid w:val="00C25544"/>
    <w:rsid w:val="00C30EED"/>
    <w:rsid w:val="00C334CA"/>
    <w:rsid w:val="00C34FD1"/>
    <w:rsid w:val="00C351CC"/>
    <w:rsid w:val="00C43667"/>
    <w:rsid w:val="00C553CA"/>
    <w:rsid w:val="00C55FBC"/>
    <w:rsid w:val="00C63AD3"/>
    <w:rsid w:val="00C64466"/>
    <w:rsid w:val="00C7377D"/>
    <w:rsid w:val="00C74DBF"/>
    <w:rsid w:val="00C77B39"/>
    <w:rsid w:val="00C80082"/>
    <w:rsid w:val="00C82EAE"/>
    <w:rsid w:val="00C951E8"/>
    <w:rsid w:val="00CB0AFA"/>
    <w:rsid w:val="00CB2C4F"/>
    <w:rsid w:val="00CB2D1A"/>
    <w:rsid w:val="00CB4F12"/>
    <w:rsid w:val="00CC1C9B"/>
    <w:rsid w:val="00CC43F2"/>
    <w:rsid w:val="00CC6C6A"/>
    <w:rsid w:val="00CC6E25"/>
    <w:rsid w:val="00CE177D"/>
    <w:rsid w:val="00CE7CF9"/>
    <w:rsid w:val="00CF7A5A"/>
    <w:rsid w:val="00D00C18"/>
    <w:rsid w:val="00D01992"/>
    <w:rsid w:val="00D01D44"/>
    <w:rsid w:val="00D02B72"/>
    <w:rsid w:val="00D05EFD"/>
    <w:rsid w:val="00D11C30"/>
    <w:rsid w:val="00D13978"/>
    <w:rsid w:val="00D14CA5"/>
    <w:rsid w:val="00D14E62"/>
    <w:rsid w:val="00D1561A"/>
    <w:rsid w:val="00D2602F"/>
    <w:rsid w:val="00D2737F"/>
    <w:rsid w:val="00D35585"/>
    <w:rsid w:val="00D4278A"/>
    <w:rsid w:val="00D430EB"/>
    <w:rsid w:val="00D4388D"/>
    <w:rsid w:val="00D43B7C"/>
    <w:rsid w:val="00D45AE7"/>
    <w:rsid w:val="00D52363"/>
    <w:rsid w:val="00D56374"/>
    <w:rsid w:val="00D56B77"/>
    <w:rsid w:val="00D77141"/>
    <w:rsid w:val="00D805BD"/>
    <w:rsid w:val="00D80F09"/>
    <w:rsid w:val="00D82FD4"/>
    <w:rsid w:val="00D85352"/>
    <w:rsid w:val="00D85B85"/>
    <w:rsid w:val="00D929C1"/>
    <w:rsid w:val="00D92F23"/>
    <w:rsid w:val="00D93838"/>
    <w:rsid w:val="00DA42D0"/>
    <w:rsid w:val="00DA4E0F"/>
    <w:rsid w:val="00DC45F3"/>
    <w:rsid w:val="00DE4368"/>
    <w:rsid w:val="00DE52BB"/>
    <w:rsid w:val="00DE594A"/>
    <w:rsid w:val="00DF25DF"/>
    <w:rsid w:val="00DF480C"/>
    <w:rsid w:val="00DF59F7"/>
    <w:rsid w:val="00E001E1"/>
    <w:rsid w:val="00E03F92"/>
    <w:rsid w:val="00E05155"/>
    <w:rsid w:val="00E10BD0"/>
    <w:rsid w:val="00E138B8"/>
    <w:rsid w:val="00E1749A"/>
    <w:rsid w:val="00E2140D"/>
    <w:rsid w:val="00E250ED"/>
    <w:rsid w:val="00E3288B"/>
    <w:rsid w:val="00E35249"/>
    <w:rsid w:val="00E44CEA"/>
    <w:rsid w:val="00E557EE"/>
    <w:rsid w:val="00E55A11"/>
    <w:rsid w:val="00E64123"/>
    <w:rsid w:val="00E675A1"/>
    <w:rsid w:val="00E71183"/>
    <w:rsid w:val="00E7136D"/>
    <w:rsid w:val="00E71A08"/>
    <w:rsid w:val="00E75BFA"/>
    <w:rsid w:val="00E7719B"/>
    <w:rsid w:val="00E80194"/>
    <w:rsid w:val="00E80710"/>
    <w:rsid w:val="00E807FA"/>
    <w:rsid w:val="00E84E19"/>
    <w:rsid w:val="00E915ED"/>
    <w:rsid w:val="00E91CD9"/>
    <w:rsid w:val="00E94D53"/>
    <w:rsid w:val="00EA1BFE"/>
    <w:rsid w:val="00EA38C7"/>
    <w:rsid w:val="00EA41C4"/>
    <w:rsid w:val="00EA5D07"/>
    <w:rsid w:val="00EB089C"/>
    <w:rsid w:val="00EB4AF9"/>
    <w:rsid w:val="00EC030B"/>
    <w:rsid w:val="00EC3276"/>
    <w:rsid w:val="00EC461F"/>
    <w:rsid w:val="00EC5B09"/>
    <w:rsid w:val="00EC65CF"/>
    <w:rsid w:val="00EE02CF"/>
    <w:rsid w:val="00EE10AF"/>
    <w:rsid w:val="00EE4FCD"/>
    <w:rsid w:val="00EE523F"/>
    <w:rsid w:val="00EE6726"/>
    <w:rsid w:val="00EF5717"/>
    <w:rsid w:val="00EF58A1"/>
    <w:rsid w:val="00EF61FA"/>
    <w:rsid w:val="00F014B3"/>
    <w:rsid w:val="00F01E53"/>
    <w:rsid w:val="00F0767A"/>
    <w:rsid w:val="00F12BA5"/>
    <w:rsid w:val="00F1555A"/>
    <w:rsid w:val="00F16EA7"/>
    <w:rsid w:val="00F255CF"/>
    <w:rsid w:val="00F32E91"/>
    <w:rsid w:val="00F40FA4"/>
    <w:rsid w:val="00F41B4E"/>
    <w:rsid w:val="00F47BAB"/>
    <w:rsid w:val="00F50897"/>
    <w:rsid w:val="00F51D87"/>
    <w:rsid w:val="00F54218"/>
    <w:rsid w:val="00F70F6B"/>
    <w:rsid w:val="00F72C91"/>
    <w:rsid w:val="00F7381B"/>
    <w:rsid w:val="00F751CB"/>
    <w:rsid w:val="00F8090D"/>
    <w:rsid w:val="00F842BF"/>
    <w:rsid w:val="00F84FF5"/>
    <w:rsid w:val="00F86438"/>
    <w:rsid w:val="00F86EB5"/>
    <w:rsid w:val="00F946D8"/>
    <w:rsid w:val="00F94919"/>
    <w:rsid w:val="00FA0F6A"/>
    <w:rsid w:val="00FB46E1"/>
    <w:rsid w:val="00FB4990"/>
    <w:rsid w:val="00FB5474"/>
    <w:rsid w:val="00FB660E"/>
    <w:rsid w:val="00FC4D1D"/>
    <w:rsid w:val="00FD58D3"/>
    <w:rsid w:val="00FD5AB3"/>
    <w:rsid w:val="00FE7BD9"/>
    <w:rsid w:val="012F41F1"/>
    <w:rsid w:val="04925492"/>
    <w:rsid w:val="056606D2"/>
    <w:rsid w:val="08D21CBE"/>
    <w:rsid w:val="0A1F52DE"/>
    <w:rsid w:val="0E7771D7"/>
    <w:rsid w:val="15C9026B"/>
    <w:rsid w:val="1A804D9E"/>
    <w:rsid w:val="1EA64683"/>
    <w:rsid w:val="1EBB3755"/>
    <w:rsid w:val="27CC2790"/>
    <w:rsid w:val="298C02E7"/>
    <w:rsid w:val="2B3C72FC"/>
    <w:rsid w:val="484C626B"/>
    <w:rsid w:val="4FA80F91"/>
    <w:rsid w:val="501648C4"/>
    <w:rsid w:val="52CD53AE"/>
    <w:rsid w:val="52E03507"/>
    <w:rsid w:val="58EC27F2"/>
    <w:rsid w:val="5A135D7D"/>
    <w:rsid w:val="5A1D3A2F"/>
    <w:rsid w:val="5B5B7F93"/>
    <w:rsid w:val="5CE44D4B"/>
    <w:rsid w:val="5FEA429E"/>
    <w:rsid w:val="60E05B89"/>
    <w:rsid w:val="61E6537B"/>
    <w:rsid w:val="633D5716"/>
    <w:rsid w:val="637C0128"/>
    <w:rsid w:val="673B6822"/>
    <w:rsid w:val="6B9142B8"/>
    <w:rsid w:val="6E277E78"/>
    <w:rsid w:val="70BE1FC8"/>
    <w:rsid w:val="71AD28A8"/>
    <w:rsid w:val="74A35849"/>
    <w:rsid w:val="797A5E66"/>
    <w:rsid w:val="7F2A4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qFormat/>
    <w:uiPriority w:val="9"/>
    <w:pPr>
      <w:keepNext/>
      <w:keepLines/>
      <w:spacing w:before="340" w:after="330" w:line="576" w:lineRule="auto"/>
      <w:outlineLvl w:val="0"/>
    </w:pPr>
    <w:rPr>
      <w:rFonts w:ascii="Calibri" w:hAnsi="Calibri"/>
      <w:b/>
      <w:bCs/>
      <w:kern w:val="44"/>
      <w:sz w:val="44"/>
      <w:szCs w:val="44"/>
      <w:lang w:val="zh-CN"/>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alloon Text"/>
    <w:basedOn w:val="1"/>
    <w:link w:val="15"/>
    <w:unhideWhenUsed/>
    <w:qFormat/>
    <w:uiPriority w:val="99"/>
    <w:rPr>
      <w:sz w:val="18"/>
      <w:szCs w:val="18"/>
    </w:rPr>
  </w:style>
  <w:style w:type="paragraph" w:styleId="5">
    <w:name w:val="footer"/>
    <w:basedOn w:val="1"/>
    <w:link w:val="17"/>
    <w:qFormat/>
    <w:uiPriority w:val="99"/>
    <w:pPr>
      <w:tabs>
        <w:tab w:val="center" w:pos="4153"/>
        <w:tab w:val="right" w:pos="8306"/>
      </w:tabs>
      <w:snapToGrid w:val="0"/>
      <w:jc w:val="left"/>
    </w:pPr>
    <w:rPr>
      <w:sz w:val="18"/>
    </w:rPr>
  </w:style>
  <w:style w:type="paragraph" w:styleId="6">
    <w:name w:val="header"/>
    <w:basedOn w:val="1"/>
    <w:link w:val="14"/>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8">
    <w:name w:val="annotation subject"/>
    <w:basedOn w:val="3"/>
    <w:next w:val="3"/>
    <w:link w:val="22"/>
    <w:semiHidden/>
    <w:unhideWhenUsed/>
    <w:qFormat/>
    <w:uiPriority w:val="99"/>
    <w:rPr>
      <w:b/>
      <w:bCs/>
    </w:rPr>
  </w:style>
  <w:style w:type="table" w:styleId="10">
    <w:name w:val="Table Grid"/>
    <w:basedOn w:val="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semiHidden/>
    <w:unhideWhenUsed/>
    <w:qFormat/>
    <w:uiPriority w:val="0"/>
    <w:rPr>
      <w:color w:val="0000FF"/>
      <w:u w:val="single"/>
    </w:rPr>
  </w:style>
  <w:style w:type="character" w:styleId="13">
    <w:name w:val="annotation reference"/>
    <w:basedOn w:val="11"/>
    <w:semiHidden/>
    <w:unhideWhenUsed/>
    <w:qFormat/>
    <w:uiPriority w:val="99"/>
    <w:rPr>
      <w:sz w:val="21"/>
      <w:szCs w:val="21"/>
    </w:rPr>
  </w:style>
  <w:style w:type="character" w:customStyle="1" w:styleId="14">
    <w:name w:val="页眉 Char"/>
    <w:basedOn w:val="11"/>
    <w:link w:val="6"/>
    <w:qFormat/>
    <w:uiPriority w:val="99"/>
    <w:rPr>
      <w:kern w:val="2"/>
      <w:sz w:val="18"/>
    </w:rPr>
  </w:style>
  <w:style w:type="character" w:customStyle="1" w:styleId="15">
    <w:name w:val="批注框文本 Char"/>
    <w:basedOn w:val="11"/>
    <w:link w:val="4"/>
    <w:semiHidden/>
    <w:qFormat/>
    <w:uiPriority w:val="99"/>
    <w:rPr>
      <w:kern w:val="2"/>
      <w:sz w:val="18"/>
      <w:szCs w:val="18"/>
    </w:rPr>
  </w:style>
  <w:style w:type="paragraph" w:customStyle="1" w:styleId="16">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7">
    <w:name w:val="页脚 Char"/>
    <w:basedOn w:val="11"/>
    <w:link w:val="5"/>
    <w:qFormat/>
    <w:uiPriority w:val="99"/>
    <w:rPr>
      <w:kern w:val="2"/>
      <w:sz w:val="18"/>
    </w:rPr>
  </w:style>
  <w:style w:type="paragraph" w:customStyle="1" w:styleId="18">
    <w:name w:val="xl35"/>
    <w:basedOn w:val="1"/>
    <w:qFormat/>
    <w:uiPriority w:val="0"/>
    <w:pPr>
      <w:widowControl/>
      <w:spacing w:before="100" w:beforeAutospacing="1" w:after="100" w:afterAutospacing="1"/>
      <w:jc w:val="left"/>
    </w:pPr>
    <w:rPr>
      <w:rFonts w:ascii="宋体" w:hAnsi="宋体" w:cs="宋体"/>
      <w:kern w:val="0"/>
      <w:sz w:val="24"/>
      <w:szCs w:val="24"/>
    </w:rPr>
  </w:style>
  <w:style w:type="paragraph" w:styleId="19">
    <w:name w:val="List Paragraph"/>
    <w:basedOn w:val="1"/>
    <w:qFormat/>
    <w:uiPriority w:val="99"/>
    <w:pPr>
      <w:ind w:firstLine="420" w:firstLineChars="200"/>
    </w:pPr>
  </w:style>
  <w:style w:type="character" w:customStyle="1" w:styleId="20">
    <w:name w:val="标题 1 Char"/>
    <w:basedOn w:val="11"/>
    <w:link w:val="2"/>
    <w:qFormat/>
    <w:uiPriority w:val="9"/>
    <w:rPr>
      <w:rFonts w:ascii="Calibri" w:hAnsi="Calibri"/>
      <w:b/>
      <w:bCs/>
      <w:kern w:val="44"/>
      <w:sz w:val="44"/>
      <w:szCs w:val="44"/>
      <w:lang w:val="zh-CN" w:eastAsia="zh-CN"/>
    </w:rPr>
  </w:style>
  <w:style w:type="character" w:customStyle="1" w:styleId="21">
    <w:name w:val="批注文字 Char"/>
    <w:basedOn w:val="11"/>
    <w:link w:val="3"/>
    <w:semiHidden/>
    <w:qFormat/>
    <w:uiPriority w:val="99"/>
    <w:rPr>
      <w:kern w:val="2"/>
      <w:sz w:val="21"/>
    </w:rPr>
  </w:style>
  <w:style w:type="character" w:customStyle="1" w:styleId="22">
    <w:name w:val="批注主题 Char"/>
    <w:basedOn w:val="21"/>
    <w:link w:val="8"/>
    <w:semiHidden/>
    <w:qFormat/>
    <w:uiPriority w:val="99"/>
    <w:rPr>
      <w:b/>
      <w:bCs/>
      <w:kern w:val="2"/>
      <w:sz w:val="21"/>
    </w:rPr>
  </w:style>
  <w:style w:type="paragraph" w:customStyle="1" w:styleId="23">
    <w:name w:val="AONormal"/>
    <w:qFormat/>
    <w:uiPriority w:val="0"/>
    <w:pPr>
      <w:autoSpaceDE w:val="0"/>
      <w:autoSpaceDN w:val="0"/>
      <w:adjustRightInd w:val="0"/>
      <w:spacing w:line="260" w:lineRule="atLeast"/>
    </w:pPr>
    <w:rPr>
      <w:rFonts w:ascii="Times New Roman" w:hAnsi="Times New Roman" w:eastAsia="宋体" w:cs="Times New Roman"/>
      <w:sz w:val="22"/>
      <w:szCs w:val="22"/>
      <w:lang w:val="en-GB"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aoxueru\Desktop\&#24120;&#29992;\&#27169;&#26495;\Word(&#27169;&#26495;&#652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CEBFF-CABA-4FCF-A9A8-F0D03622A830}">
  <ds:schemaRefs/>
</ds:datastoreItem>
</file>

<file path=docProps/app.xml><?xml version="1.0" encoding="utf-8"?>
<Properties xmlns="http://schemas.openxmlformats.org/officeDocument/2006/extended-properties" xmlns:vt="http://schemas.openxmlformats.org/officeDocument/2006/docPropsVTypes">
  <Template>Word(模板）</Template>
  <Company>微软中国</Company>
  <Pages>3</Pages>
  <Words>2041</Words>
  <Characters>2057</Characters>
  <Lines>51</Lines>
  <Paragraphs>14</Paragraphs>
  <TotalTime>32</TotalTime>
  <ScaleCrop>false</ScaleCrop>
  <LinksUpToDate>false</LinksUpToDate>
  <CharactersWithSpaces>7094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2021-12-13T07:26:00Z</dcterms:created>
  <dc:creator>zhao</dc:creator>
  <cp:lastModifiedBy>作者</cp:lastModifiedBy>
  <cp:lastPrinted>2020-09-23T07:47:00Z</cp:lastPrinted>
  <dcterms:modified xsi:type="dcterms:W3CDTF">2025-05-21T01:24:13Z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FA300D01405F4C92853AC056DABFF108_13</vt:lpwstr>
  </property>
  <property fmtid="{D5CDD505-2E9C-101B-9397-08002B2CF9AE}" pid="4" name="KSOTemplateDocerSaveRecord">
    <vt:lpwstr>eyJoZGlkIjoiODI3ZGNmMTBmYjU1ZGU3Zjk4Y2E1YmE1NWMzYjliZmMiLCJ1c2VySWQiOiIyOTI3ODM5OTgifQ==</vt:lpwstr>
  </property>
</Properties>
</file>