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3AA82A3">
      <w:pPr>
        <w:spacing w:line="600" w:lineRule="exact"/>
        <w:jc w:val="center"/>
        <w:rPr>
          <w:rFonts w:ascii="宋体" w:hAnsi="宋体" w:cs="宋体"/>
          <w:bCs/>
          <w:sz w:val="52"/>
          <w:szCs w:val="52"/>
        </w:rPr>
      </w:pPr>
      <w:r>
        <w:rPr>
          <w:rFonts w:hint="eastAsia" w:ascii="宋体" w:hAnsi="宋体" w:cs="宋体"/>
          <w:bCs/>
          <w:sz w:val="52"/>
          <w:szCs w:val="52"/>
        </w:rPr>
        <w:t>数据许可使用协议</w:t>
      </w:r>
    </w:p>
    <w:p w14:paraId="4AEDF7A4">
      <w:pPr>
        <w:spacing w:line="600" w:lineRule="exact"/>
        <w:jc w:val="right"/>
        <w:rPr>
          <w:rFonts w:ascii="宋体" w:hAnsi="宋体" w:cs="宋体"/>
          <w:bCs/>
          <w:sz w:val="52"/>
          <w:szCs w:val="52"/>
        </w:rPr>
      </w:pPr>
      <w:r>
        <w:rPr>
          <w:rFonts w:hint="eastAsia" w:ascii="宋体" w:hAnsi="宋体" w:cs="宋体"/>
          <w:sz w:val="28"/>
          <w:szCs w:val="28"/>
        </w:rPr>
        <w:t>合同签订地：深圳市</w:t>
      </w:r>
    </w:p>
    <w:p w14:paraId="324F5769">
      <w:pPr>
        <w:rPr>
          <w:rFonts w:ascii="宋体" w:hAnsi="宋体" w:cs="宋体"/>
          <w:b/>
          <w:bCs/>
          <w:szCs w:val="21"/>
        </w:rPr>
      </w:pPr>
      <w:r>
        <w:rPr>
          <w:rFonts w:hint="eastAsia" w:ascii="宋体" w:hAnsi="宋体" w:cs="宋体"/>
          <w:b/>
          <w:bCs/>
          <w:szCs w:val="21"/>
        </w:rPr>
        <w:t xml:space="preserve">                                      </w:t>
      </w:r>
    </w:p>
    <w:tbl>
      <w:tblPr>
        <w:tblStyle w:val="8"/>
        <w:tblpPr w:leftFromText="180" w:rightFromText="180" w:vertAnchor="text" w:horzAnchor="page" w:tblpX="1832" w:tblpY="252"/>
        <w:tblW w:w="0" w:type="auto"/>
        <w:tblInd w:w="0" w:type="dxa"/>
        <w:tblLayout w:type="fixed"/>
        <w:tblCellMar>
          <w:top w:w="0" w:type="dxa"/>
          <w:left w:w="108" w:type="dxa"/>
          <w:bottom w:w="0" w:type="dxa"/>
          <w:right w:w="108" w:type="dxa"/>
        </w:tblCellMar>
      </w:tblPr>
      <w:tblGrid>
        <w:gridCol w:w="8472"/>
      </w:tblGrid>
      <w:tr w14:paraId="6EEB6B83">
        <w:tblPrEx>
          <w:tblCellMar>
            <w:top w:w="0" w:type="dxa"/>
            <w:left w:w="108" w:type="dxa"/>
            <w:bottom w:w="0" w:type="dxa"/>
            <w:right w:w="108" w:type="dxa"/>
          </w:tblCellMar>
        </w:tblPrEx>
        <w:trPr>
          <w:trHeight w:val="567" w:hRule="atLeast"/>
        </w:trPr>
        <w:tc>
          <w:tcPr>
            <w:tcW w:w="8472" w:type="dxa"/>
          </w:tcPr>
          <w:p w14:paraId="39216F87">
            <w:pPr>
              <w:pStyle w:val="6"/>
              <w:shd w:val="clear" w:color="auto" w:fill="FFFFFF"/>
              <w:spacing w:line="440" w:lineRule="exact"/>
              <w:ind w:right="250"/>
              <w:rPr>
                <w:rFonts w:ascii="宋体" w:hAnsi="宋体" w:cs="宋体"/>
                <w:sz w:val="28"/>
                <w:szCs w:val="28"/>
              </w:rPr>
            </w:pPr>
            <w:r>
              <w:rPr>
                <w:rFonts w:hint="eastAsia" w:ascii="宋体" w:hAnsi="宋体" w:cs="宋体"/>
                <w:b/>
                <w:bCs/>
                <w:sz w:val="28"/>
                <w:szCs w:val="28"/>
              </w:rPr>
              <w:t>甲方</w:t>
            </w:r>
            <w:r>
              <w:rPr>
                <w:rFonts w:hint="eastAsia" w:ascii="宋体" w:hAnsi="宋体" w:cs="宋体"/>
                <w:sz w:val="28"/>
                <w:szCs w:val="28"/>
              </w:rPr>
              <w:t>：清华大学深圳国际研究生院</w:t>
            </w:r>
          </w:p>
          <w:p w14:paraId="25EE521E">
            <w:pPr>
              <w:pStyle w:val="21"/>
              <w:spacing w:line="312" w:lineRule="auto"/>
              <w:ind w:firstLine="840" w:firstLineChars="300"/>
              <w:rPr>
                <w:rFonts w:ascii="宋体" w:hAnsi="宋体" w:eastAsia="宋体" w:cs="宋体"/>
                <w:sz w:val="28"/>
                <w:szCs w:val="28"/>
              </w:rPr>
            </w:pPr>
            <w:r>
              <w:rPr>
                <w:rFonts w:hint="eastAsia" w:ascii="宋体" w:hAnsi="宋体" w:eastAsia="宋体" w:cs="宋体"/>
                <w:b w:val="0"/>
                <w:bCs/>
                <w:color w:val="000000"/>
                <w:sz w:val="28"/>
                <w:szCs w:val="28"/>
              </w:rPr>
              <w:t>（具体承办单位：</w:t>
            </w:r>
            <w:r>
              <w:rPr>
                <w:rFonts w:hint="eastAsia" w:ascii="宋体" w:hAnsi="宋体" w:eastAsia="宋体" w:cs="宋体"/>
                <w:b w:val="0"/>
                <w:bCs/>
                <w:color w:val="000000"/>
                <w:sz w:val="28"/>
                <w:szCs w:val="28"/>
                <w:u w:val="single"/>
              </w:rPr>
              <w:t xml:space="preserve">       </w:t>
            </w:r>
            <w:r>
              <w:rPr>
                <w:rFonts w:hint="eastAsia" w:ascii="宋体" w:hAnsi="宋体" w:eastAsia="宋体" w:cs="宋体"/>
                <w:b w:val="0"/>
                <w:bCs/>
                <w:color w:val="000000"/>
                <w:sz w:val="28"/>
                <w:szCs w:val="28"/>
              </w:rPr>
              <w:t>）</w:t>
            </w:r>
          </w:p>
        </w:tc>
      </w:tr>
      <w:tr w14:paraId="66E9742E">
        <w:tblPrEx>
          <w:tblCellMar>
            <w:top w:w="0" w:type="dxa"/>
            <w:left w:w="108" w:type="dxa"/>
            <w:bottom w:w="0" w:type="dxa"/>
            <w:right w:w="108" w:type="dxa"/>
          </w:tblCellMar>
        </w:tblPrEx>
        <w:trPr>
          <w:trHeight w:val="567" w:hRule="atLeast"/>
        </w:trPr>
        <w:tc>
          <w:tcPr>
            <w:tcW w:w="8472" w:type="dxa"/>
          </w:tcPr>
          <w:p w14:paraId="0581C9B9">
            <w:pPr>
              <w:spacing w:line="440" w:lineRule="exact"/>
              <w:rPr>
                <w:rFonts w:ascii="宋体" w:hAnsi="宋体" w:cs="宋体"/>
                <w:sz w:val="28"/>
                <w:szCs w:val="28"/>
              </w:rPr>
            </w:pPr>
            <w:r>
              <w:rPr>
                <w:rFonts w:hint="eastAsia" w:ascii="宋体" w:hAnsi="宋体" w:cs="宋体"/>
                <w:sz w:val="28"/>
                <w:szCs w:val="28"/>
              </w:rPr>
              <w:t>联系人：</w:t>
            </w:r>
          </w:p>
        </w:tc>
      </w:tr>
      <w:tr w14:paraId="603CF4BC">
        <w:tblPrEx>
          <w:tblCellMar>
            <w:top w:w="0" w:type="dxa"/>
            <w:left w:w="108" w:type="dxa"/>
            <w:bottom w:w="0" w:type="dxa"/>
            <w:right w:w="108" w:type="dxa"/>
          </w:tblCellMar>
        </w:tblPrEx>
        <w:trPr>
          <w:trHeight w:val="567" w:hRule="atLeast"/>
        </w:trPr>
        <w:tc>
          <w:tcPr>
            <w:tcW w:w="8472" w:type="dxa"/>
          </w:tcPr>
          <w:p w14:paraId="60725CA9">
            <w:pPr>
              <w:spacing w:line="440" w:lineRule="exact"/>
              <w:rPr>
                <w:rFonts w:ascii="宋体" w:hAnsi="宋体" w:cs="宋体"/>
                <w:sz w:val="28"/>
                <w:szCs w:val="28"/>
              </w:rPr>
            </w:pPr>
            <w:r>
              <w:rPr>
                <w:rFonts w:hint="eastAsia" w:ascii="宋体" w:hAnsi="宋体" w:cs="宋体"/>
                <w:sz w:val="28"/>
                <w:szCs w:val="28"/>
              </w:rPr>
              <w:t>联系电话：</w:t>
            </w:r>
          </w:p>
        </w:tc>
      </w:tr>
      <w:tr w14:paraId="044C29F2">
        <w:tblPrEx>
          <w:tblCellMar>
            <w:top w:w="0" w:type="dxa"/>
            <w:left w:w="108" w:type="dxa"/>
            <w:bottom w:w="0" w:type="dxa"/>
            <w:right w:w="108" w:type="dxa"/>
          </w:tblCellMar>
        </w:tblPrEx>
        <w:trPr>
          <w:trHeight w:val="567" w:hRule="atLeast"/>
        </w:trPr>
        <w:tc>
          <w:tcPr>
            <w:tcW w:w="8472" w:type="dxa"/>
          </w:tcPr>
          <w:p w14:paraId="331F6E35">
            <w:pPr>
              <w:spacing w:line="440" w:lineRule="exact"/>
              <w:rPr>
                <w:rFonts w:ascii="宋体" w:hAnsi="宋体" w:cs="宋体"/>
                <w:sz w:val="28"/>
                <w:szCs w:val="28"/>
              </w:rPr>
            </w:pPr>
            <w:r>
              <w:rPr>
                <w:rFonts w:hint="eastAsia" w:ascii="宋体" w:hAnsi="宋体" w:cs="宋体"/>
                <w:sz w:val="28"/>
                <w:szCs w:val="28"/>
              </w:rPr>
              <w:t>地址：</w:t>
            </w:r>
          </w:p>
        </w:tc>
      </w:tr>
      <w:tr w14:paraId="3AF60A7E">
        <w:tblPrEx>
          <w:tblCellMar>
            <w:top w:w="0" w:type="dxa"/>
            <w:left w:w="108" w:type="dxa"/>
            <w:bottom w:w="0" w:type="dxa"/>
            <w:right w:w="108" w:type="dxa"/>
          </w:tblCellMar>
        </w:tblPrEx>
        <w:trPr>
          <w:trHeight w:val="567" w:hRule="atLeast"/>
        </w:trPr>
        <w:tc>
          <w:tcPr>
            <w:tcW w:w="8472" w:type="dxa"/>
          </w:tcPr>
          <w:p w14:paraId="63F8D5C0">
            <w:pPr>
              <w:spacing w:line="440" w:lineRule="exact"/>
              <w:rPr>
                <w:rFonts w:ascii="宋体" w:hAnsi="宋体" w:cs="宋体"/>
                <w:sz w:val="28"/>
                <w:szCs w:val="28"/>
              </w:rPr>
            </w:pPr>
            <w:r>
              <w:rPr>
                <w:rFonts w:hint="eastAsia" w:ascii="宋体" w:hAnsi="宋体" w:cs="宋体"/>
                <w:b/>
                <w:bCs/>
                <w:sz w:val="28"/>
                <w:szCs w:val="28"/>
              </w:rPr>
              <w:t>乙方：</w:t>
            </w:r>
          </w:p>
        </w:tc>
      </w:tr>
      <w:tr w14:paraId="51EC56E6">
        <w:tblPrEx>
          <w:tblCellMar>
            <w:top w:w="0" w:type="dxa"/>
            <w:left w:w="108" w:type="dxa"/>
            <w:bottom w:w="0" w:type="dxa"/>
            <w:right w:w="108" w:type="dxa"/>
          </w:tblCellMar>
        </w:tblPrEx>
        <w:trPr>
          <w:trHeight w:val="567" w:hRule="atLeast"/>
        </w:trPr>
        <w:tc>
          <w:tcPr>
            <w:tcW w:w="8472" w:type="dxa"/>
          </w:tcPr>
          <w:p w14:paraId="5F01EED0">
            <w:pPr>
              <w:spacing w:line="440" w:lineRule="exact"/>
              <w:rPr>
                <w:rFonts w:ascii="宋体" w:hAnsi="宋体" w:cs="宋体"/>
                <w:sz w:val="28"/>
                <w:szCs w:val="28"/>
              </w:rPr>
            </w:pPr>
            <w:r>
              <w:rPr>
                <w:rFonts w:hint="eastAsia" w:ascii="宋体" w:hAnsi="宋体" w:cs="宋体"/>
                <w:sz w:val="28"/>
                <w:szCs w:val="28"/>
              </w:rPr>
              <w:t>联系人：</w:t>
            </w:r>
          </w:p>
        </w:tc>
      </w:tr>
      <w:tr w14:paraId="3ECD05A7">
        <w:tblPrEx>
          <w:tblCellMar>
            <w:top w:w="0" w:type="dxa"/>
            <w:left w:w="108" w:type="dxa"/>
            <w:bottom w:w="0" w:type="dxa"/>
            <w:right w:w="108" w:type="dxa"/>
          </w:tblCellMar>
        </w:tblPrEx>
        <w:trPr>
          <w:trHeight w:val="567" w:hRule="atLeast"/>
        </w:trPr>
        <w:tc>
          <w:tcPr>
            <w:tcW w:w="8472" w:type="dxa"/>
          </w:tcPr>
          <w:p w14:paraId="2724834F">
            <w:pPr>
              <w:spacing w:line="440" w:lineRule="exact"/>
              <w:rPr>
                <w:rFonts w:ascii="宋体" w:hAnsi="宋体" w:cs="宋体"/>
                <w:sz w:val="28"/>
                <w:szCs w:val="28"/>
              </w:rPr>
            </w:pPr>
            <w:r>
              <w:rPr>
                <w:rFonts w:hint="eastAsia" w:ascii="宋体" w:hAnsi="宋体" w:cs="宋体"/>
                <w:sz w:val="28"/>
                <w:szCs w:val="28"/>
              </w:rPr>
              <w:t>联系电话：</w:t>
            </w:r>
          </w:p>
        </w:tc>
      </w:tr>
      <w:tr w14:paraId="2E42B722">
        <w:tblPrEx>
          <w:tblCellMar>
            <w:top w:w="0" w:type="dxa"/>
            <w:left w:w="108" w:type="dxa"/>
            <w:bottom w:w="0" w:type="dxa"/>
            <w:right w:w="108" w:type="dxa"/>
          </w:tblCellMar>
        </w:tblPrEx>
        <w:trPr>
          <w:trHeight w:val="567" w:hRule="atLeast"/>
        </w:trPr>
        <w:tc>
          <w:tcPr>
            <w:tcW w:w="8472" w:type="dxa"/>
          </w:tcPr>
          <w:p w14:paraId="46F766EE">
            <w:pPr>
              <w:rPr>
                <w:rFonts w:ascii="宋体" w:hAnsi="宋体" w:cs="宋体"/>
                <w:sz w:val="28"/>
                <w:szCs w:val="28"/>
              </w:rPr>
            </w:pPr>
            <w:r>
              <w:rPr>
                <w:rFonts w:hint="eastAsia" w:ascii="宋体" w:hAnsi="宋体" w:cs="宋体"/>
                <w:sz w:val="28"/>
                <w:szCs w:val="28"/>
              </w:rPr>
              <w:t>地址：</w:t>
            </w:r>
          </w:p>
        </w:tc>
      </w:tr>
    </w:tbl>
    <w:p w14:paraId="7F56EBFF">
      <w:pPr>
        <w:rPr>
          <w:rFonts w:ascii="宋体" w:hAnsi="宋体" w:cs="宋体"/>
          <w:szCs w:val="21"/>
        </w:rPr>
      </w:pPr>
    </w:p>
    <w:p w14:paraId="40428FC3">
      <w:pPr>
        <w:ind w:firstLine="480" w:firstLineChars="200"/>
        <w:rPr>
          <w:rFonts w:cs="仿宋" w:asciiTheme="minorEastAsia" w:hAnsiTheme="minorEastAsia" w:eastAsiaTheme="minorEastAsia"/>
          <w:sz w:val="24"/>
          <w:szCs w:val="24"/>
        </w:rPr>
      </w:pPr>
    </w:p>
    <w:p w14:paraId="333F4489">
      <w:pPr>
        <w:rPr>
          <w:rFonts w:cs="仿宋" w:asciiTheme="minorEastAsia" w:hAnsiTheme="minorEastAsia" w:eastAsiaTheme="minorEastAsia"/>
          <w:sz w:val="24"/>
          <w:szCs w:val="24"/>
        </w:rPr>
      </w:pPr>
    </w:p>
    <w:p w14:paraId="2A8D3436">
      <w:pPr>
        <w:pStyle w:val="22"/>
        <w:spacing w:line="312" w:lineRule="auto"/>
        <w:ind w:firstLine="560"/>
        <w:jc w:val="left"/>
        <w:rPr>
          <w:rFonts w:ascii="仿宋" w:hAnsi="仿宋" w:eastAsia="仿宋" w:cs="宋体"/>
          <w:bCs/>
          <w:sz w:val="24"/>
        </w:rPr>
      </w:pPr>
      <w:r>
        <w:rPr>
          <w:rFonts w:hint="eastAsia" w:ascii="宋体" w:hAnsi="宋体" w:eastAsia="宋体" w:cs="宋体"/>
          <w:kern w:val="0"/>
          <w:sz w:val="28"/>
          <w:szCs w:val="28"/>
        </w:rPr>
        <w:t>按照《中华人民共和国民法典》（第三编合同）和《中华人民共和国政府采购法》、《深圳经济特区政府采购条例》等相关法律法规，</w:t>
      </w:r>
      <w:r>
        <w:rPr>
          <w:rFonts w:hint="eastAsia" w:ascii="宋体" w:hAnsi="宋体" w:eastAsia="宋体" w:cs="宋体"/>
          <w:bCs/>
          <w:sz w:val="28"/>
          <w:szCs w:val="28"/>
        </w:rPr>
        <w:t>就甲方委托乙方提供素质拓展服务事宜，</w:t>
      </w:r>
      <w:r>
        <w:rPr>
          <w:rFonts w:hint="eastAsia" w:ascii="宋体" w:hAnsi="宋体" w:eastAsia="宋体" w:cs="宋体"/>
          <w:kern w:val="0"/>
          <w:sz w:val="28"/>
          <w:szCs w:val="28"/>
        </w:rPr>
        <w:t>经双方友好协商协商，达成以下合同条款：</w:t>
      </w:r>
    </w:p>
    <w:p w14:paraId="13E27DAE">
      <w:pPr>
        <w:rPr>
          <w:rFonts w:cs="仿宋" w:asciiTheme="minorEastAsia" w:hAnsiTheme="minorEastAsia" w:eastAsiaTheme="minorEastAsia"/>
          <w:sz w:val="24"/>
          <w:szCs w:val="24"/>
        </w:rPr>
      </w:pPr>
    </w:p>
    <w:p w14:paraId="3FF84683">
      <w:pPr>
        <w:tabs>
          <w:tab w:val="left" w:pos="7920"/>
        </w:tabs>
        <w:spacing w:line="312" w:lineRule="auto"/>
        <w:jc w:val="left"/>
        <w:rPr>
          <w:rFonts w:cs="仿宋" w:asciiTheme="minorEastAsia" w:hAnsiTheme="minorEastAsia" w:eastAsiaTheme="minorEastAsia"/>
          <w:b/>
          <w:sz w:val="28"/>
          <w:szCs w:val="28"/>
        </w:rPr>
      </w:pPr>
      <w:r>
        <w:rPr>
          <w:rFonts w:hint="eastAsia" w:cs="仿宋" w:asciiTheme="minorEastAsia" w:hAnsiTheme="minorEastAsia" w:eastAsiaTheme="minorEastAsia"/>
          <w:b/>
          <w:sz w:val="28"/>
          <w:szCs w:val="28"/>
        </w:rPr>
        <w:t>一、数据内容：</w:t>
      </w:r>
    </w:p>
    <w:p w14:paraId="033DD2BB">
      <w:pPr>
        <w:tabs>
          <w:tab w:val="left" w:pos="7920"/>
        </w:tabs>
        <w:spacing w:line="312" w:lineRule="auto"/>
        <w:ind w:firstLine="560" w:firstLineChars="200"/>
        <w:jc w:val="left"/>
        <w:rPr>
          <w:rFonts w:cs="仿宋" w:asciiTheme="minorEastAsia" w:hAnsiTheme="minorEastAsia" w:eastAsiaTheme="minorEastAsia"/>
          <w:sz w:val="28"/>
          <w:szCs w:val="28"/>
        </w:rPr>
      </w:pPr>
      <w:r>
        <w:rPr>
          <w:rFonts w:hint="eastAsia" w:cs="仿宋" w:asciiTheme="minorEastAsia" w:hAnsiTheme="minorEastAsia" w:eastAsiaTheme="minorEastAsia"/>
          <w:sz w:val="28"/>
          <w:szCs w:val="28"/>
        </w:rPr>
        <w:t>乙方许可甲方合法使用的数据内容经由双方协商一致，具体信息如下：</w:t>
      </w:r>
    </w:p>
    <w:p w14:paraId="0D44E1EC">
      <w:pPr>
        <w:tabs>
          <w:tab w:val="left" w:pos="7920"/>
        </w:tabs>
        <w:spacing w:line="312" w:lineRule="auto"/>
        <w:ind w:firstLine="480" w:firstLineChars="200"/>
        <w:jc w:val="left"/>
        <w:rPr>
          <w:rFonts w:cs="仿宋" w:asciiTheme="minorEastAsia" w:hAnsiTheme="minorEastAsia" w:eastAsiaTheme="minorEastAsia"/>
          <w:sz w:val="24"/>
          <w:szCs w:val="24"/>
        </w:rPr>
      </w:pP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1"/>
        <w:gridCol w:w="8605"/>
      </w:tblGrid>
      <w:tr w14:paraId="13BE4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747" w:type="pct"/>
            <w:shd w:val="clear" w:color="auto" w:fill="auto"/>
            <w:vAlign w:val="center"/>
          </w:tcPr>
          <w:p w14:paraId="04B42C08">
            <w:pPr>
              <w:widowControl/>
              <w:jc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数据内容</w:t>
            </w:r>
          </w:p>
        </w:tc>
        <w:tc>
          <w:tcPr>
            <w:tcW w:w="4253" w:type="pct"/>
            <w:shd w:val="clear" w:color="auto" w:fill="auto"/>
            <w:vAlign w:val="center"/>
          </w:tcPr>
          <w:p w14:paraId="1152140B">
            <w:pPr>
              <w:widowControl/>
              <w:jc w:val="center"/>
              <w:rPr>
                <w:rFonts w:cs="仿宋" w:asciiTheme="minorEastAsia" w:hAnsiTheme="minorEastAsia" w:eastAsiaTheme="minorEastAsia"/>
                <w:color w:val="000000"/>
                <w:kern w:val="0"/>
                <w:sz w:val="24"/>
                <w:szCs w:val="24"/>
              </w:rPr>
            </w:pPr>
          </w:p>
        </w:tc>
      </w:tr>
      <w:tr w14:paraId="3B527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747" w:type="pct"/>
            <w:shd w:val="clear" w:color="auto" w:fill="auto"/>
            <w:vAlign w:val="center"/>
          </w:tcPr>
          <w:p w14:paraId="2F7555B2">
            <w:pPr>
              <w:widowControl/>
              <w:jc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说明</w:t>
            </w:r>
          </w:p>
        </w:tc>
        <w:tc>
          <w:tcPr>
            <w:tcW w:w="4253" w:type="pct"/>
            <w:shd w:val="clear" w:color="auto" w:fill="auto"/>
            <w:vAlign w:val="center"/>
          </w:tcPr>
          <w:p w14:paraId="219D541A">
            <w:pPr>
              <w:widowControl/>
              <w:jc w:val="center"/>
              <w:rPr>
                <w:rFonts w:cs="仿宋" w:asciiTheme="minorEastAsia" w:hAnsiTheme="minorEastAsia" w:eastAsiaTheme="minorEastAsia"/>
                <w:color w:val="000000"/>
                <w:kern w:val="0"/>
                <w:sz w:val="24"/>
                <w:szCs w:val="24"/>
              </w:rPr>
            </w:pPr>
          </w:p>
        </w:tc>
      </w:tr>
      <w:tr w14:paraId="1411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47" w:type="pct"/>
            <w:shd w:val="clear" w:color="auto" w:fill="auto"/>
            <w:vAlign w:val="center"/>
          </w:tcPr>
          <w:p w14:paraId="5862352F">
            <w:pPr>
              <w:widowControl/>
              <w:jc w:val="center"/>
              <w:rPr>
                <w:rFonts w:cs="仿宋" w:asciiTheme="minorEastAsia" w:hAnsiTheme="minorEastAsia" w:eastAsiaTheme="minorEastAsia"/>
                <w:color w:val="000000"/>
                <w:kern w:val="0"/>
                <w:sz w:val="24"/>
                <w:szCs w:val="24"/>
              </w:rPr>
            </w:pPr>
            <w:r>
              <w:rPr>
                <w:rFonts w:hint="eastAsia" w:cs="仿宋" w:asciiTheme="minorEastAsia" w:hAnsiTheme="minorEastAsia" w:eastAsiaTheme="minorEastAsia"/>
                <w:color w:val="000000"/>
                <w:kern w:val="0"/>
                <w:sz w:val="24"/>
                <w:szCs w:val="24"/>
              </w:rPr>
              <w:t>价格</w:t>
            </w:r>
          </w:p>
        </w:tc>
        <w:tc>
          <w:tcPr>
            <w:tcW w:w="4253" w:type="pct"/>
            <w:shd w:val="clear" w:color="auto" w:fill="auto"/>
            <w:vAlign w:val="center"/>
          </w:tcPr>
          <w:p w14:paraId="62021075">
            <w:pPr>
              <w:widowControl/>
              <w:jc w:val="center"/>
              <w:rPr>
                <w:rFonts w:cs="仿宋" w:asciiTheme="minorEastAsia" w:hAnsiTheme="minorEastAsia" w:eastAsiaTheme="minorEastAsia"/>
                <w:color w:val="000000"/>
                <w:kern w:val="0"/>
                <w:sz w:val="24"/>
                <w:szCs w:val="24"/>
              </w:rPr>
            </w:pPr>
          </w:p>
        </w:tc>
      </w:tr>
    </w:tbl>
    <w:p w14:paraId="2133170F">
      <w:pPr>
        <w:tabs>
          <w:tab w:val="left" w:pos="7920"/>
        </w:tabs>
        <w:rPr>
          <w:rFonts w:cs="仿宋" w:asciiTheme="minorEastAsia" w:hAnsiTheme="minorEastAsia" w:eastAsiaTheme="minorEastAsia"/>
          <w:b/>
          <w:sz w:val="24"/>
          <w:szCs w:val="24"/>
        </w:rPr>
      </w:pPr>
    </w:p>
    <w:p w14:paraId="3917024F">
      <w:pPr>
        <w:tabs>
          <w:tab w:val="left" w:pos="7920"/>
        </w:tabs>
        <w:spacing w:line="312" w:lineRule="auto"/>
        <w:jc w:val="left"/>
        <w:rPr>
          <w:rFonts w:ascii="宋体" w:hAnsi="宋体" w:cs="宋体"/>
          <w:b/>
          <w:sz w:val="28"/>
          <w:szCs w:val="28"/>
        </w:rPr>
      </w:pPr>
      <w:r>
        <w:rPr>
          <w:rFonts w:hint="eastAsia" w:ascii="宋体" w:hAnsi="宋体" w:cs="宋体"/>
          <w:b/>
          <w:sz w:val="28"/>
          <w:szCs w:val="28"/>
        </w:rPr>
        <w:t>二、数据的交付</w:t>
      </w:r>
    </w:p>
    <w:p w14:paraId="0DE1576A">
      <w:pPr>
        <w:tabs>
          <w:tab w:val="left" w:pos="7920"/>
        </w:tabs>
        <w:spacing w:line="312" w:lineRule="auto"/>
        <w:ind w:firstLine="560" w:firstLineChars="200"/>
        <w:jc w:val="left"/>
        <w:rPr>
          <w:rFonts w:ascii="宋体" w:hAnsi="宋体" w:cs="宋体"/>
          <w:color w:val="000000" w:themeColor="text1"/>
          <w:sz w:val="28"/>
          <w:szCs w:val="28"/>
        </w:rPr>
      </w:pPr>
      <w:r>
        <w:rPr>
          <w:rFonts w:hint="eastAsia" w:ascii="宋体" w:hAnsi="宋体" w:cs="宋体"/>
          <w:sz w:val="28"/>
          <w:szCs w:val="28"/>
        </w:rPr>
        <w:t>1.交付的期限：自</w:t>
      </w:r>
      <w:r>
        <w:rPr>
          <w:rFonts w:hint="eastAsia" w:ascii="宋体" w:hAnsi="宋体" w:cs="宋体"/>
          <w:sz w:val="28"/>
          <w:szCs w:val="28"/>
          <w:lang w:val="en-US" w:eastAsia="zh-CN"/>
        </w:rPr>
        <w:t>合同签订后且</w:t>
      </w:r>
      <w:r>
        <w:rPr>
          <w:rFonts w:hint="eastAsia" w:ascii="宋体" w:hAnsi="宋体" w:cs="宋体"/>
          <w:sz w:val="28"/>
          <w:szCs w:val="28"/>
        </w:rPr>
        <w:t>乙方收到甲方依据本协议第四条约定应支付的服务费用</w:t>
      </w:r>
      <w:r>
        <w:rPr>
          <w:rFonts w:hint="eastAsia" w:ascii="宋体" w:hAnsi="宋体" w:cs="宋体"/>
          <w:sz w:val="28"/>
          <w:szCs w:val="28"/>
          <w:lang w:eastAsia="zh-CN"/>
        </w:rPr>
        <w:t>（</w:t>
      </w:r>
      <w:r>
        <w:rPr>
          <w:rFonts w:hint="eastAsia" w:ascii="宋体" w:hAnsi="宋体" w:cs="宋体"/>
          <w:sz w:val="28"/>
          <w:szCs w:val="28"/>
          <w:lang w:val="en-US" w:eastAsia="zh-CN"/>
        </w:rPr>
        <w:t>如有预付款</w:t>
      </w:r>
      <w:r>
        <w:rPr>
          <w:rFonts w:hint="eastAsia" w:ascii="宋体" w:hAnsi="宋体" w:cs="宋体"/>
          <w:sz w:val="28"/>
          <w:szCs w:val="28"/>
          <w:lang w:eastAsia="zh-CN"/>
        </w:rPr>
        <w:t>）</w:t>
      </w:r>
      <w:r>
        <w:rPr>
          <w:rFonts w:hint="eastAsia" w:ascii="宋体" w:hAnsi="宋体" w:cs="宋体"/>
          <w:sz w:val="28"/>
          <w:szCs w:val="28"/>
        </w:rPr>
        <w:t>之次</w:t>
      </w:r>
      <w:r>
        <w:rPr>
          <w:rFonts w:hint="eastAsia" w:ascii="宋体" w:hAnsi="宋体" w:cs="宋体"/>
          <w:color w:val="000000" w:themeColor="text1"/>
          <w:sz w:val="28"/>
          <w:szCs w:val="28"/>
        </w:rPr>
        <w:t>日</w:t>
      </w:r>
      <w:bookmarkStart w:id="1" w:name="_GoBack"/>
      <w:bookmarkEnd w:id="1"/>
      <w:r>
        <w:rPr>
          <w:rFonts w:hint="eastAsia" w:ascii="宋体" w:hAnsi="宋体" w:cs="宋体"/>
          <w:color w:val="000000" w:themeColor="text1"/>
          <w:sz w:val="28"/>
          <w:szCs w:val="28"/>
        </w:rPr>
        <w:t>起【】个工作日之内，乙方向甲方提供本协议第一条所约定的数据内容，交付日期以乙方实际提供日期为准。</w:t>
      </w:r>
    </w:p>
    <w:p w14:paraId="33EED4C4">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2.交付方式：乙方将甲方所需数据以【】（a、纸质版b、电子版c、其他__________）方式提供给甲方。</w:t>
      </w:r>
    </w:p>
    <w:p w14:paraId="3FBEC428">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3.数据许可使用期限：自乙方交付甲方正常使用之日起【】个月。</w:t>
      </w:r>
    </w:p>
    <w:p w14:paraId="3C267A40">
      <w:pPr>
        <w:tabs>
          <w:tab w:val="left" w:pos="7920"/>
        </w:tabs>
        <w:spacing w:line="312" w:lineRule="auto"/>
        <w:jc w:val="left"/>
        <w:rPr>
          <w:rFonts w:ascii="宋体" w:hAnsi="宋体" w:cs="宋体"/>
          <w:b/>
          <w:sz w:val="28"/>
          <w:szCs w:val="28"/>
        </w:rPr>
      </w:pPr>
      <w:r>
        <w:rPr>
          <w:rFonts w:hint="eastAsia" w:ascii="宋体" w:hAnsi="宋体" w:cs="宋体"/>
          <w:b/>
          <w:sz w:val="28"/>
          <w:szCs w:val="28"/>
        </w:rPr>
        <w:t>三、数据验收</w:t>
      </w:r>
    </w:p>
    <w:p w14:paraId="23C290CA">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1.验收标准：以本协议第一条约定的数据内容作为验收标准。</w:t>
      </w:r>
    </w:p>
    <w:p w14:paraId="2B907098">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2.验收时间：甲方自收到乙方提供的数据之日起</w:t>
      </w:r>
      <w:r>
        <w:rPr>
          <w:rFonts w:hint="eastAsia" w:ascii="宋体" w:hAnsi="宋体" w:cs="宋体"/>
          <w:sz w:val="28"/>
          <w:szCs w:val="28"/>
          <w:u w:val="single"/>
        </w:rPr>
        <w:t>5</w:t>
      </w:r>
      <w:r>
        <w:rPr>
          <w:rFonts w:hint="eastAsia" w:ascii="宋体" w:hAnsi="宋体" w:cs="宋体"/>
          <w:sz w:val="28"/>
          <w:szCs w:val="28"/>
        </w:rPr>
        <w:t>个工作日内验收完毕。</w:t>
      </w:r>
    </w:p>
    <w:p w14:paraId="261D49B5">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3.验收方式：</w:t>
      </w:r>
    </w:p>
    <w:p w14:paraId="1BD78468">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（1）交付验收：</w:t>
      </w:r>
    </w:p>
    <w:p w14:paraId="2F21C577">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甲乙双方共同验收。经验收，若乙方提供的数据符合验收标准的，视为交付验收合格。若经验收，乙方提供的数据不符合验收标准，乙方应在甲方规定时间内按甲方意见整改直至通过验收；二次验收仍无法通过的，甲乙双方重新协商确定乙方应重新提供数据或者退还相应的服务费用。</w:t>
      </w:r>
    </w:p>
    <w:p w14:paraId="57BDBAEF">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（2）履约验收</w:t>
      </w:r>
    </w:p>
    <w:p w14:paraId="1FB61992">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乙方按合同约定提供所有服务，并由甲方在合同有效期内正常完成使用的，视为履约验收合格，双方签署验收报告。</w:t>
      </w:r>
    </w:p>
    <w:p w14:paraId="6E66E5CE">
      <w:pPr>
        <w:tabs>
          <w:tab w:val="left" w:pos="7920"/>
        </w:tabs>
        <w:spacing w:line="312" w:lineRule="auto"/>
        <w:jc w:val="left"/>
        <w:rPr>
          <w:rFonts w:ascii="宋体" w:hAnsi="宋体" w:cs="宋体"/>
          <w:b/>
          <w:sz w:val="28"/>
          <w:szCs w:val="28"/>
        </w:rPr>
      </w:pPr>
      <w:r>
        <w:rPr>
          <w:rFonts w:hint="eastAsia" w:ascii="宋体" w:hAnsi="宋体" w:cs="宋体"/>
          <w:b/>
          <w:sz w:val="28"/>
          <w:szCs w:val="28"/>
        </w:rPr>
        <w:t>四、服务费用</w:t>
      </w:r>
    </w:p>
    <w:p w14:paraId="4BAAFAE7">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1.服务费用：本协议服务金额总费用（含税）为人民币 【】万元整 （小写：【】元）。该费用为本协议项下甲方应支付的全部费用，除此之外甲方不再支付任何其他费用，并不再进行调整。</w:t>
      </w:r>
    </w:p>
    <w:p w14:paraId="17F43F27">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2.支付方式：甲方按照以下</w:t>
      </w:r>
      <w:r>
        <w:rPr>
          <w:rFonts w:hint="eastAsia" w:ascii="宋体" w:hAnsi="宋体" w:cs="宋体"/>
          <w:sz w:val="28"/>
          <w:szCs w:val="28"/>
          <w:u w:val="single"/>
        </w:rPr>
        <w:t xml:space="preserve">   </w:t>
      </w:r>
      <w:r>
        <w:rPr>
          <w:rFonts w:hint="eastAsia" w:ascii="宋体" w:hAnsi="宋体" w:cs="宋体"/>
          <w:sz w:val="28"/>
          <w:szCs w:val="28"/>
        </w:rPr>
        <w:t xml:space="preserve">条约定的方式支付，具体支付方式如下： </w:t>
      </w:r>
    </w:p>
    <w:p w14:paraId="772646CB">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（1）一次性支付</w:t>
      </w:r>
    </w:p>
    <w:p w14:paraId="55B031EE">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甲方对乙方提交的成果验收合格后（或【】年【】月【】日前</w:t>
      </w:r>
      <w:bookmarkStart w:id="0" w:name="_Hlk38016384"/>
      <w:r>
        <w:rPr>
          <w:rFonts w:hint="eastAsia" w:ascii="宋体" w:hAnsi="宋体" w:cs="宋体"/>
          <w:sz w:val="28"/>
          <w:szCs w:val="28"/>
        </w:rPr>
        <w:t>，或本协议签订后【】日内</w:t>
      </w:r>
      <w:bookmarkEnd w:id="0"/>
      <w:r>
        <w:rPr>
          <w:rFonts w:hint="eastAsia" w:ascii="宋体" w:hAnsi="宋体" w:cs="宋体"/>
          <w:sz w:val="28"/>
          <w:szCs w:val="28"/>
        </w:rPr>
        <w:t>），甲方一次性向乙方支付总费用；</w:t>
      </w:r>
    </w:p>
    <w:p w14:paraId="383BDF7F">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（2）分期支付</w:t>
      </w:r>
    </w:p>
    <w:p w14:paraId="1D0406DE">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 1 \* GB3 </w:instrText>
      </w:r>
      <w:r>
        <w:rPr>
          <w:rFonts w:hint="eastAsia" w:ascii="宋体" w:hAnsi="宋体" w:cs="宋体"/>
          <w:sz w:val="28"/>
          <w:szCs w:val="28"/>
        </w:rPr>
        <w:fldChar w:fldCharType="separate"/>
      </w:r>
      <w:r>
        <w:rPr>
          <w:rFonts w:hint="eastAsia" w:ascii="宋体" w:hAnsi="宋体" w:cs="宋体"/>
          <w:sz w:val="28"/>
          <w:szCs w:val="28"/>
        </w:rPr>
        <w:t>①</w:t>
      </w:r>
      <w:r>
        <w:rPr>
          <w:rFonts w:hint="eastAsia" w:ascii="宋体" w:hAnsi="宋体" w:cs="宋体"/>
          <w:sz w:val="28"/>
          <w:szCs w:val="28"/>
        </w:rPr>
        <w:fldChar w:fldCharType="end"/>
      </w:r>
      <w:r>
        <w:rPr>
          <w:rFonts w:hint="eastAsia" w:ascii="宋体" w:hAnsi="宋体" w:cs="宋体"/>
          <w:sz w:val="28"/>
          <w:szCs w:val="28"/>
        </w:rPr>
        <w:t>本协议签订后【】日内，甲方向乙方支付【】%的费用作为预付款，即人民币【】万元整 （小写：【】元）；</w:t>
      </w:r>
    </w:p>
    <w:p w14:paraId="65859285">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 2 \* GB3 </w:instrText>
      </w:r>
      <w:r>
        <w:rPr>
          <w:rFonts w:hint="eastAsia" w:ascii="宋体" w:hAnsi="宋体" w:cs="宋体"/>
          <w:sz w:val="28"/>
          <w:szCs w:val="28"/>
        </w:rPr>
        <w:fldChar w:fldCharType="separate"/>
      </w:r>
      <w:r>
        <w:rPr>
          <w:rFonts w:hint="eastAsia" w:ascii="宋体" w:hAnsi="宋体" w:cs="宋体"/>
          <w:sz w:val="28"/>
          <w:szCs w:val="28"/>
        </w:rPr>
        <w:t>②</w:t>
      </w:r>
      <w:r>
        <w:rPr>
          <w:rFonts w:hint="eastAsia" w:ascii="宋体" w:hAnsi="宋体" w:cs="宋体"/>
          <w:sz w:val="28"/>
          <w:szCs w:val="28"/>
        </w:rPr>
        <w:fldChar w:fldCharType="end"/>
      </w:r>
      <w:r>
        <w:rPr>
          <w:rFonts w:hint="eastAsia" w:ascii="宋体" w:hAnsi="宋体" w:cs="宋体"/>
          <w:sz w:val="28"/>
          <w:szCs w:val="28"/>
        </w:rPr>
        <w:t>甲方对乙方提交的成果验收合格后，甲方向乙方支付【】%的费用，即人民币【】万元整 （小写：【】元）。</w:t>
      </w:r>
    </w:p>
    <w:p w14:paraId="49FEC913">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3、乙方应于甲方付款前，应提前X日向甲方开具符合甲方要求的合法等额发票，否则甲方有权延迟付款。</w:t>
      </w:r>
    </w:p>
    <w:p w14:paraId="2E3050EE">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乙方账户信息：</w:t>
      </w:r>
    </w:p>
    <w:p w14:paraId="4AF71C0B">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户    名： </w:t>
      </w:r>
    </w:p>
    <w:p w14:paraId="4AEB50A2">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银行账号： </w:t>
      </w:r>
    </w:p>
    <w:p w14:paraId="46D301F8">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开户银行： </w:t>
      </w:r>
    </w:p>
    <w:p w14:paraId="4B77A3B6">
      <w:pPr>
        <w:tabs>
          <w:tab w:val="left" w:pos="7920"/>
        </w:tabs>
        <w:spacing w:line="312" w:lineRule="auto"/>
        <w:jc w:val="left"/>
        <w:rPr>
          <w:rFonts w:ascii="宋体" w:hAnsi="宋体" w:cs="宋体"/>
          <w:b/>
          <w:sz w:val="28"/>
          <w:szCs w:val="28"/>
        </w:rPr>
      </w:pPr>
      <w:r>
        <w:rPr>
          <w:rFonts w:hint="eastAsia" w:ascii="宋体" w:hAnsi="宋体" w:cs="宋体"/>
          <w:b/>
          <w:sz w:val="28"/>
          <w:szCs w:val="28"/>
        </w:rPr>
        <w:t>五、保密条款</w:t>
      </w:r>
    </w:p>
    <w:p w14:paraId="4B31CC47">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甲乙双方一致同意本协议以及甲乙双方因本协议的订立和履行而交换或获悉的有关对方任何资料或信息均属机密资料，甲乙双方将确保所有该等资料绝对保密，除非得到对方的事先书面同意或依本协议约定，不会向任何第三方披露。但下列情况除外：</w:t>
      </w:r>
    </w:p>
    <w:p w14:paraId="5CADE64C">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（1）公众人士当时已经知悉该等资料，且并非由于本协议一方擅自披露所致；</w:t>
      </w:r>
    </w:p>
    <w:p w14:paraId="188E0FBE">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（2）应任何有关法律法规、有权政府机构、有权法院或证券交易所的要求而披露，但披露方应将其披露时间及内容尽快通知另一方；</w:t>
      </w:r>
    </w:p>
    <w:p w14:paraId="33B782E8">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 xml:space="preserve">（3）由任何一方就本协议所述合作事宜向其集团公司或向其法律或财务或任何其它专业顾问或其它人士所作的披露，而该等接受披露方也必须遵守与本条类似之保密责任。如接受披露方违反本条规定，由披露方赔偿协议另一方因此而受到的全部损失。 </w:t>
      </w:r>
    </w:p>
    <w:p w14:paraId="2C22D2AC">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2.本协议有效期内及期满后，本保密条款仍具有法律效力，直至保密信息成为公知信息之日止。</w:t>
      </w:r>
    </w:p>
    <w:p w14:paraId="0B73B682">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3.任何一方违反本条之规定，须赔偿对方因此而受到的全部损失。</w:t>
      </w:r>
    </w:p>
    <w:p w14:paraId="055C5253">
      <w:pPr>
        <w:tabs>
          <w:tab w:val="left" w:pos="7920"/>
        </w:tabs>
        <w:spacing w:line="312" w:lineRule="auto"/>
        <w:jc w:val="left"/>
        <w:rPr>
          <w:rFonts w:ascii="宋体" w:hAnsi="宋体" w:cs="宋体"/>
          <w:b/>
          <w:color w:val="000000"/>
          <w:sz w:val="28"/>
          <w:szCs w:val="28"/>
        </w:rPr>
      </w:pPr>
      <w:r>
        <w:rPr>
          <w:rFonts w:hint="eastAsia" w:ascii="宋体" w:hAnsi="宋体" w:cs="宋体"/>
          <w:b/>
          <w:sz w:val="28"/>
          <w:szCs w:val="28"/>
        </w:rPr>
        <w:t>六、保证</w:t>
      </w:r>
    </w:p>
    <w:p w14:paraId="3481CF29">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1.甲方应按照本协议约定使用相关数据，不得直接或变相的转售乙方提供的服务。</w:t>
      </w:r>
    </w:p>
    <w:p w14:paraId="361762B3">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甲方基于乙方提供的数据，通过其智力劳动形成的新成果、知识产权及其他合法权益均归甲方所有。本协议中所述知识产权指产生于或关于下述各项的在世界范围内的所有权利，无论其是基于中国法律还是其他外国法域法律而被保护、创造或产生的：(i)发明，无论是否可以授予专利权、是否实际使用或是否申请专利；(ii)专利、专利申请、发明登记或其任何改进；(iii)商标、服务标记、商业外观、图标、商号、企业名称或商誉，无论是否登记；(iv)著作权（无论是否登记）、著作权登记或著作权登记申请；(v)软件，无论是否登记；(vi)商业秘密、商业信息（无论是否保密）、专有技术或非专利技术；(vii)工业设计，无论是否登记；(viii)数据库和数据；(ix)域名；(x)上述任何一项的任何形式的载体；(xi)任何取得或申请专利权或注册商标权、著作权和域名等。前款所称的知识权利、专有信息还包括协议履行过程中甲方向乙方发送的数据服务请求、乙方提交的数据服务信息以及双方之间所有的往来邮件、函件等。</w:t>
      </w:r>
    </w:p>
    <w:p w14:paraId="30B38062">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3.乙方应保证提供数据的真实性、合法性，甲方需求数据如涉及最终用户授权，乙方确保数据取得最终用户的有效授权。</w:t>
      </w:r>
    </w:p>
    <w:p w14:paraId="68BB493F">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4.</w:t>
      </w:r>
      <w:r>
        <w:rPr>
          <w:rFonts w:hint="eastAsia" w:ascii="宋体" w:hAnsi="宋体" w:cs="宋体"/>
          <w:bCs/>
          <w:sz w:val="28"/>
          <w:szCs w:val="28"/>
        </w:rPr>
        <w:t>乙方应保证所提供的数据及数据来源的合法性，不会侵害任何第三方的</w:t>
      </w:r>
      <w:r>
        <w:rPr>
          <w:rFonts w:hint="eastAsia" w:ascii="宋体" w:hAnsi="宋体" w:cs="宋体"/>
          <w:sz w:val="28"/>
          <w:szCs w:val="28"/>
        </w:rPr>
        <w:t>合法权利、商业秘密及知识产权等，</w:t>
      </w:r>
      <w:r>
        <w:rPr>
          <w:rFonts w:hint="eastAsia" w:ascii="宋体" w:hAnsi="宋体" w:cs="宋体"/>
          <w:bCs/>
          <w:sz w:val="28"/>
          <w:szCs w:val="28"/>
        </w:rPr>
        <w:t>否则，乙方应负责并解决与第三方的任何争议。不论何时，任何第三方如果提出任何权利主张，乙方须与第三方交涉并承担由此发生的所有费用和一切法律后果。如第三方向甲方主张权益且甲方向第三方先行承担赔偿责任的，则乙方应向甲方承担全部赔偿责任，还应当赔偿由此给甲方造成的全部损失。</w:t>
      </w:r>
    </w:p>
    <w:p w14:paraId="7D272A08">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5.除本协议规定外，未经对方书面同意，任何一方不得显示、使用或允许任何第三方显示或使用另一方的任何名称、商号、服务商标、品牌和商标。双方明确理解：一方的商号、服务商标、品牌和商标均为该方的专有财产，本协议中的任何规定均不构成向另一方授予对上述的商号、服务商标、品牌和商标普遍使用的许可。</w:t>
      </w:r>
    </w:p>
    <w:p w14:paraId="7AD9453E">
      <w:pPr>
        <w:tabs>
          <w:tab w:val="left" w:pos="5985"/>
          <w:tab w:val="left" w:pos="7920"/>
        </w:tabs>
        <w:spacing w:line="312" w:lineRule="auto"/>
        <w:jc w:val="left"/>
        <w:rPr>
          <w:rFonts w:ascii="宋体" w:hAnsi="宋体" w:cs="宋体"/>
          <w:b/>
          <w:bCs/>
          <w:sz w:val="28"/>
          <w:szCs w:val="28"/>
        </w:rPr>
      </w:pPr>
      <w:r>
        <w:rPr>
          <w:rFonts w:hint="eastAsia" w:ascii="宋体" w:hAnsi="宋体" w:cs="宋体"/>
          <w:b/>
          <w:bCs/>
          <w:sz w:val="28"/>
          <w:szCs w:val="28"/>
        </w:rPr>
        <w:t>七、不可抗力</w:t>
      </w:r>
    </w:p>
    <w:p w14:paraId="7CBCA176">
      <w:pPr>
        <w:numPr>
          <w:ilvl w:val="255"/>
          <w:numId w:val="0"/>
        </w:num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1.本协议所称“不可抗力”是指水灾、火灾、台风、地震、干旱、战争或其他在签约时不能预料，无法控制且不能避免和克服的事件。</w:t>
      </w:r>
    </w:p>
    <w:p w14:paraId="4E2EE981">
      <w:pPr>
        <w:tabs>
          <w:tab w:val="left" w:pos="5985"/>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2.任何一方因不可抗力导致协议无法执行的，应立即通知另一方并在不可抗力事件发生之日起 15日内，将用于合理证明因不可抗力而造成协议无法履行或延迟的相关事实及证据资料提交给另一方，同时应尽最大努力减少不可抗力对另一方造成的影响和损失。如乙方因遭受不可抗力持续达到_15 日无法履行本协议，甲方有权就已完工和已投入部分结算并终止协议。</w:t>
      </w:r>
    </w:p>
    <w:p w14:paraId="6BEBECD7">
      <w:pPr>
        <w:tabs>
          <w:tab w:val="left" w:pos="7920"/>
        </w:tabs>
        <w:spacing w:line="312" w:lineRule="auto"/>
        <w:jc w:val="left"/>
        <w:rPr>
          <w:rFonts w:ascii="宋体" w:hAnsi="宋体" w:cs="宋体"/>
          <w:b/>
          <w:sz w:val="28"/>
          <w:szCs w:val="28"/>
        </w:rPr>
      </w:pPr>
      <w:r>
        <w:rPr>
          <w:rFonts w:hint="eastAsia" w:ascii="宋体" w:hAnsi="宋体" w:cs="宋体"/>
          <w:b/>
          <w:color w:val="000000"/>
          <w:sz w:val="28"/>
          <w:szCs w:val="28"/>
        </w:rPr>
        <w:t>八</w:t>
      </w:r>
      <w:r>
        <w:rPr>
          <w:rFonts w:hint="eastAsia" w:ascii="宋体" w:hAnsi="宋体" w:cs="宋体"/>
          <w:b/>
          <w:sz w:val="28"/>
          <w:szCs w:val="28"/>
        </w:rPr>
        <w:t>、违约责任</w:t>
      </w:r>
    </w:p>
    <w:p w14:paraId="594E58AB">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1.乙方未能按照本协议约定的时间提供所约定的数据内容，每逾期一日，乙方应向甲方按照协议款项的万分之三支付违约金；逾期超过十日的，甲方有权解除本协议。</w:t>
      </w:r>
    </w:p>
    <w:p w14:paraId="52812983">
      <w:pPr>
        <w:tabs>
          <w:tab w:val="left" w:pos="360"/>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2.甲方未能按照本协议约定内容支付服务费用，并经乙方书面催告无正当理由仍拒绝支付的，每逾期一日，甲方应向乙方按照未付款项的万分之三支付违约金。</w:t>
      </w:r>
    </w:p>
    <w:p w14:paraId="75016057">
      <w:pPr>
        <w:tabs>
          <w:tab w:val="left" w:pos="360"/>
          <w:tab w:val="left" w:pos="7920"/>
        </w:tabs>
        <w:spacing w:line="312" w:lineRule="auto"/>
        <w:ind w:firstLine="560" w:firstLineChars="200"/>
        <w:jc w:val="left"/>
        <w:rPr>
          <w:rFonts w:ascii="宋体" w:hAnsi="宋体" w:cs="宋体"/>
          <w:bCs/>
          <w:sz w:val="28"/>
          <w:szCs w:val="28"/>
        </w:rPr>
      </w:pPr>
      <w:r>
        <w:rPr>
          <w:rFonts w:hint="eastAsia" w:ascii="宋体" w:hAnsi="宋体" w:cs="宋体"/>
          <w:sz w:val="28"/>
          <w:szCs w:val="28"/>
        </w:rPr>
        <w:t>3.</w:t>
      </w:r>
      <w:r>
        <w:rPr>
          <w:rFonts w:hint="eastAsia" w:ascii="宋体" w:hAnsi="宋体" w:cs="宋体"/>
          <w:bCs/>
          <w:sz w:val="28"/>
          <w:szCs w:val="28"/>
        </w:rPr>
        <w:t>任何一方违反本协议的约定，守约方有权追究违约方的违约责任，要求违约方承担10%的违约金，并赔偿因此对给守约方造成的损失。</w:t>
      </w:r>
    </w:p>
    <w:p w14:paraId="5AB8FA91">
      <w:pPr>
        <w:tabs>
          <w:tab w:val="left" w:pos="360"/>
          <w:tab w:val="left" w:pos="7920"/>
        </w:tabs>
        <w:spacing w:line="312" w:lineRule="auto"/>
        <w:ind w:firstLine="560" w:firstLineChars="200"/>
        <w:jc w:val="left"/>
        <w:rPr>
          <w:rFonts w:ascii="宋体" w:hAnsi="宋体" w:cs="宋体"/>
          <w:bCs/>
          <w:sz w:val="28"/>
          <w:szCs w:val="28"/>
        </w:rPr>
      </w:pPr>
      <w:r>
        <w:rPr>
          <w:rFonts w:hint="eastAsia" w:ascii="宋体" w:hAnsi="宋体" w:cs="宋体"/>
          <w:bCs/>
          <w:sz w:val="28"/>
          <w:szCs w:val="28"/>
        </w:rPr>
        <w:t>4.任何一方违反本协议项下约定均构成违约，守约方有权采取费用退还、限期改正、暂停合作、终止协议等任一或多项措施。因违约而给守约方造成损失的，违约方应承担赔偿责任，同时违约方须承担守约方因实现债权所支付的各项费用，包括但不限于诉讼费、保全费、律师费、差旅费等。</w:t>
      </w:r>
    </w:p>
    <w:p w14:paraId="4E5FE4C7">
      <w:pPr>
        <w:tabs>
          <w:tab w:val="left" w:pos="360"/>
          <w:tab w:val="left" w:pos="7920"/>
        </w:tabs>
        <w:spacing w:line="312" w:lineRule="auto"/>
        <w:ind w:firstLine="560" w:firstLineChars="200"/>
        <w:jc w:val="left"/>
        <w:rPr>
          <w:rFonts w:ascii="宋体" w:hAnsi="宋体" w:cs="宋体"/>
          <w:b/>
          <w:sz w:val="28"/>
          <w:szCs w:val="28"/>
        </w:rPr>
      </w:pPr>
      <w:r>
        <w:rPr>
          <w:rFonts w:hint="eastAsia" w:ascii="宋体" w:hAnsi="宋体" w:cs="宋体"/>
          <w:bCs/>
          <w:sz w:val="28"/>
          <w:szCs w:val="28"/>
        </w:rPr>
        <w:t>5.本合同的签署并不构成甲方对乙方给予任何的商标、名称或者标识等的授权或者许可。乙方承诺，未经甲方事先书面同意，不得以任何方式使用甲方的名称、商标、标识等，不得对清华大学的相关内容（包括但不限于商标、校名、校徽、学校代表性建筑物、景观标识等内容）进行混淆、虚假或者引人误解的商业宣传，不得编造、传播虚假信息或者误导性信息，损害甲方声誉。否则，乙方应承担本合同总金额30％的违约责任，并赔偿甲方因此导致的全部损失。</w:t>
      </w:r>
    </w:p>
    <w:p w14:paraId="10735B5B">
      <w:pPr>
        <w:tabs>
          <w:tab w:val="left" w:pos="7920"/>
        </w:tabs>
        <w:spacing w:line="312" w:lineRule="auto"/>
        <w:jc w:val="left"/>
        <w:rPr>
          <w:rFonts w:ascii="宋体" w:hAnsi="宋体" w:cs="宋体"/>
          <w:b/>
          <w:sz w:val="28"/>
          <w:szCs w:val="28"/>
        </w:rPr>
      </w:pPr>
      <w:r>
        <w:rPr>
          <w:rFonts w:hint="eastAsia" w:ascii="宋体" w:hAnsi="宋体" w:cs="宋体"/>
          <w:b/>
          <w:sz w:val="28"/>
          <w:szCs w:val="28"/>
        </w:rPr>
        <w:t>九、法律适用及争议的解决方式</w:t>
      </w:r>
    </w:p>
    <w:p w14:paraId="2986C504">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1.本协议的所有方面均应适用中华人民共和国法律（仅为本合同之目的不包括香港、澳门、台湾）进行解释并受其约束。</w:t>
      </w:r>
    </w:p>
    <w:p w14:paraId="3DD3D523">
      <w:pPr>
        <w:ind w:firstLine="560" w:firstLineChars="200"/>
        <w:jc w:val="left"/>
        <w:rPr>
          <w:rFonts w:ascii="宋体" w:hAnsi="宋体" w:cs="宋体"/>
          <w:sz w:val="28"/>
          <w:szCs w:val="28"/>
        </w:rPr>
      </w:pPr>
      <w:r>
        <w:rPr>
          <w:rFonts w:hint="eastAsia" w:ascii="宋体" w:hAnsi="宋体" w:cs="宋体"/>
          <w:sz w:val="28"/>
          <w:szCs w:val="28"/>
        </w:rPr>
        <w:t>2.在履行本协议的过程中发生任何争议，双方当事人均应协商解决，若协商不成或协商仍不能达成一致意见，则任何一方均可</w:t>
      </w:r>
      <w:r>
        <w:rPr>
          <w:rFonts w:ascii="宋体" w:hAnsi="宋体" w:cs="宋体"/>
          <w:sz w:val="28"/>
          <w:szCs w:val="28"/>
        </w:rPr>
        <w:t>向深圳国际仲裁院申请仲裁，仲裁是终局的，对双方均具有法律约束力。</w:t>
      </w:r>
    </w:p>
    <w:p w14:paraId="763F19BF">
      <w:pPr>
        <w:ind w:firstLine="560" w:firstLineChars="200"/>
        <w:jc w:val="left"/>
        <w:rPr>
          <w:rFonts w:ascii="宋体" w:hAnsi="宋体" w:cs="宋体"/>
          <w:sz w:val="28"/>
          <w:szCs w:val="28"/>
        </w:rPr>
      </w:pPr>
      <w:r>
        <w:rPr>
          <w:rFonts w:hint="eastAsia" w:ascii="宋体" w:hAnsi="宋体" w:cs="宋体"/>
          <w:sz w:val="28"/>
          <w:szCs w:val="28"/>
        </w:rPr>
        <w:t>3.在仲裁期间，除正在进行仲裁部分外，合同其他部分继续执行。</w:t>
      </w:r>
    </w:p>
    <w:p w14:paraId="3EDBCCD8">
      <w:pPr>
        <w:tabs>
          <w:tab w:val="left" w:pos="7920"/>
        </w:tabs>
        <w:spacing w:line="312" w:lineRule="auto"/>
        <w:jc w:val="left"/>
        <w:rPr>
          <w:rFonts w:ascii="宋体" w:hAnsi="宋体" w:cs="宋体"/>
          <w:b/>
          <w:bCs/>
          <w:sz w:val="28"/>
          <w:szCs w:val="28"/>
        </w:rPr>
      </w:pPr>
      <w:r>
        <w:rPr>
          <w:rFonts w:hint="eastAsia" w:ascii="宋体" w:hAnsi="宋体" w:cs="宋体"/>
          <w:b/>
          <w:bCs/>
          <w:sz w:val="28"/>
          <w:szCs w:val="28"/>
        </w:rPr>
        <w:t>十、通知</w:t>
      </w:r>
    </w:p>
    <w:p w14:paraId="6E0081F0">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任何一方通过本协议联系方式之任何一种，就本协议有关事项向对方发送相关通知等，均视为有效送达与告知对方，无论对方是否实际查阅。上述邮寄送达地址同时作为有效司法送达地址。</w:t>
      </w:r>
    </w:p>
    <w:p w14:paraId="79A21ACF">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一方变更通知或通讯地址，应自变更之日起三日内，以书面形式通知对方；否则，由未通知方承担由此而引起的相关责任。</w:t>
      </w:r>
    </w:p>
    <w:p w14:paraId="69E5832B">
      <w:pPr>
        <w:tabs>
          <w:tab w:val="left" w:pos="7920"/>
        </w:tabs>
        <w:spacing w:line="312" w:lineRule="auto"/>
        <w:jc w:val="left"/>
        <w:rPr>
          <w:rFonts w:ascii="宋体" w:hAnsi="宋体" w:cs="宋体"/>
          <w:b/>
          <w:sz w:val="28"/>
          <w:szCs w:val="28"/>
        </w:rPr>
      </w:pPr>
      <w:r>
        <w:rPr>
          <w:rFonts w:hint="eastAsia" w:ascii="宋体" w:hAnsi="宋体" w:cs="宋体"/>
          <w:b/>
          <w:sz w:val="28"/>
          <w:szCs w:val="28"/>
        </w:rPr>
        <w:t>十一、技术支持</w:t>
      </w:r>
    </w:p>
    <w:p w14:paraId="4C97AF69">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1.乙方保证所提供的数据内容符合本协议约定的技术指标。</w:t>
      </w:r>
    </w:p>
    <w:p w14:paraId="7740630E">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2.乙方承诺在数据验收合格前对甲方提出的问题在24小时内给予响应。</w:t>
      </w:r>
    </w:p>
    <w:p w14:paraId="28CB1754">
      <w:pPr>
        <w:tabs>
          <w:tab w:val="left" w:pos="7920"/>
        </w:tabs>
        <w:spacing w:line="312" w:lineRule="auto"/>
        <w:jc w:val="left"/>
        <w:rPr>
          <w:rFonts w:ascii="宋体" w:hAnsi="宋体" w:cs="宋体"/>
          <w:b/>
          <w:sz w:val="28"/>
          <w:szCs w:val="28"/>
        </w:rPr>
      </w:pPr>
      <w:r>
        <w:rPr>
          <w:rFonts w:hint="eastAsia" w:ascii="宋体" w:hAnsi="宋体" w:cs="宋体"/>
          <w:b/>
          <w:sz w:val="28"/>
          <w:szCs w:val="28"/>
        </w:rPr>
        <w:t>十二、其他</w:t>
      </w:r>
    </w:p>
    <w:p w14:paraId="72FF5A15">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1.本协议自甲乙双方授权代表签字并加盖印章之日起生效。</w:t>
      </w:r>
    </w:p>
    <w:p w14:paraId="0A279C4D">
      <w:pPr>
        <w:tabs>
          <w:tab w:val="left" w:pos="7920"/>
        </w:tabs>
        <w:spacing w:line="312" w:lineRule="auto"/>
        <w:ind w:firstLine="560" w:firstLineChars="200"/>
        <w:jc w:val="left"/>
        <w:rPr>
          <w:rFonts w:ascii="宋体" w:hAnsi="宋体" w:cs="宋体"/>
          <w:sz w:val="28"/>
          <w:szCs w:val="28"/>
        </w:rPr>
      </w:pPr>
      <w:r>
        <w:rPr>
          <w:rFonts w:hint="eastAsia" w:ascii="宋体" w:hAnsi="宋体" w:cs="宋体"/>
          <w:sz w:val="28"/>
          <w:szCs w:val="28"/>
        </w:rPr>
        <w:t>2.本协</w:t>
      </w:r>
      <w:r>
        <w:rPr>
          <w:rFonts w:hint="eastAsia" w:ascii="宋体" w:hAnsi="宋体" w:cs="宋体"/>
          <w:sz w:val="28"/>
          <w:szCs w:val="28"/>
          <w:u w:val="single"/>
        </w:rPr>
        <w:t>议一式肆份，甲乙双方各持贰份</w:t>
      </w:r>
      <w:r>
        <w:rPr>
          <w:rFonts w:hint="eastAsia" w:ascii="宋体" w:hAnsi="宋体" w:cs="宋体"/>
          <w:sz w:val="28"/>
          <w:szCs w:val="28"/>
        </w:rPr>
        <w:t>，各份协议具有同等法律效力。</w:t>
      </w:r>
    </w:p>
    <w:p w14:paraId="69E34120">
      <w:pPr>
        <w:tabs>
          <w:tab w:val="left" w:pos="7920"/>
        </w:tabs>
        <w:spacing w:line="312" w:lineRule="auto"/>
        <w:ind w:firstLine="560" w:firstLineChars="200"/>
        <w:jc w:val="left"/>
        <w:rPr>
          <w:rFonts w:ascii="宋体" w:hAnsi="宋体" w:cs="宋体"/>
          <w:bCs/>
          <w:sz w:val="28"/>
          <w:szCs w:val="28"/>
        </w:rPr>
      </w:pPr>
      <w:r>
        <w:rPr>
          <w:rFonts w:hint="eastAsia" w:ascii="宋体" w:hAnsi="宋体" w:cs="宋体"/>
          <w:sz w:val="28"/>
          <w:szCs w:val="28"/>
        </w:rPr>
        <w:t>3.甲乙双方</w:t>
      </w:r>
      <w:r>
        <w:rPr>
          <w:rFonts w:hint="eastAsia" w:ascii="宋体" w:hAnsi="宋体" w:cs="宋体"/>
          <w:bCs/>
          <w:sz w:val="28"/>
          <w:szCs w:val="28"/>
        </w:rPr>
        <w:t>对本合同任何条款的修改、补充或变更，双方必须签订书面协议并签字盖章后方可生效。</w:t>
      </w:r>
    </w:p>
    <w:p w14:paraId="1F3BE84C">
      <w:pPr>
        <w:tabs>
          <w:tab w:val="left" w:pos="7920"/>
        </w:tabs>
        <w:ind w:firstLine="480" w:firstLineChars="200"/>
        <w:rPr>
          <w:rFonts w:cs="仿宋" w:asciiTheme="minorEastAsia" w:hAnsiTheme="minorEastAsia" w:eastAsiaTheme="minorEastAsia"/>
          <w:sz w:val="24"/>
          <w:szCs w:val="24"/>
        </w:rPr>
      </w:pPr>
    </w:p>
    <w:p w14:paraId="186D5544">
      <w:pPr>
        <w:tabs>
          <w:tab w:val="left" w:pos="7920"/>
        </w:tabs>
        <w:ind w:firstLine="480" w:firstLineChars="200"/>
        <w:rPr>
          <w:rFonts w:cs="仿宋" w:asciiTheme="minorEastAsia" w:hAnsiTheme="minorEastAsia" w:eastAsiaTheme="minorEastAsia"/>
          <w:sz w:val="24"/>
          <w:szCs w:val="24"/>
        </w:rPr>
      </w:pPr>
    </w:p>
    <w:p w14:paraId="14AF45AC">
      <w:pPr>
        <w:tabs>
          <w:tab w:val="left" w:pos="7920"/>
        </w:tabs>
        <w:ind w:firstLine="480" w:firstLineChars="200"/>
        <w:rPr>
          <w:rFonts w:cs="仿宋" w:asciiTheme="minorEastAsia" w:hAnsiTheme="minorEastAsia" w:eastAsiaTheme="minorEastAsia"/>
          <w:sz w:val="24"/>
          <w:szCs w:val="24"/>
        </w:rPr>
      </w:pPr>
      <w:r>
        <w:rPr>
          <w:rFonts w:hint="eastAsia" w:cs="仿宋" w:asciiTheme="minorEastAsia" w:hAnsiTheme="minorEastAsia" w:eastAsiaTheme="minorEastAsia"/>
          <w:sz w:val="24"/>
          <w:szCs w:val="24"/>
        </w:rPr>
        <w:t>（以下无正文）</w:t>
      </w:r>
    </w:p>
    <w:tbl>
      <w:tblPr>
        <w:tblStyle w:val="8"/>
        <w:tblpPr w:leftFromText="180" w:rightFromText="180" w:vertAnchor="page" w:horzAnchor="page" w:tblpX="1060" w:tblpY="9163"/>
        <w:tblOverlap w:val="never"/>
        <w:tblW w:w="5000" w:type="pct"/>
        <w:tblInd w:w="0" w:type="dxa"/>
        <w:tblLayout w:type="autofit"/>
        <w:tblCellMar>
          <w:top w:w="0" w:type="dxa"/>
          <w:left w:w="108" w:type="dxa"/>
          <w:bottom w:w="0" w:type="dxa"/>
          <w:right w:w="108" w:type="dxa"/>
        </w:tblCellMar>
      </w:tblPr>
      <w:tblGrid>
        <w:gridCol w:w="5058"/>
        <w:gridCol w:w="5058"/>
      </w:tblGrid>
      <w:tr w14:paraId="68F42DD9">
        <w:tblPrEx>
          <w:tblCellMar>
            <w:top w:w="0" w:type="dxa"/>
            <w:left w:w="108" w:type="dxa"/>
            <w:bottom w:w="0" w:type="dxa"/>
            <w:right w:w="108" w:type="dxa"/>
          </w:tblCellMar>
        </w:tblPrEx>
        <w:tc>
          <w:tcPr>
            <w:tcW w:w="2500" w:type="pct"/>
          </w:tcPr>
          <w:p w14:paraId="4DE677A1">
            <w:pPr>
              <w:spacing w:line="360" w:lineRule="auto"/>
              <w:rPr>
                <w:rFonts w:ascii="宋体" w:hAnsi="宋体" w:cs="宋体"/>
                <w:kern w:val="1"/>
                <w:sz w:val="28"/>
                <w:szCs w:val="28"/>
              </w:rPr>
            </w:pPr>
            <w:r>
              <w:rPr>
                <w:rFonts w:hint="eastAsia" w:ascii="宋体" w:hAnsi="宋体" w:cs="宋体"/>
                <w:kern w:val="1"/>
                <w:sz w:val="28"/>
                <w:szCs w:val="28"/>
              </w:rPr>
              <w:t>甲方：清华大学深圳国际研究生院</w:t>
            </w:r>
          </w:p>
        </w:tc>
        <w:tc>
          <w:tcPr>
            <w:tcW w:w="2500" w:type="pct"/>
          </w:tcPr>
          <w:p w14:paraId="352040F2">
            <w:pPr>
              <w:spacing w:line="360" w:lineRule="auto"/>
              <w:rPr>
                <w:rFonts w:ascii="宋体" w:hAnsi="宋体" w:cs="宋体"/>
                <w:kern w:val="1"/>
                <w:sz w:val="28"/>
                <w:szCs w:val="28"/>
              </w:rPr>
            </w:pPr>
            <w:r>
              <w:rPr>
                <w:rFonts w:hint="eastAsia" w:ascii="宋体" w:hAnsi="宋体" w:cs="宋体"/>
                <w:kern w:val="1"/>
                <w:sz w:val="28"/>
                <w:szCs w:val="28"/>
              </w:rPr>
              <w:t>乙方：</w:t>
            </w:r>
          </w:p>
        </w:tc>
      </w:tr>
      <w:tr w14:paraId="52F5E41A">
        <w:tblPrEx>
          <w:tblCellMar>
            <w:top w:w="0" w:type="dxa"/>
            <w:left w:w="108" w:type="dxa"/>
            <w:bottom w:w="0" w:type="dxa"/>
            <w:right w:w="108" w:type="dxa"/>
          </w:tblCellMar>
        </w:tblPrEx>
        <w:tc>
          <w:tcPr>
            <w:tcW w:w="2500" w:type="pct"/>
          </w:tcPr>
          <w:p w14:paraId="0C24A0E7">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c>
          <w:tcPr>
            <w:tcW w:w="2500" w:type="pct"/>
          </w:tcPr>
          <w:p w14:paraId="185F067E">
            <w:pPr>
              <w:spacing w:line="360" w:lineRule="auto"/>
              <w:rPr>
                <w:rFonts w:ascii="宋体" w:hAnsi="宋体" w:cs="宋体"/>
                <w:kern w:val="1"/>
                <w:sz w:val="28"/>
                <w:szCs w:val="28"/>
              </w:rPr>
            </w:pPr>
            <w:r>
              <w:rPr>
                <w:rFonts w:hint="eastAsia" w:ascii="宋体" w:hAnsi="宋体" w:cs="宋体"/>
                <w:kern w:val="1"/>
                <w:sz w:val="28"/>
                <w:szCs w:val="28"/>
              </w:rPr>
              <w:t>法定代表人</w:t>
            </w:r>
            <w:r>
              <w:rPr>
                <w:rFonts w:ascii="宋体" w:hAnsi="宋体" w:cs="宋体"/>
                <w:kern w:val="1"/>
                <w:sz w:val="28"/>
                <w:szCs w:val="28"/>
              </w:rPr>
              <w:t>/</w:t>
            </w:r>
            <w:r>
              <w:rPr>
                <w:rFonts w:hint="eastAsia" w:ascii="宋体" w:hAnsi="宋体" w:cs="宋体"/>
                <w:kern w:val="1"/>
                <w:sz w:val="28"/>
                <w:szCs w:val="28"/>
              </w:rPr>
              <w:t>授权代表人：</w:t>
            </w:r>
          </w:p>
        </w:tc>
      </w:tr>
      <w:tr w14:paraId="0561E97E">
        <w:tblPrEx>
          <w:tblCellMar>
            <w:top w:w="0" w:type="dxa"/>
            <w:left w:w="108" w:type="dxa"/>
            <w:bottom w:w="0" w:type="dxa"/>
            <w:right w:w="108" w:type="dxa"/>
          </w:tblCellMar>
        </w:tblPrEx>
        <w:tc>
          <w:tcPr>
            <w:tcW w:w="2500" w:type="pct"/>
          </w:tcPr>
          <w:p w14:paraId="171CC431">
            <w:pPr>
              <w:spacing w:line="360" w:lineRule="auto"/>
              <w:rPr>
                <w:rFonts w:ascii="宋体" w:hAnsi="宋体" w:cs="宋体"/>
                <w:kern w:val="1"/>
                <w:sz w:val="28"/>
                <w:szCs w:val="28"/>
              </w:rPr>
            </w:pPr>
            <w:r>
              <w:rPr>
                <w:rFonts w:hint="eastAsia" w:ascii="宋体" w:hAnsi="宋体" w:cs="宋体"/>
                <w:kern w:val="1"/>
                <w:sz w:val="28"/>
                <w:szCs w:val="28"/>
              </w:rPr>
              <w:t>开户银行：</w:t>
            </w:r>
          </w:p>
        </w:tc>
        <w:tc>
          <w:tcPr>
            <w:tcW w:w="2500" w:type="pct"/>
          </w:tcPr>
          <w:p w14:paraId="75C06450">
            <w:pPr>
              <w:spacing w:line="360" w:lineRule="auto"/>
              <w:rPr>
                <w:rFonts w:ascii="宋体" w:hAnsi="宋体" w:cs="宋体"/>
                <w:kern w:val="1"/>
                <w:sz w:val="28"/>
                <w:szCs w:val="28"/>
              </w:rPr>
            </w:pPr>
            <w:r>
              <w:rPr>
                <w:rFonts w:hint="eastAsia" w:ascii="宋体" w:hAnsi="宋体" w:cs="宋体"/>
                <w:kern w:val="1"/>
                <w:sz w:val="28"/>
                <w:szCs w:val="28"/>
              </w:rPr>
              <w:t>开户银行：</w:t>
            </w:r>
          </w:p>
        </w:tc>
      </w:tr>
      <w:tr w14:paraId="7171D8BA">
        <w:tblPrEx>
          <w:tblCellMar>
            <w:top w:w="0" w:type="dxa"/>
            <w:left w:w="108" w:type="dxa"/>
            <w:bottom w:w="0" w:type="dxa"/>
            <w:right w:w="108" w:type="dxa"/>
          </w:tblCellMar>
        </w:tblPrEx>
        <w:tc>
          <w:tcPr>
            <w:tcW w:w="2500" w:type="pct"/>
          </w:tcPr>
          <w:p w14:paraId="746B802D">
            <w:pPr>
              <w:spacing w:line="360" w:lineRule="auto"/>
              <w:rPr>
                <w:rFonts w:ascii="宋体" w:hAnsi="宋体" w:cs="宋体"/>
                <w:kern w:val="1"/>
                <w:sz w:val="28"/>
                <w:szCs w:val="28"/>
              </w:rPr>
            </w:pPr>
            <w:r>
              <w:rPr>
                <w:rFonts w:hint="eastAsia" w:ascii="宋体" w:hAnsi="宋体" w:cs="宋体"/>
                <w:kern w:val="1"/>
                <w:sz w:val="28"/>
                <w:szCs w:val="28"/>
              </w:rPr>
              <w:t>账号：</w:t>
            </w:r>
          </w:p>
        </w:tc>
        <w:tc>
          <w:tcPr>
            <w:tcW w:w="2500" w:type="pct"/>
          </w:tcPr>
          <w:p w14:paraId="605A3DD7">
            <w:pPr>
              <w:spacing w:line="360" w:lineRule="auto"/>
              <w:rPr>
                <w:rFonts w:ascii="宋体" w:hAnsi="宋体" w:cs="宋体"/>
                <w:kern w:val="1"/>
                <w:sz w:val="28"/>
                <w:szCs w:val="28"/>
              </w:rPr>
            </w:pPr>
            <w:r>
              <w:rPr>
                <w:rFonts w:hint="eastAsia" w:ascii="宋体" w:hAnsi="宋体" w:cs="宋体"/>
                <w:kern w:val="1"/>
                <w:sz w:val="28"/>
                <w:szCs w:val="28"/>
              </w:rPr>
              <w:t>账号：</w:t>
            </w:r>
          </w:p>
        </w:tc>
      </w:tr>
      <w:tr w14:paraId="72CDEDEA">
        <w:tblPrEx>
          <w:tblCellMar>
            <w:top w:w="0" w:type="dxa"/>
            <w:left w:w="108" w:type="dxa"/>
            <w:bottom w:w="0" w:type="dxa"/>
            <w:right w:w="108" w:type="dxa"/>
          </w:tblCellMar>
        </w:tblPrEx>
        <w:tc>
          <w:tcPr>
            <w:tcW w:w="2500" w:type="pct"/>
          </w:tcPr>
          <w:p w14:paraId="080C78B1">
            <w:pPr>
              <w:spacing w:line="360" w:lineRule="auto"/>
              <w:rPr>
                <w:rFonts w:ascii="宋体" w:hAnsi="宋体" w:cs="宋体"/>
                <w:kern w:val="1"/>
                <w:sz w:val="28"/>
                <w:szCs w:val="28"/>
              </w:rPr>
            </w:pPr>
            <w:r>
              <w:rPr>
                <w:rFonts w:hint="eastAsia" w:ascii="宋体" w:hAnsi="宋体" w:cs="宋体"/>
                <w:kern w:val="1"/>
                <w:sz w:val="28"/>
                <w:szCs w:val="28"/>
              </w:rPr>
              <w:t>签约日期：</w:t>
            </w:r>
          </w:p>
        </w:tc>
        <w:tc>
          <w:tcPr>
            <w:tcW w:w="2500" w:type="pct"/>
          </w:tcPr>
          <w:p w14:paraId="0BD9F2C8">
            <w:pPr>
              <w:spacing w:line="360" w:lineRule="auto"/>
              <w:rPr>
                <w:rFonts w:ascii="宋体" w:hAnsi="宋体" w:cs="宋体"/>
                <w:kern w:val="1"/>
                <w:sz w:val="28"/>
                <w:szCs w:val="28"/>
              </w:rPr>
            </w:pPr>
            <w:r>
              <w:rPr>
                <w:rFonts w:hint="eastAsia" w:ascii="宋体" w:hAnsi="宋体" w:cs="宋体"/>
                <w:kern w:val="1"/>
                <w:sz w:val="28"/>
                <w:szCs w:val="28"/>
              </w:rPr>
              <w:t>签约日期：</w:t>
            </w:r>
          </w:p>
        </w:tc>
      </w:tr>
    </w:tbl>
    <w:p w14:paraId="680E087C">
      <w:pPr>
        <w:tabs>
          <w:tab w:val="left" w:pos="7920"/>
        </w:tabs>
        <w:ind w:firstLine="480" w:firstLineChars="200"/>
        <w:rPr>
          <w:rFonts w:cs="仿宋" w:asciiTheme="minorEastAsia" w:hAnsiTheme="minorEastAsia" w:eastAsiaTheme="minorEastAsia"/>
          <w:kern w:val="0"/>
          <w:sz w:val="24"/>
        </w:rPr>
      </w:pPr>
    </w:p>
    <w:p w14:paraId="3CB25056">
      <w:pPr>
        <w:tabs>
          <w:tab w:val="left" w:pos="7920"/>
        </w:tabs>
        <w:ind w:firstLine="480" w:firstLineChars="200"/>
        <w:rPr>
          <w:rFonts w:cs="仿宋" w:asciiTheme="minorEastAsia" w:hAnsiTheme="minorEastAsia" w:eastAsiaTheme="minorEastAsia"/>
          <w:kern w:val="0"/>
          <w:sz w:val="24"/>
        </w:rPr>
        <w:sectPr>
          <w:headerReference r:id="rId3" w:type="default"/>
          <w:footerReference r:id="rId4" w:type="default"/>
          <w:pgSz w:w="11906" w:h="16838"/>
          <w:pgMar w:top="566" w:right="926" w:bottom="284" w:left="1080" w:header="851" w:footer="992" w:gutter="0"/>
          <w:cols w:space="720" w:num="1"/>
          <w:docGrid w:type="lines" w:linePitch="312" w:charSpace="0"/>
        </w:sectPr>
      </w:pPr>
    </w:p>
    <w:p w14:paraId="177AFEA2">
      <w:pPr>
        <w:tabs>
          <w:tab w:val="left" w:pos="7920"/>
        </w:tabs>
        <w:ind w:firstLine="883" w:firstLineChars="200"/>
        <w:rPr>
          <w:rFonts w:cs="仿宋" w:asciiTheme="minorEastAsia" w:hAnsiTheme="minorEastAsia" w:eastAsiaTheme="minorEastAsia"/>
          <w:b/>
          <w:bCs/>
          <w:sz w:val="44"/>
          <w:u w:val="single"/>
        </w:rPr>
      </w:pPr>
    </w:p>
    <w:sectPr>
      <w:type w:val="continuous"/>
      <w:pgSz w:w="11906" w:h="16838"/>
      <w:pgMar w:top="566" w:right="926" w:bottom="284"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3D2A9">
    <w:pPr>
      <w:pStyle w:val="4"/>
    </w:pPr>
    <w: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path/>
          <v:fill on="f" focussize="0,0"/>
          <v:stroke on="f" weight="0.5pt" joinstyle="miter"/>
          <v:imagedata o:title=""/>
          <o:lock v:ext="edit"/>
          <v:textbox inset="0mm,0mm,0mm,0mm" style="mso-fit-shape-to-text:t;">
            <w:txbxContent>
              <w:p w14:paraId="6B1EDC10">
                <w:pPr>
                  <w:pStyle w:val="4"/>
                </w:pPr>
                <w:r>
                  <w:fldChar w:fldCharType="begin"/>
                </w:r>
                <w:r>
                  <w:instrText xml:space="preserve"> PAGE  \* MERGEFORMAT </w:instrText>
                </w:r>
                <w:r>
                  <w:fldChar w:fldCharType="separate"/>
                </w:r>
                <w:r>
                  <w:t>7</w:t>
                </w:r>
                <w:r>
                  <w:fldChar w:fldCharType="end"/>
                </w:r>
                <w:r>
                  <w:t xml:space="preserve"> / </w:t>
                </w:r>
                <w:r>
                  <w:fldChar w:fldCharType="begin"/>
                </w:r>
                <w:r>
                  <w:instrText xml:space="preserve"> NUMPAGES  \* MERGEFORMAT </w:instrText>
                </w:r>
                <w:r>
                  <w:fldChar w:fldCharType="separate"/>
                </w:r>
                <w:r>
                  <w:t>7</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935B81">
    <w:pPr>
      <w:pStyle w:val="5"/>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Dc2ZWQ4ZGNhZDU2MjNlMmE4NWQ3NDY0MTI5OTU4MTEifQ=="/>
  </w:docVars>
  <w:rsids>
    <w:rsidRoot w:val="00172A27"/>
    <w:rsid w:val="000004F7"/>
    <w:rsid w:val="00003E76"/>
    <w:rsid w:val="00006116"/>
    <w:rsid w:val="000100D0"/>
    <w:rsid w:val="00010527"/>
    <w:rsid w:val="00012501"/>
    <w:rsid w:val="0001410E"/>
    <w:rsid w:val="0001590C"/>
    <w:rsid w:val="0002116A"/>
    <w:rsid w:val="00021DBB"/>
    <w:rsid w:val="00021FBF"/>
    <w:rsid w:val="0002441B"/>
    <w:rsid w:val="00031213"/>
    <w:rsid w:val="00031FD6"/>
    <w:rsid w:val="000333BF"/>
    <w:rsid w:val="000351BD"/>
    <w:rsid w:val="0003723C"/>
    <w:rsid w:val="000375E2"/>
    <w:rsid w:val="00040D78"/>
    <w:rsid w:val="000457D6"/>
    <w:rsid w:val="00064E7A"/>
    <w:rsid w:val="0007403D"/>
    <w:rsid w:val="00074AB3"/>
    <w:rsid w:val="00080BBB"/>
    <w:rsid w:val="000859C1"/>
    <w:rsid w:val="00086053"/>
    <w:rsid w:val="0008723C"/>
    <w:rsid w:val="00094C90"/>
    <w:rsid w:val="000967FE"/>
    <w:rsid w:val="000A5585"/>
    <w:rsid w:val="000A605B"/>
    <w:rsid w:val="000A6B38"/>
    <w:rsid w:val="000B2618"/>
    <w:rsid w:val="000B3CBA"/>
    <w:rsid w:val="000B49E2"/>
    <w:rsid w:val="000B5602"/>
    <w:rsid w:val="000C2AAF"/>
    <w:rsid w:val="000C44E9"/>
    <w:rsid w:val="000D0457"/>
    <w:rsid w:val="000E258B"/>
    <w:rsid w:val="000E27C7"/>
    <w:rsid w:val="000E4BD8"/>
    <w:rsid w:val="000F0CAB"/>
    <w:rsid w:val="000F44C8"/>
    <w:rsid w:val="000F5A9B"/>
    <w:rsid w:val="00101E06"/>
    <w:rsid w:val="00102426"/>
    <w:rsid w:val="001054D3"/>
    <w:rsid w:val="00105F27"/>
    <w:rsid w:val="00111D98"/>
    <w:rsid w:val="001149C7"/>
    <w:rsid w:val="00114D83"/>
    <w:rsid w:val="001166C3"/>
    <w:rsid w:val="00117DF5"/>
    <w:rsid w:val="00121A89"/>
    <w:rsid w:val="00122B99"/>
    <w:rsid w:val="00130BE6"/>
    <w:rsid w:val="00133530"/>
    <w:rsid w:val="0014617C"/>
    <w:rsid w:val="00150B09"/>
    <w:rsid w:val="00150BF4"/>
    <w:rsid w:val="00152D8C"/>
    <w:rsid w:val="001546FD"/>
    <w:rsid w:val="001564E0"/>
    <w:rsid w:val="00163593"/>
    <w:rsid w:val="0016471D"/>
    <w:rsid w:val="00166357"/>
    <w:rsid w:val="00172A27"/>
    <w:rsid w:val="001865DC"/>
    <w:rsid w:val="00186813"/>
    <w:rsid w:val="00190A67"/>
    <w:rsid w:val="001956F1"/>
    <w:rsid w:val="00197CA9"/>
    <w:rsid w:val="001A2CE0"/>
    <w:rsid w:val="001B1FC2"/>
    <w:rsid w:val="001B4310"/>
    <w:rsid w:val="001B43C8"/>
    <w:rsid w:val="001B5B58"/>
    <w:rsid w:val="001B687A"/>
    <w:rsid w:val="001C16EB"/>
    <w:rsid w:val="001C34DC"/>
    <w:rsid w:val="001C7AD3"/>
    <w:rsid w:val="001D3D41"/>
    <w:rsid w:val="001E407B"/>
    <w:rsid w:val="001E6E65"/>
    <w:rsid w:val="002004FE"/>
    <w:rsid w:val="00200B72"/>
    <w:rsid w:val="00206823"/>
    <w:rsid w:val="00216F52"/>
    <w:rsid w:val="002232AF"/>
    <w:rsid w:val="00244899"/>
    <w:rsid w:val="00246D61"/>
    <w:rsid w:val="00252F61"/>
    <w:rsid w:val="002541F4"/>
    <w:rsid w:val="00255C77"/>
    <w:rsid w:val="00260939"/>
    <w:rsid w:val="0026229C"/>
    <w:rsid w:val="00262BF6"/>
    <w:rsid w:val="002675F4"/>
    <w:rsid w:val="002817D5"/>
    <w:rsid w:val="00281BF6"/>
    <w:rsid w:val="00282EC5"/>
    <w:rsid w:val="00285FF7"/>
    <w:rsid w:val="002902A1"/>
    <w:rsid w:val="00293A8A"/>
    <w:rsid w:val="002A12A3"/>
    <w:rsid w:val="002A2E41"/>
    <w:rsid w:val="002A3D1A"/>
    <w:rsid w:val="002A421B"/>
    <w:rsid w:val="002A48AB"/>
    <w:rsid w:val="002A5EC6"/>
    <w:rsid w:val="002B77A5"/>
    <w:rsid w:val="002C0076"/>
    <w:rsid w:val="002C25B6"/>
    <w:rsid w:val="002D5D79"/>
    <w:rsid w:val="002E6C21"/>
    <w:rsid w:val="002E77D5"/>
    <w:rsid w:val="002F0CB7"/>
    <w:rsid w:val="002F19F2"/>
    <w:rsid w:val="002F47D2"/>
    <w:rsid w:val="002F7466"/>
    <w:rsid w:val="0030270F"/>
    <w:rsid w:val="00306883"/>
    <w:rsid w:val="00311D63"/>
    <w:rsid w:val="0031460E"/>
    <w:rsid w:val="003201DA"/>
    <w:rsid w:val="003232BC"/>
    <w:rsid w:val="00327937"/>
    <w:rsid w:val="00330BBD"/>
    <w:rsid w:val="0033110C"/>
    <w:rsid w:val="0033148F"/>
    <w:rsid w:val="0033763C"/>
    <w:rsid w:val="003427A2"/>
    <w:rsid w:val="003552D3"/>
    <w:rsid w:val="00356ACF"/>
    <w:rsid w:val="003576DC"/>
    <w:rsid w:val="00360A3C"/>
    <w:rsid w:val="003616E5"/>
    <w:rsid w:val="003631F6"/>
    <w:rsid w:val="00363813"/>
    <w:rsid w:val="00367A9A"/>
    <w:rsid w:val="00375F3B"/>
    <w:rsid w:val="00376A5F"/>
    <w:rsid w:val="0038135B"/>
    <w:rsid w:val="00384AE0"/>
    <w:rsid w:val="0039046D"/>
    <w:rsid w:val="00390CD5"/>
    <w:rsid w:val="003928CD"/>
    <w:rsid w:val="00393D08"/>
    <w:rsid w:val="00395831"/>
    <w:rsid w:val="0039620C"/>
    <w:rsid w:val="003A2852"/>
    <w:rsid w:val="003A2DA9"/>
    <w:rsid w:val="003A3CED"/>
    <w:rsid w:val="003A64F9"/>
    <w:rsid w:val="003A6A52"/>
    <w:rsid w:val="003A7445"/>
    <w:rsid w:val="003C1ABB"/>
    <w:rsid w:val="003C1E51"/>
    <w:rsid w:val="003C4722"/>
    <w:rsid w:val="003C7E76"/>
    <w:rsid w:val="003D0DD6"/>
    <w:rsid w:val="003D3DFB"/>
    <w:rsid w:val="003D5228"/>
    <w:rsid w:val="003E22DB"/>
    <w:rsid w:val="003E36B1"/>
    <w:rsid w:val="003E6C4E"/>
    <w:rsid w:val="003E78C5"/>
    <w:rsid w:val="003F0F07"/>
    <w:rsid w:val="003F45E1"/>
    <w:rsid w:val="003F6321"/>
    <w:rsid w:val="003F7680"/>
    <w:rsid w:val="004007B1"/>
    <w:rsid w:val="00400D0E"/>
    <w:rsid w:val="00404209"/>
    <w:rsid w:val="00406E13"/>
    <w:rsid w:val="00406FA8"/>
    <w:rsid w:val="00407A62"/>
    <w:rsid w:val="00410910"/>
    <w:rsid w:val="00417BC3"/>
    <w:rsid w:val="0042313E"/>
    <w:rsid w:val="0042730B"/>
    <w:rsid w:val="004307FC"/>
    <w:rsid w:val="00431350"/>
    <w:rsid w:val="0043173A"/>
    <w:rsid w:val="004338A3"/>
    <w:rsid w:val="00434582"/>
    <w:rsid w:val="00440C3A"/>
    <w:rsid w:val="00443724"/>
    <w:rsid w:val="00447C41"/>
    <w:rsid w:val="00453B5D"/>
    <w:rsid w:val="00454901"/>
    <w:rsid w:val="004569F1"/>
    <w:rsid w:val="00464134"/>
    <w:rsid w:val="00465863"/>
    <w:rsid w:val="00465B2C"/>
    <w:rsid w:val="00473248"/>
    <w:rsid w:val="00490C4D"/>
    <w:rsid w:val="004942B6"/>
    <w:rsid w:val="00496BE6"/>
    <w:rsid w:val="004A21B0"/>
    <w:rsid w:val="004B0595"/>
    <w:rsid w:val="004B0FA5"/>
    <w:rsid w:val="004B1059"/>
    <w:rsid w:val="004B1B7F"/>
    <w:rsid w:val="004B65E1"/>
    <w:rsid w:val="004C0760"/>
    <w:rsid w:val="004C1AEB"/>
    <w:rsid w:val="004C2F89"/>
    <w:rsid w:val="004C3F92"/>
    <w:rsid w:val="004C4118"/>
    <w:rsid w:val="004C55D6"/>
    <w:rsid w:val="004C6CEF"/>
    <w:rsid w:val="004C70A9"/>
    <w:rsid w:val="004D76E3"/>
    <w:rsid w:val="004E468F"/>
    <w:rsid w:val="004E6EE6"/>
    <w:rsid w:val="004E7B34"/>
    <w:rsid w:val="004F09CF"/>
    <w:rsid w:val="004F21C8"/>
    <w:rsid w:val="004F30AC"/>
    <w:rsid w:val="004F621D"/>
    <w:rsid w:val="004F78B6"/>
    <w:rsid w:val="005011FF"/>
    <w:rsid w:val="00501359"/>
    <w:rsid w:val="00501C4D"/>
    <w:rsid w:val="00501EE6"/>
    <w:rsid w:val="00503510"/>
    <w:rsid w:val="00510439"/>
    <w:rsid w:val="00526F88"/>
    <w:rsid w:val="005300CA"/>
    <w:rsid w:val="005370C7"/>
    <w:rsid w:val="0054290F"/>
    <w:rsid w:val="005448E1"/>
    <w:rsid w:val="00551BE7"/>
    <w:rsid w:val="00555678"/>
    <w:rsid w:val="00556C3A"/>
    <w:rsid w:val="00560EEB"/>
    <w:rsid w:val="00564EA0"/>
    <w:rsid w:val="00567EC5"/>
    <w:rsid w:val="0057091A"/>
    <w:rsid w:val="0057145C"/>
    <w:rsid w:val="005718D8"/>
    <w:rsid w:val="00574B43"/>
    <w:rsid w:val="00586083"/>
    <w:rsid w:val="00593E56"/>
    <w:rsid w:val="00597107"/>
    <w:rsid w:val="005B027F"/>
    <w:rsid w:val="005B4968"/>
    <w:rsid w:val="005B5D20"/>
    <w:rsid w:val="005B741F"/>
    <w:rsid w:val="005C59B2"/>
    <w:rsid w:val="005D1C48"/>
    <w:rsid w:val="005D24D8"/>
    <w:rsid w:val="005D3999"/>
    <w:rsid w:val="005D5F9E"/>
    <w:rsid w:val="005D62A7"/>
    <w:rsid w:val="005D65FC"/>
    <w:rsid w:val="005F18A9"/>
    <w:rsid w:val="005F404D"/>
    <w:rsid w:val="005F5E36"/>
    <w:rsid w:val="00600C39"/>
    <w:rsid w:val="006164EE"/>
    <w:rsid w:val="006230B7"/>
    <w:rsid w:val="00633877"/>
    <w:rsid w:val="00633C4F"/>
    <w:rsid w:val="00635ECC"/>
    <w:rsid w:val="00636879"/>
    <w:rsid w:val="00637336"/>
    <w:rsid w:val="0064336B"/>
    <w:rsid w:val="00644577"/>
    <w:rsid w:val="00647CF1"/>
    <w:rsid w:val="00662E3F"/>
    <w:rsid w:val="00665EE7"/>
    <w:rsid w:val="00673FA1"/>
    <w:rsid w:val="00674ADE"/>
    <w:rsid w:val="00676515"/>
    <w:rsid w:val="00677B08"/>
    <w:rsid w:val="00682394"/>
    <w:rsid w:val="006907D8"/>
    <w:rsid w:val="006917FF"/>
    <w:rsid w:val="00692ED4"/>
    <w:rsid w:val="00694781"/>
    <w:rsid w:val="006A1B87"/>
    <w:rsid w:val="006A34AE"/>
    <w:rsid w:val="006B05B4"/>
    <w:rsid w:val="006B0BA3"/>
    <w:rsid w:val="006B2F9F"/>
    <w:rsid w:val="006B4A8E"/>
    <w:rsid w:val="006C650B"/>
    <w:rsid w:val="006C6B19"/>
    <w:rsid w:val="006D33DD"/>
    <w:rsid w:val="006E5300"/>
    <w:rsid w:val="006F363B"/>
    <w:rsid w:val="006F4C47"/>
    <w:rsid w:val="006F742F"/>
    <w:rsid w:val="0070356D"/>
    <w:rsid w:val="007063DC"/>
    <w:rsid w:val="00713543"/>
    <w:rsid w:val="0071644C"/>
    <w:rsid w:val="00716761"/>
    <w:rsid w:val="0071713C"/>
    <w:rsid w:val="0072325C"/>
    <w:rsid w:val="00724AE4"/>
    <w:rsid w:val="00726B6E"/>
    <w:rsid w:val="00730A54"/>
    <w:rsid w:val="00734598"/>
    <w:rsid w:val="0073471C"/>
    <w:rsid w:val="00737843"/>
    <w:rsid w:val="007447E8"/>
    <w:rsid w:val="00745A62"/>
    <w:rsid w:val="00745BFC"/>
    <w:rsid w:val="00746516"/>
    <w:rsid w:val="00752482"/>
    <w:rsid w:val="007554C3"/>
    <w:rsid w:val="00756550"/>
    <w:rsid w:val="00757525"/>
    <w:rsid w:val="00762B2A"/>
    <w:rsid w:val="00765371"/>
    <w:rsid w:val="007668DD"/>
    <w:rsid w:val="00770D52"/>
    <w:rsid w:val="00770DE2"/>
    <w:rsid w:val="00776A8F"/>
    <w:rsid w:val="00780A65"/>
    <w:rsid w:val="007836C0"/>
    <w:rsid w:val="00784225"/>
    <w:rsid w:val="00785520"/>
    <w:rsid w:val="00790913"/>
    <w:rsid w:val="007956FB"/>
    <w:rsid w:val="007A1AAE"/>
    <w:rsid w:val="007A2C3E"/>
    <w:rsid w:val="007A4C67"/>
    <w:rsid w:val="007A505A"/>
    <w:rsid w:val="007B2467"/>
    <w:rsid w:val="007B34CF"/>
    <w:rsid w:val="007B4CDF"/>
    <w:rsid w:val="007B598D"/>
    <w:rsid w:val="007C3F47"/>
    <w:rsid w:val="007D49DF"/>
    <w:rsid w:val="007D5078"/>
    <w:rsid w:val="007E03F7"/>
    <w:rsid w:val="007E5799"/>
    <w:rsid w:val="007F04D1"/>
    <w:rsid w:val="007F28CB"/>
    <w:rsid w:val="008004CE"/>
    <w:rsid w:val="008040CA"/>
    <w:rsid w:val="00807349"/>
    <w:rsid w:val="0081150B"/>
    <w:rsid w:val="008146AC"/>
    <w:rsid w:val="00817CD8"/>
    <w:rsid w:val="0082123E"/>
    <w:rsid w:val="008221B0"/>
    <w:rsid w:val="00833FBB"/>
    <w:rsid w:val="00842D9C"/>
    <w:rsid w:val="008447D0"/>
    <w:rsid w:val="00847464"/>
    <w:rsid w:val="0085689E"/>
    <w:rsid w:val="00860941"/>
    <w:rsid w:val="0086195A"/>
    <w:rsid w:val="008674DF"/>
    <w:rsid w:val="00867719"/>
    <w:rsid w:val="008812AD"/>
    <w:rsid w:val="00886432"/>
    <w:rsid w:val="008911EE"/>
    <w:rsid w:val="00891A8B"/>
    <w:rsid w:val="00892AD3"/>
    <w:rsid w:val="00893FD3"/>
    <w:rsid w:val="00897521"/>
    <w:rsid w:val="008A77BD"/>
    <w:rsid w:val="008B00D3"/>
    <w:rsid w:val="008B15AA"/>
    <w:rsid w:val="008B3117"/>
    <w:rsid w:val="008C1638"/>
    <w:rsid w:val="008C7EDC"/>
    <w:rsid w:val="008D0567"/>
    <w:rsid w:val="008D1949"/>
    <w:rsid w:val="008D43CF"/>
    <w:rsid w:val="008D513D"/>
    <w:rsid w:val="008D6CF4"/>
    <w:rsid w:val="008E2B96"/>
    <w:rsid w:val="008E3E63"/>
    <w:rsid w:val="008F1B49"/>
    <w:rsid w:val="008F1C47"/>
    <w:rsid w:val="008F24A2"/>
    <w:rsid w:val="008F7B07"/>
    <w:rsid w:val="009006C5"/>
    <w:rsid w:val="00902A34"/>
    <w:rsid w:val="00903835"/>
    <w:rsid w:val="00906067"/>
    <w:rsid w:val="009065C3"/>
    <w:rsid w:val="009078F8"/>
    <w:rsid w:val="00910772"/>
    <w:rsid w:val="00915EA2"/>
    <w:rsid w:val="009174ED"/>
    <w:rsid w:val="00920CF2"/>
    <w:rsid w:val="00924AF1"/>
    <w:rsid w:val="00931D59"/>
    <w:rsid w:val="00934D2F"/>
    <w:rsid w:val="00936AA3"/>
    <w:rsid w:val="00937B19"/>
    <w:rsid w:val="00937FEB"/>
    <w:rsid w:val="00941353"/>
    <w:rsid w:val="009437EF"/>
    <w:rsid w:val="00946254"/>
    <w:rsid w:val="00946B51"/>
    <w:rsid w:val="009558A8"/>
    <w:rsid w:val="00960286"/>
    <w:rsid w:val="0096284A"/>
    <w:rsid w:val="00967308"/>
    <w:rsid w:val="009730E0"/>
    <w:rsid w:val="009778B2"/>
    <w:rsid w:val="0097792B"/>
    <w:rsid w:val="00980C12"/>
    <w:rsid w:val="00983A55"/>
    <w:rsid w:val="00986898"/>
    <w:rsid w:val="00987E09"/>
    <w:rsid w:val="0099725C"/>
    <w:rsid w:val="00997F72"/>
    <w:rsid w:val="00997F9E"/>
    <w:rsid w:val="009A02F8"/>
    <w:rsid w:val="009A2B1F"/>
    <w:rsid w:val="009A5022"/>
    <w:rsid w:val="009A7EBE"/>
    <w:rsid w:val="009B0206"/>
    <w:rsid w:val="009B23C6"/>
    <w:rsid w:val="009B2C12"/>
    <w:rsid w:val="009B36F8"/>
    <w:rsid w:val="009B7924"/>
    <w:rsid w:val="009C38F7"/>
    <w:rsid w:val="009C435F"/>
    <w:rsid w:val="009C53E0"/>
    <w:rsid w:val="009C6974"/>
    <w:rsid w:val="009C7717"/>
    <w:rsid w:val="009D182E"/>
    <w:rsid w:val="009D1F59"/>
    <w:rsid w:val="009D4D44"/>
    <w:rsid w:val="009D6CD5"/>
    <w:rsid w:val="009E68A3"/>
    <w:rsid w:val="009F3E84"/>
    <w:rsid w:val="009F4C46"/>
    <w:rsid w:val="00A070E5"/>
    <w:rsid w:val="00A13AFD"/>
    <w:rsid w:val="00A17D59"/>
    <w:rsid w:val="00A22067"/>
    <w:rsid w:val="00A2589F"/>
    <w:rsid w:val="00A26A0E"/>
    <w:rsid w:val="00A41CB1"/>
    <w:rsid w:val="00A41EBE"/>
    <w:rsid w:val="00A46629"/>
    <w:rsid w:val="00A47F64"/>
    <w:rsid w:val="00A5104D"/>
    <w:rsid w:val="00A52C5D"/>
    <w:rsid w:val="00A55F85"/>
    <w:rsid w:val="00A57A92"/>
    <w:rsid w:val="00A57B56"/>
    <w:rsid w:val="00A603A2"/>
    <w:rsid w:val="00A6562B"/>
    <w:rsid w:val="00A67881"/>
    <w:rsid w:val="00A7027B"/>
    <w:rsid w:val="00A71F58"/>
    <w:rsid w:val="00A81F3D"/>
    <w:rsid w:val="00A82716"/>
    <w:rsid w:val="00A860F3"/>
    <w:rsid w:val="00A871E2"/>
    <w:rsid w:val="00A9045C"/>
    <w:rsid w:val="00A912E5"/>
    <w:rsid w:val="00A92791"/>
    <w:rsid w:val="00A9394E"/>
    <w:rsid w:val="00A9720E"/>
    <w:rsid w:val="00AA0321"/>
    <w:rsid w:val="00AA0C9F"/>
    <w:rsid w:val="00AA43F3"/>
    <w:rsid w:val="00AA4924"/>
    <w:rsid w:val="00AA5711"/>
    <w:rsid w:val="00AB4CC1"/>
    <w:rsid w:val="00AC1A9C"/>
    <w:rsid w:val="00AC67A0"/>
    <w:rsid w:val="00AC7A57"/>
    <w:rsid w:val="00AD0E84"/>
    <w:rsid w:val="00AD424F"/>
    <w:rsid w:val="00AE03DA"/>
    <w:rsid w:val="00AE1486"/>
    <w:rsid w:val="00AE289D"/>
    <w:rsid w:val="00AE2EDB"/>
    <w:rsid w:val="00AE46DD"/>
    <w:rsid w:val="00AF2188"/>
    <w:rsid w:val="00AF6359"/>
    <w:rsid w:val="00B05281"/>
    <w:rsid w:val="00B12F3F"/>
    <w:rsid w:val="00B13310"/>
    <w:rsid w:val="00B14134"/>
    <w:rsid w:val="00B2222D"/>
    <w:rsid w:val="00B27FB8"/>
    <w:rsid w:val="00B31320"/>
    <w:rsid w:val="00B33D7B"/>
    <w:rsid w:val="00B36B45"/>
    <w:rsid w:val="00B371A1"/>
    <w:rsid w:val="00B43789"/>
    <w:rsid w:val="00B437A9"/>
    <w:rsid w:val="00B437CF"/>
    <w:rsid w:val="00B51016"/>
    <w:rsid w:val="00B5425C"/>
    <w:rsid w:val="00B562C8"/>
    <w:rsid w:val="00B57EE5"/>
    <w:rsid w:val="00B6614E"/>
    <w:rsid w:val="00B67213"/>
    <w:rsid w:val="00B67B63"/>
    <w:rsid w:val="00B67FF2"/>
    <w:rsid w:val="00B71667"/>
    <w:rsid w:val="00B75B54"/>
    <w:rsid w:val="00B75CFD"/>
    <w:rsid w:val="00B806EC"/>
    <w:rsid w:val="00B81CEE"/>
    <w:rsid w:val="00B83166"/>
    <w:rsid w:val="00B83B1C"/>
    <w:rsid w:val="00B850D3"/>
    <w:rsid w:val="00B85334"/>
    <w:rsid w:val="00B86328"/>
    <w:rsid w:val="00B909BD"/>
    <w:rsid w:val="00B90CBD"/>
    <w:rsid w:val="00B9594C"/>
    <w:rsid w:val="00B95A9A"/>
    <w:rsid w:val="00BA35EF"/>
    <w:rsid w:val="00BA58A6"/>
    <w:rsid w:val="00BB07C1"/>
    <w:rsid w:val="00BB559B"/>
    <w:rsid w:val="00BB59D6"/>
    <w:rsid w:val="00BC2476"/>
    <w:rsid w:val="00BC438A"/>
    <w:rsid w:val="00BC45A0"/>
    <w:rsid w:val="00BC7CB6"/>
    <w:rsid w:val="00BF604D"/>
    <w:rsid w:val="00C03065"/>
    <w:rsid w:val="00C05421"/>
    <w:rsid w:val="00C05FBA"/>
    <w:rsid w:val="00C10AFC"/>
    <w:rsid w:val="00C11FDE"/>
    <w:rsid w:val="00C13BBE"/>
    <w:rsid w:val="00C14CC7"/>
    <w:rsid w:val="00C179A6"/>
    <w:rsid w:val="00C26478"/>
    <w:rsid w:val="00C30698"/>
    <w:rsid w:val="00C3239E"/>
    <w:rsid w:val="00C33930"/>
    <w:rsid w:val="00C36F05"/>
    <w:rsid w:val="00C400E5"/>
    <w:rsid w:val="00C41723"/>
    <w:rsid w:val="00C41C85"/>
    <w:rsid w:val="00C41FFF"/>
    <w:rsid w:val="00C44580"/>
    <w:rsid w:val="00C463BF"/>
    <w:rsid w:val="00C46AD9"/>
    <w:rsid w:val="00C52FC1"/>
    <w:rsid w:val="00C541C7"/>
    <w:rsid w:val="00C54677"/>
    <w:rsid w:val="00C602EF"/>
    <w:rsid w:val="00C61107"/>
    <w:rsid w:val="00C659BE"/>
    <w:rsid w:val="00C6665A"/>
    <w:rsid w:val="00C66DD4"/>
    <w:rsid w:val="00C670E6"/>
    <w:rsid w:val="00C678B0"/>
    <w:rsid w:val="00C771AD"/>
    <w:rsid w:val="00C86B95"/>
    <w:rsid w:val="00C902AC"/>
    <w:rsid w:val="00CA0C5F"/>
    <w:rsid w:val="00CA48C2"/>
    <w:rsid w:val="00CB3BC3"/>
    <w:rsid w:val="00CC1511"/>
    <w:rsid w:val="00CC1C8C"/>
    <w:rsid w:val="00CC4745"/>
    <w:rsid w:val="00CC6139"/>
    <w:rsid w:val="00CD01CA"/>
    <w:rsid w:val="00CD0C30"/>
    <w:rsid w:val="00CF43CB"/>
    <w:rsid w:val="00CF4638"/>
    <w:rsid w:val="00CF4695"/>
    <w:rsid w:val="00CF5431"/>
    <w:rsid w:val="00D053F7"/>
    <w:rsid w:val="00D07212"/>
    <w:rsid w:val="00D07A04"/>
    <w:rsid w:val="00D1539C"/>
    <w:rsid w:val="00D153C9"/>
    <w:rsid w:val="00D15D30"/>
    <w:rsid w:val="00D167D5"/>
    <w:rsid w:val="00D41373"/>
    <w:rsid w:val="00D46460"/>
    <w:rsid w:val="00D4709D"/>
    <w:rsid w:val="00D56409"/>
    <w:rsid w:val="00D60175"/>
    <w:rsid w:val="00D61F39"/>
    <w:rsid w:val="00D6229F"/>
    <w:rsid w:val="00D62C13"/>
    <w:rsid w:val="00D63D5B"/>
    <w:rsid w:val="00D665A4"/>
    <w:rsid w:val="00D665FA"/>
    <w:rsid w:val="00D7001D"/>
    <w:rsid w:val="00D713DD"/>
    <w:rsid w:val="00D83A69"/>
    <w:rsid w:val="00D90597"/>
    <w:rsid w:val="00D92AE0"/>
    <w:rsid w:val="00DA2FC0"/>
    <w:rsid w:val="00DA389F"/>
    <w:rsid w:val="00DA3994"/>
    <w:rsid w:val="00DB05AE"/>
    <w:rsid w:val="00DB14BA"/>
    <w:rsid w:val="00DB24EC"/>
    <w:rsid w:val="00DB6EDA"/>
    <w:rsid w:val="00DB73B0"/>
    <w:rsid w:val="00DC32E5"/>
    <w:rsid w:val="00DC61ED"/>
    <w:rsid w:val="00DD3D2E"/>
    <w:rsid w:val="00DE0053"/>
    <w:rsid w:val="00DE5D35"/>
    <w:rsid w:val="00DE61F6"/>
    <w:rsid w:val="00DE7B72"/>
    <w:rsid w:val="00DE7E80"/>
    <w:rsid w:val="00DF14E5"/>
    <w:rsid w:val="00DF56DA"/>
    <w:rsid w:val="00DF6373"/>
    <w:rsid w:val="00DF6BB5"/>
    <w:rsid w:val="00E11AD6"/>
    <w:rsid w:val="00E123EC"/>
    <w:rsid w:val="00E1398C"/>
    <w:rsid w:val="00E14D29"/>
    <w:rsid w:val="00E21461"/>
    <w:rsid w:val="00E22C58"/>
    <w:rsid w:val="00E32B6D"/>
    <w:rsid w:val="00E3393A"/>
    <w:rsid w:val="00E41A09"/>
    <w:rsid w:val="00E42CC4"/>
    <w:rsid w:val="00E43028"/>
    <w:rsid w:val="00E479EF"/>
    <w:rsid w:val="00E50BBD"/>
    <w:rsid w:val="00E53567"/>
    <w:rsid w:val="00E53689"/>
    <w:rsid w:val="00E55005"/>
    <w:rsid w:val="00E73DB9"/>
    <w:rsid w:val="00E75A52"/>
    <w:rsid w:val="00E763BE"/>
    <w:rsid w:val="00E8230A"/>
    <w:rsid w:val="00E82DEA"/>
    <w:rsid w:val="00E93F1B"/>
    <w:rsid w:val="00EA1639"/>
    <w:rsid w:val="00EA4C12"/>
    <w:rsid w:val="00EA57E5"/>
    <w:rsid w:val="00EB24DF"/>
    <w:rsid w:val="00EB637A"/>
    <w:rsid w:val="00EB7FC4"/>
    <w:rsid w:val="00EC0F46"/>
    <w:rsid w:val="00ED1EC9"/>
    <w:rsid w:val="00ED3E0C"/>
    <w:rsid w:val="00ED5F0F"/>
    <w:rsid w:val="00EE08E6"/>
    <w:rsid w:val="00EE154D"/>
    <w:rsid w:val="00EE15B1"/>
    <w:rsid w:val="00EE2211"/>
    <w:rsid w:val="00EE4113"/>
    <w:rsid w:val="00EE415F"/>
    <w:rsid w:val="00EE744D"/>
    <w:rsid w:val="00EF0BCB"/>
    <w:rsid w:val="00EF6FAE"/>
    <w:rsid w:val="00F0026B"/>
    <w:rsid w:val="00F00AB6"/>
    <w:rsid w:val="00F00FB1"/>
    <w:rsid w:val="00F02FC5"/>
    <w:rsid w:val="00F05E30"/>
    <w:rsid w:val="00F06F4E"/>
    <w:rsid w:val="00F1007C"/>
    <w:rsid w:val="00F13CC6"/>
    <w:rsid w:val="00F14D2C"/>
    <w:rsid w:val="00F17C28"/>
    <w:rsid w:val="00F23AA3"/>
    <w:rsid w:val="00F25727"/>
    <w:rsid w:val="00F260A7"/>
    <w:rsid w:val="00F27086"/>
    <w:rsid w:val="00F37FDD"/>
    <w:rsid w:val="00F4058E"/>
    <w:rsid w:val="00F41135"/>
    <w:rsid w:val="00F422EF"/>
    <w:rsid w:val="00F54AF8"/>
    <w:rsid w:val="00F6622D"/>
    <w:rsid w:val="00F66BBE"/>
    <w:rsid w:val="00F80B90"/>
    <w:rsid w:val="00F83D5F"/>
    <w:rsid w:val="00F86548"/>
    <w:rsid w:val="00F929CE"/>
    <w:rsid w:val="00F979C6"/>
    <w:rsid w:val="00FA24EB"/>
    <w:rsid w:val="00FA27B0"/>
    <w:rsid w:val="00FA3FFE"/>
    <w:rsid w:val="00FA6867"/>
    <w:rsid w:val="00FA6F05"/>
    <w:rsid w:val="00FA7DB3"/>
    <w:rsid w:val="00FB1E28"/>
    <w:rsid w:val="00FB2A19"/>
    <w:rsid w:val="00FB3F54"/>
    <w:rsid w:val="00FC27FE"/>
    <w:rsid w:val="00FC3989"/>
    <w:rsid w:val="00FC3E2A"/>
    <w:rsid w:val="00FD021E"/>
    <w:rsid w:val="00FD3DBA"/>
    <w:rsid w:val="00FE1343"/>
    <w:rsid w:val="00FF2680"/>
    <w:rsid w:val="03CD0C60"/>
    <w:rsid w:val="099A0E4D"/>
    <w:rsid w:val="0AB729E8"/>
    <w:rsid w:val="0B384757"/>
    <w:rsid w:val="10114A46"/>
    <w:rsid w:val="190C4C25"/>
    <w:rsid w:val="19F36DAA"/>
    <w:rsid w:val="1B7771D8"/>
    <w:rsid w:val="1D07532F"/>
    <w:rsid w:val="1D9A259A"/>
    <w:rsid w:val="1FFF4886"/>
    <w:rsid w:val="20F3612B"/>
    <w:rsid w:val="20FC1E23"/>
    <w:rsid w:val="23D14857"/>
    <w:rsid w:val="24065C5A"/>
    <w:rsid w:val="25B96089"/>
    <w:rsid w:val="299D5190"/>
    <w:rsid w:val="2A5A2C3D"/>
    <w:rsid w:val="31175F84"/>
    <w:rsid w:val="34E17A7D"/>
    <w:rsid w:val="389967D7"/>
    <w:rsid w:val="3A8D0825"/>
    <w:rsid w:val="3AAE5135"/>
    <w:rsid w:val="3CC34B91"/>
    <w:rsid w:val="3F1D0939"/>
    <w:rsid w:val="407F4D17"/>
    <w:rsid w:val="40CA7159"/>
    <w:rsid w:val="41471F99"/>
    <w:rsid w:val="45411959"/>
    <w:rsid w:val="45FC5B4D"/>
    <w:rsid w:val="4A392CCE"/>
    <w:rsid w:val="4AEA0410"/>
    <w:rsid w:val="4C1A2DF5"/>
    <w:rsid w:val="4CB23F98"/>
    <w:rsid w:val="4E414AD1"/>
    <w:rsid w:val="4E786161"/>
    <w:rsid w:val="560A7902"/>
    <w:rsid w:val="56E3692D"/>
    <w:rsid w:val="576D1383"/>
    <w:rsid w:val="595F4799"/>
    <w:rsid w:val="598B4885"/>
    <w:rsid w:val="59DD57EE"/>
    <w:rsid w:val="5C5509E6"/>
    <w:rsid w:val="5CC025AC"/>
    <w:rsid w:val="5E197A19"/>
    <w:rsid w:val="5ECA6A32"/>
    <w:rsid w:val="61386C91"/>
    <w:rsid w:val="621E00AE"/>
    <w:rsid w:val="64B95C5F"/>
    <w:rsid w:val="64E421DF"/>
    <w:rsid w:val="64F94FB6"/>
    <w:rsid w:val="6A763592"/>
    <w:rsid w:val="6AEC5872"/>
    <w:rsid w:val="6B727B7B"/>
    <w:rsid w:val="737523CE"/>
    <w:rsid w:val="74A97F83"/>
    <w:rsid w:val="77850FA2"/>
    <w:rsid w:val="78E0447A"/>
    <w:rsid w:val="7DDA2D7A"/>
    <w:rsid w:val="7EFF00D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9"/>
    <w:semiHidden/>
    <w:unhideWhenUsed/>
    <w:qFormat/>
    <w:uiPriority w:val="99"/>
    <w:pPr>
      <w:jc w:val="left"/>
    </w:pPr>
  </w:style>
  <w:style w:type="paragraph" w:styleId="3">
    <w:name w:val="Balloon Text"/>
    <w:basedOn w:val="1"/>
    <w:link w:val="14"/>
    <w:unhideWhenUsed/>
    <w:qFormat/>
    <w:uiPriority w:val="99"/>
    <w:rPr>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99"/>
    <w:rPr>
      <w:sz w:val="24"/>
    </w:rPr>
  </w:style>
  <w:style w:type="paragraph" w:styleId="7">
    <w:name w:val="annotation subject"/>
    <w:basedOn w:val="2"/>
    <w:next w:val="2"/>
    <w:link w:val="20"/>
    <w:semiHidden/>
    <w:unhideWhenUsed/>
    <w:qFormat/>
    <w:uiPriority w:val="99"/>
    <w:rPr>
      <w:b/>
      <w:bCs/>
    </w:rPr>
  </w:style>
  <w:style w:type="table" w:styleId="9">
    <w:name w:val="Table Grid"/>
    <w:basedOn w:val="8"/>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page number"/>
    <w:basedOn w:val="10"/>
    <w:qFormat/>
    <w:uiPriority w:val="0"/>
  </w:style>
  <w:style w:type="character" w:styleId="12">
    <w:name w:val="annotation reference"/>
    <w:basedOn w:val="10"/>
    <w:semiHidden/>
    <w:unhideWhenUsed/>
    <w:qFormat/>
    <w:uiPriority w:val="99"/>
    <w:rPr>
      <w:sz w:val="21"/>
      <w:szCs w:val="21"/>
    </w:rPr>
  </w:style>
  <w:style w:type="character" w:customStyle="1" w:styleId="13">
    <w:name w:val="页眉 Char"/>
    <w:link w:val="5"/>
    <w:qFormat/>
    <w:uiPriority w:val="99"/>
    <w:rPr>
      <w:kern w:val="2"/>
      <w:sz w:val="18"/>
      <w:szCs w:val="18"/>
    </w:rPr>
  </w:style>
  <w:style w:type="character" w:customStyle="1" w:styleId="14">
    <w:name w:val="批注框文本 Char"/>
    <w:link w:val="3"/>
    <w:semiHidden/>
    <w:qFormat/>
    <w:uiPriority w:val="99"/>
    <w:rPr>
      <w:kern w:val="2"/>
      <w:sz w:val="18"/>
      <w:szCs w:val="18"/>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16">
    <w:name w:val="List Paragraph"/>
    <w:basedOn w:val="1"/>
    <w:qFormat/>
    <w:uiPriority w:val="34"/>
    <w:pPr>
      <w:ind w:firstLine="420" w:firstLineChars="200"/>
    </w:pPr>
    <w:rPr>
      <w:rFonts w:asciiTheme="minorHAnsi" w:hAnsiTheme="minorHAnsi" w:eastAsiaTheme="minorEastAsia" w:cstheme="minorBidi"/>
      <w:szCs w:val="22"/>
    </w:rPr>
  </w:style>
  <w:style w:type="paragraph" w:customStyle="1" w:styleId="17">
    <w:name w:val="Table Paragraph"/>
    <w:basedOn w:val="1"/>
    <w:qFormat/>
    <w:uiPriority w:val="1"/>
    <w:pPr>
      <w:spacing w:before="17"/>
      <w:ind w:left="107"/>
    </w:pPr>
    <w:rPr>
      <w:rFonts w:ascii="等线" w:hAnsi="等线" w:eastAsia="等线" w:cs="等线"/>
      <w:lang w:val="zh-CN" w:bidi="zh-CN"/>
    </w:rPr>
  </w:style>
  <w:style w:type="paragraph" w:customStyle="1" w:styleId="18">
    <w:name w:val="修订1"/>
    <w:hidden/>
    <w:semiHidden/>
    <w:qFormat/>
    <w:uiPriority w:val="99"/>
    <w:rPr>
      <w:rFonts w:ascii="Times New Roman" w:hAnsi="Times New Roman" w:eastAsia="宋体" w:cs="Times New Roman"/>
      <w:kern w:val="2"/>
      <w:sz w:val="21"/>
      <w:lang w:val="en-US" w:eastAsia="zh-CN" w:bidi="ar-SA"/>
    </w:rPr>
  </w:style>
  <w:style w:type="character" w:customStyle="1" w:styleId="19">
    <w:name w:val="批注文字 Char"/>
    <w:basedOn w:val="10"/>
    <w:link w:val="2"/>
    <w:semiHidden/>
    <w:qFormat/>
    <w:uiPriority w:val="99"/>
    <w:rPr>
      <w:rFonts w:ascii="Times New Roman" w:hAnsi="Times New Roman" w:eastAsia="宋体" w:cs="Times New Roman"/>
      <w:kern w:val="2"/>
      <w:sz w:val="21"/>
    </w:rPr>
  </w:style>
  <w:style w:type="character" w:customStyle="1" w:styleId="20">
    <w:name w:val="批注主题 Char"/>
    <w:basedOn w:val="19"/>
    <w:link w:val="7"/>
    <w:semiHidden/>
    <w:qFormat/>
    <w:uiPriority w:val="99"/>
    <w:rPr>
      <w:rFonts w:ascii="Times New Roman" w:hAnsi="Times New Roman" w:eastAsia="宋体" w:cs="Times New Roman"/>
      <w:b/>
      <w:bCs/>
      <w:kern w:val="2"/>
      <w:sz w:val="21"/>
    </w:rPr>
  </w:style>
  <w:style w:type="paragraph" w:customStyle="1" w:styleId="21">
    <w:name w:val="传神二级标题"/>
    <w:basedOn w:val="1"/>
    <w:qFormat/>
    <w:uiPriority w:val="0"/>
    <w:pPr>
      <w:spacing w:line="440" w:lineRule="exact"/>
    </w:pPr>
    <w:rPr>
      <w:rFonts w:ascii="微软雅黑" w:hAnsi="微软雅黑" w:eastAsia="微软雅黑"/>
      <w:b/>
    </w:rPr>
  </w:style>
  <w:style w:type="paragraph" w:customStyle="1" w:styleId="22">
    <w:name w:val="传神正文"/>
    <w:basedOn w:val="1"/>
    <w:qFormat/>
    <w:uiPriority w:val="0"/>
    <w:pPr>
      <w:spacing w:line="440" w:lineRule="exact"/>
      <w:ind w:firstLine="480" w:firstLineChars="200"/>
    </w:pPr>
    <w:rPr>
      <w:rFonts w:ascii="微软雅黑" w:hAnsi="微软雅黑" w:eastAsia="微软雅黑"/>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4ED4014-A17B-4C2B-B99A-2555123FAF8D}">
  <ds:schemaRefs/>
</ds:datastoreItem>
</file>

<file path=docProps/app.xml><?xml version="1.0" encoding="utf-8"?>
<Properties xmlns="http://schemas.openxmlformats.org/officeDocument/2006/extended-properties" xmlns:vt="http://schemas.openxmlformats.org/officeDocument/2006/docPropsVTypes">
  <Template>Normal.dotm</Template>
  <Company>beo</Company>
  <Pages>7</Pages>
  <Words>3544</Words>
  <Characters>3625</Characters>
  <Lines>27</Lines>
  <Paragraphs>7</Paragraphs>
  <TotalTime>7</TotalTime>
  <ScaleCrop>false</ScaleCrop>
  <LinksUpToDate>false</LinksUpToDate>
  <CharactersWithSpaces>3688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2023-09-15T07:11:00Z</dcterms:created>
  <dc:creator>zwm</dc:creator>
  <cp:lastModifiedBy>原东东</cp:lastModifiedBy>
  <cp:lastPrinted>2022-05-25T08:55:00Z</cp:lastPrinted>
  <dcterms:modified xsi:type="dcterms:W3CDTF">2025-10-29T12:35:07Z</dcterms:modified>
  <dc:title>合同登记编号：AL08/931-002/0401</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337EF5371C4A44BDA94B31B42813A532_13</vt:lpwstr>
  </property>
  <property fmtid="{D5CDD505-2E9C-101B-9397-08002B2CF9AE}" pid="4" name="KSOTemplateDocerSaveRecord">
    <vt:lpwstr>eyJoZGlkIjoiNGUwMWI0ZDFkYjdkZDUyZWY4ZjdmZGMxZGJmOTRhOTMiLCJ1c2VySWQiOiIyMzAzNzQ3NjMifQ==</vt:lpwstr>
  </property>
</Properties>
</file>