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6AC91">
      <w:pPr>
        <w:spacing w:line="560" w:lineRule="exact"/>
        <w:jc w:val="right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Times New Roman" w:eastAsia="仿宋_GB2312" w:cs="Times New Roman"/>
          <w:sz w:val="32"/>
          <w:szCs w:val="32"/>
        </w:rPr>
        <w:t>清深国院规〔2025〕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2号</w:t>
      </w:r>
    </w:p>
    <w:bookmarkEnd w:id="0"/>
    <w:p w14:paraId="6F7EAFAA">
      <w:pPr>
        <w:spacing w:line="560" w:lineRule="exact"/>
        <w:jc w:val="right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</w:p>
    <w:p w14:paraId="3D130161">
      <w:pPr>
        <w:spacing w:line="560" w:lineRule="exact"/>
        <w:jc w:val="center"/>
        <w:rPr>
          <w:rFonts w:ascii="方正小标宋简体" w:hAnsi="黑体" w:eastAsia="方正小标宋简体" w:cs="黑体"/>
          <w:sz w:val="36"/>
          <w:szCs w:val="36"/>
        </w:rPr>
      </w:pPr>
      <w:r>
        <w:rPr>
          <w:rFonts w:hint="eastAsia" w:ascii="方正小标宋简体" w:hAnsi="黑体" w:eastAsia="方正小标宋简体" w:cs="黑体"/>
          <w:sz w:val="36"/>
          <w:szCs w:val="36"/>
        </w:rPr>
        <w:t>清华大学深圳国际研究生院稳定支持项目</w:t>
      </w:r>
    </w:p>
    <w:p w14:paraId="34AE7EF3">
      <w:pPr>
        <w:spacing w:line="560" w:lineRule="exact"/>
        <w:jc w:val="center"/>
        <w:rPr>
          <w:rFonts w:ascii="方正小标宋简体" w:hAnsi="黑体" w:eastAsia="方正小标宋简体" w:cs="黑体"/>
          <w:sz w:val="36"/>
          <w:szCs w:val="36"/>
        </w:rPr>
      </w:pPr>
      <w:r>
        <w:rPr>
          <w:rFonts w:hint="eastAsia" w:ascii="方正小标宋简体" w:hAnsi="黑体" w:eastAsia="方正小标宋简体" w:cs="黑体"/>
          <w:sz w:val="36"/>
          <w:szCs w:val="36"/>
        </w:rPr>
        <w:t>过程与验收管理办法</w:t>
      </w:r>
    </w:p>
    <w:p w14:paraId="0A1DF939">
      <w:pPr>
        <w:spacing w:line="560" w:lineRule="exact"/>
        <w:jc w:val="center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二〇二〇年第二十一次院务会（2020年7月2日）讨论通过</w:t>
      </w:r>
    </w:p>
    <w:p w14:paraId="725BEEB5">
      <w:pPr>
        <w:spacing w:line="560" w:lineRule="exact"/>
        <w:jc w:val="center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二〇</w:t>
      </w:r>
      <w:r>
        <w:rPr>
          <w:rFonts w:hint="eastAsia" w:ascii="仿宋_GB2312" w:hAnsi="仿宋_GB2312" w:eastAsia="仿宋_GB2312" w:cs="仿宋_GB2312"/>
          <w:sz w:val="32"/>
          <w:szCs w:val="32"/>
        </w:rPr>
        <w:t>二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五年第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三十三</w:t>
      </w:r>
      <w:r>
        <w:rPr>
          <w:rFonts w:hint="eastAsia" w:ascii="仿宋_GB2312" w:hAnsi="Times New Roman" w:eastAsia="仿宋_GB2312" w:cs="Times New Roman"/>
          <w:sz w:val="32"/>
          <w:szCs w:val="32"/>
        </w:rPr>
        <w:t>次党政联席会议（2</w:t>
      </w:r>
      <w:r>
        <w:rPr>
          <w:rFonts w:ascii="仿宋_GB2312" w:hAnsi="Times New Roman" w:eastAsia="仿宋_GB2312" w:cs="Times New Roman"/>
          <w:sz w:val="32"/>
          <w:szCs w:val="32"/>
        </w:rPr>
        <w:t>025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</w:t>
      </w:r>
      <w:r>
        <w:rPr>
          <w:rFonts w:ascii="仿宋_GB2312" w:hAnsi="Times New Roman" w:eastAsia="仿宋_GB2312" w:cs="Times New Roman"/>
          <w:sz w:val="32"/>
          <w:szCs w:val="32"/>
        </w:rPr>
        <w:t>6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月</w:t>
      </w:r>
      <w:r>
        <w:rPr>
          <w:rFonts w:ascii="仿宋_GB2312" w:hAnsi="Times New Roman" w:eastAsia="仿宋_GB2312" w:cs="Times New Roman"/>
          <w:sz w:val="32"/>
          <w:szCs w:val="32"/>
        </w:rPr>
        <w:t>16</w:t>
      </w:r>
      <w:r>
        <w:rPr>
          <w:rFonts w:hint="eastAsia" w:ascii="仿宋_GB2312" w:hAnsi="Times New Roman" w:eastAsia="仿宋_GB2312" w:cs="Times New Roman"/>
          <w:sz w:val="32"/>
          <w:szCs w:val="32"/>
        </w:rPr>
        <w:t>日）修订</w:t>
      </w:r>
    </w:p>
    <w:p w14:paraId="38FC578A">
      <w:pPr>
        <w:spacing w:line="560" w:lineRule="exact"/>
        <w:jc w:val="center"/>
        <w:rPr>
          <w:rFonts w:ascii="仿宋_GB2312" w:hAnsi="Times New Roman" w:eastAsia="仿宋_GB2312" w:cs="Times New Roman"/>
          <w:sz w:val="32"/>
          <w:szCs w:val="32"/>
        </w:rPr>
      </w:pPr>
    </w:p>
    <w:p w14:paraId="724C8319">
      <w:pPr>
        <w:pStyle w:val="13"/>
        <w:numPr>
          <w:ilvl w:val="0"/>
          <w:numId w:val="1"/>
        </w:numPr>
        <w:spacing w:line="560" w:lineRule="exact"/>
        <w:ind w:firstLineChars="0"/>
        <w:jc w:val="center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总则</w:t>
      </w:r>
    </w:p>
    <w:p w14:paraId="53D63C42">
      <w:pPr>
        <w:pStyle w:val="13"/>
        <w:numPr>
          <w:ilvl w:val="0"/>
          <w:numId w:val="2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为进一步加强清华大学深圳国际研究生院（以下简称学院）稳定支持项目过程管理，规范项目验收程序，根据国家、广东省有关规定以及《深圳市科技计划项目验收管理办法》有关内容，结合学院实际情况，制定本办法。</w:t>
      </w:r>
    </w:p>
    <w:p w14:paraId="0D3175B1">
      <w:pPr>
        <w:pStyle w:val="13"/>
        <w:numPr>
          <w:ilvl w:val="0"/>
          <w:numId w:val="2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本办法适用于学院稳定支持项目的过程管理和验收。</w:t>
      </w:r>
    </w:p>
    <w:p w14:paraId="78C785ED">
      <w:pPr>
        <w:pStyle w:val="13"/>
        <w:numPr>
          <w:ilvl w:val="0"/>
          <w:numId w:val="2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根据项目合同书（任务书）、项目批复文件或者其他立项（备案）文件、相关项目管理办法和资金管理办法等，进行过程管理和验收。</w:t>
      </w:r>
    </w:p>
    <w:p w14:paraId="4CB011A5">
      <w:pPr>
        <w:pStyle w:val="13"/>
        <w:numPr>
          <w:ilvl w:val="0"/>
          <w:numId w:val="2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科研处负责全面统筹项目过程管理和验收工作，财务办公室（以下简称财务办）负责项目资金监管工作。</w:t>
      </w:r>
      <w:r>
        <w:rPr>
          <w:rFonts w:hint="eastAsia" w:ascii="仿宋_GB2312" w:hAnsi="宋体" w:eastAsia="仿宋_GB2312"/>
          <w:sz w:val="32"/>
          <w:szCs w:val="32"/>
        </w:rPr>
        <w:br w:type="textWrapping"/>
      </w:r>
      <w:r>
        <w:rPr>
          <w:rFonts w:hint="eastAsia" w:ascii="仿宋_GB2312" w:hAnsi="宋体" w:eastAsia="仿宋_GB2312"/>
          <w:sz w:val="32"/>
          <w:szCs w:val="32"/>
        </w:rPr>
        <w:t xml:space="preserve">    科研处主要职责：</w:t>
      </w:r>
    </w:p>
    <w:p w14:paraId="62D37804">
      <w:pPr>
        <w:pStyle w:val="13"/>
        <w:numPr>
          <w:ilvl w:val="1"/>
          <w:numId w:val="1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对项目实施过程进行监管，发布验收通知。</w:t>
      </w:r>
    </w:p>
    <w:p w14:paraId="6DA8E7D3">
      <w:pPr>
        <w:pStyle w:val="13"/>
        <w:numPr>
          <w:ilvl w:val="1"/>
          <w:numId w:val="1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审核项目申请人提出的项目变更申请、撤销申请，并向深圳市科技行政主管部门报备。</w:t>
      </w:r>
    </w:p>
    <w:p w14:paraId="58C447C3">
      <w:pPr>
        <w:pStyle w:val="13"/>
        <w:numPr>
          <w:ilvl w:val="1"/>
          <w:numId w:val="1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审核项目负责人提交的项目验收材料。</w:t>
      </w:r>
    </w:p>
    <w:p w14:paraId="5A3D7A05">
      <w:pPr>
        <w:pStyle w:val="13"/>
        <w:numPr>
          <w:ilvl w:val="1"/>
          <w:numId w:val="1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组织过程管理和会议验收。</w:t>
      </w:r>
    </w:p>
    <w:p w14:paraId="0733B708">
      <w:pPr>
        <w:pStyle w:val="13"/>
        <w:numPr>
          <w:ilvl w:val="1"/>
          <w:numId w:val="1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协调项目过程管理和验收其他相关事项。</w:t>
      </w:r>
    </w:p>
    <w:p w14:paraId="02EA38DF">
      <w:pPr>
        <w:pStyle w:val="13"/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财务办主要职责：</w:t>
      </w:r>
    </w:p>
    <w:p w14:paraId="30FEE858">
      <w:pPr>
        <w:pStyle w:val="13"/>
        <w:numPr>
          <w:ilvl w:val="0"/>
          <w:numId w:val="3"/>
        </w:num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对项目经费实施全过程的预算管理和资金管控。</w:t>
      </w:r>
    </w:p>
    <w:p w14:paraId="00C9754D">
      <w:pPr>
        <w:pStyle w:val="13"/>
        <w:numPr>
          <w:ilvl w:val="0"/>
          <w:numId w:val="3"/>
        </w:num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审核项目负责人提交的财务验收材料。</w:t>
      </w:r>
    </w:p>
    <w:p w14:paraId="22D7140C">
      <w:pPr>
        <w:pStyle w:val="13"/>
        <w:numPr>
          <w:ilvl w:val="0"/>
          <w:numId w:val="3"/>
        </w:num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提供项目财务数据及资料，配合科研处向主管部门上报经费使用情况。</w:t>
      </w:r>
    </w:p>
    <w:p w14:paraId="5F74A545">
      <w:pPr>
        <w:pStyle w:val="13"/>
        <w:numPr>
          <w:ilvl w:val="0"/>
          <w:numId w:val="3"/>
        </w:num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协调处理项目资金使用及验收的相关财务事宜。</w:t>
      </w:r>
    </w:p>
    <w:p w14:paraId="791608A3">
      <w:pPr>
        <w:pStyle w:val="13"/>
        <w:numPr>
          <w:ilvl w:val="0"/>
          <w:numId w:val="2"/>
        </w:numPr>
        <w:adjustRightInd w:val="0"/>
        <w:snapToGrid w:val="0"/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项目负责人职责</w:t>
      </w:r>
    </w:p>
    <w:p w14:paraId="6D2913AD">
      <w:pPr>
        <w:pStyle w:val="13"/>
        <w:numPr>
          <w:ilvl w:val="0"/>
          <w:numId w:val="4"/>
        </w:num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项目负责人是项目实施的第一责任人，要切实履行对项目组、资金、科研诚信、安全和伦理等的管理责任。 </w:t>
      </w:r>
    </w:p>
    <w:p w14:paraId="2CFDC84E">
      <w:pPr>
        <w:pStyle w:val="13"/>
        <w:numPr>
          <w:ilvl w:val="0"/>
          <w:numId w:val="4"/>
        </w:num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按照合同书（任务书）、批复文件或其他立项（备案）文件规定的期限完成项目，按照规定使用资金，按时提出项目验收申请。</w:t>
      </w:r>
    </w:p>
    <w:p w14:paraId="1D97733B">
      <w:pPr>
        <w:pStyle w:val="13"/>
        <w:numPr>
          <w:ilvl w:val="0"/>
          <w:numId w:val="4"/>
        </w:num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如项目发生变化，按规定时限提出项目变更申请或撤销申请。</w:t>
      </w:r>
    </w:p>
    <w:p w14:paraId="1CA055C8">
      <w:pPr>
        <w:pStyle w:val="13"/>
        <w:numPr>
          <w:ilvl w:val="0"/>
          <w:numId w:val="4"/>
        </w:numPr>
        <w:adjustRightInd w:val="0"/>
        <w:snapToGrid w:val="0"/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配合主管部门及单位实施项目过程管理工作，定期报送项目实施情况。</w:t>
      </w:r>
    </w:p>
    <w:p w14:paraId="4AB1A44E">
      <w:pPr>
        <w:pStyle w:val="13"/>
        <w:numPr>
          <w:ilvl w:val="0"/>
          <w:numId w:val="4"/>
        </w:num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对验收材料的真实性、准确性、合法性负责。</w:t>
      </w:r>
    </w:p>
    <w:p w14:paraId="7D9A959A">
      <w:pPr>
        <w:pStyle w:val="13"/>
        <w:numPr>
          <w:ilvl w:val="0"/>
          <w:numId w:val="4"/>
        </w:num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承担相应违规责任后果，包括但不限于退款、行政处罚等相关处理形式。 </w:t>
      </w:r>
    </w:p>
    <w:p w14:paraId="668B455B">
      <w:pPr>
        <w:pStyle w:val="13"/>
        <w:numPr>
          <w:ilvl w:val="0"/>
          <w:numId w:val="2"/>
        </w:numPr>
        <w:adjustRightInd w:val="0"/>
        <w:snapToGrid w:val="0"/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过程管理和验收工作应当依法依规、客观公正、科学规范、重质求效，鼓励创新、宽容失败。</w:t>
      </w:r>
    </w:p>
    <w:p w14:paraId="0FE0CEDB">
      <w:pPr>
        <w:pStyle w:val="13"/>
        <w:numPr>
          <w:ilvl w:val="0"/>
          <w:numId w:val="1"/>
        </w:numPr>
        <w:spacing w:line="560" w:lineRule="exact"/>
        <w:ind w:firstLineChars="0"/>
        <w:jc w:val="center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过程管理</w:t>
      </w:r>
    </w:p>
    <w:p w14:paraId="53C7D86D">
      <w:pPr>
        <w:pStyle w:val="13"/>
        <w:numPr>
          <w:ilvl w:val="0"/>
          <w:numId w:val="2"/>
        </w:numPr>
        <w:adjustRightInd w:val="0"/>
        <w:snapToGrid w:val="0"/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科研处对项目实施追踪管理，建立动态管理机制，对资金使用异常和合同书（任务书）执行异常的项目加强监管，提供项目动态调整意见。</w:t>
      </w:r>
    </w:p>
    <w:p w14:paraId="6078532F">
      <w:pPr>
        <w:pStyle w:val="13"/>
        <w:numPr>
          <w:ilvl w:val="0"/>
          <w:numId w:val="2"/>
        </w:numPr>
        <w:adjustRightInd w:val="0"/>
        <w:snapToGrid w:val="0"/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对于实施周期两年的项目，一般不开展中期检查，另有规定的按相关规定执行。科研处根据项目管理实际需要，可以要求项目负责人定期报告项目执行情况。</w:t>
      </w:r>
    </w:p>
    <w:p w14:paraId="2D666894">
      <w:pPr>
        <w:pStyle w:val="13"/>
        <w:adjustRightInd w:val="0"/>
        <w:snapToGrid w:val="0"/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对于实施周期三年以上（含三年）的项目，在项目实施一年后至少开展中期检查1次。</w:t>
      </w:r>
    </w:p>
    <w:p w14:paraId="32087A4D">
      <w:pPr>
        <w:pStyle w:val="13"/>
        <w:adjustRightInd w:val="0"/>
        <w:snapToGrid w:val="0"/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科研处根据职责和工作需要，制定年度检查工作计划，明确检查对象、内容、时间、方式、实施主体和结果要求等。 </w:t>
      </w:r>
    </w:p>
    <w:p w14:paraId="18019675">
      <w:pPr>
        <w:pStyle w:val="13"/>
        <w:numPr>
          <w:ilvl w:val="0"/>
          <w:numId w:val="2"/>
        </w:numPr>
        <w:adjustRightInd w:val="0"/>
        <w:snapToGrid w:val="0"/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针对检查中发现的问题，科研处按照本办法规定下达检查结果和整改建议。项目负责人应当在整改通知规定的期限内完成整改，并将整改结果书面报告科研处。</w:t>
      </w:r>
    </w:p>
    <w:p w14:paraId="0C3FAB4F">
      <w:pPr>
        <w:pStyle w:val="13"/>
        <w:numPr>
          <w:ilvl w:val="0"/>
          <w:numId w:val="2"/>
        </w:numPr>
        <w:adjustRightInd w:val="0"/>
        <w:snapToGrid w:val="0"/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对有违法违规行为的项目负责人、项目组其他成员，科研处可以采取诫勉谈话、通报批评、暂停项目拨款、终止项目执行并追回已拨付项目资金、一定期限直至永久取消其申报项目资格等处理处罚措施。涉嫌违纪的移交学院纪检部门处理，涉嫌违法犯罪的移交司法机关处理。</w:t>
      </w:r>
    </w:p>
    <w:p w14:paraId="6AFBA443">
      <w:pPr>
        <w:pStyle w:val="13"/>
        <w:numPr>
          <w:ilvl w:val="0"/>
          <w:numId w:val="2"/>
        </w:numPr>
        <w:tabs>
          <w:tab w:val="left" w:pos="1560"/>
        </w:tabs>
        <w:adjustRightInd w:val="0"/>
        <w:snapToGrid w:val="0"/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项目实施期内，项目合同书（任务书）内容一般不做调整。具有下列情形之一的，项目负责人应在3个月内，按规定程序就合同相关内容向科研处提出变更申请。未在规定时限内申请变更的，科研处不予受理。相同项目在其合同执行期内，最多只能核准3种信息变更，每种变更最多核准1次。如擅自变更项目信息且导致本项目不能顺利通过验收，项目负责人应承担相应责任。</w:t>
      </w:r>
    </w:p>
    <w:p w14:paraId="0CAA9BC7">
      <w:pPr>
        <w:pStyle w:val="13"/>
        <w:numPr>
          <w:ilvl w:val="0"/>
          <w:numId w:val="5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项目负责人因工作调动、出国（境）、死亡伤病或其他重大原因无法继续履行工作职责的。</w:t>
      </w:r>
    </w:p>
    <w:p w14:paraId="2FCA5DB1">
      <w:pPr>
        <w:pStyle w:val="13"/>
        <w:numPr>
          <w:ilvl w:val="0"/>
          <w:numId w:val="5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因客观原因，项目执行进度被迫延迟的，只可申请变更1次且延长期不超过1年。</w:t>
      </w:r>
    </w:p>
    <w:p w14:paraId="3674FC21">
      <w:pPr>
        <w:pStyle w:val="13"/>
        <w:numPr>
          <w:ilvl w:val="0"/>
          <w:numId w:val="5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其他需要学院批准变更的情形。</w:t>
      </w:r>
    </w:p>
    <w:p w14:paraId="1B470EB6">
      <w:pPr>
        <w:pStyle w:val="13"/>
        <w:adjustRightInd w:val="0"/>
        <w:snapToGrid w:val="0"/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因不可抗力、外部环境发生重大变化的，可主动变更合同书（任务书），减轻或者免除项目负责人和项目组其他成员相关责任。</w:t>
      </w:r>
    </w:p>
    <w:p w14:paraId="51FE1F6C">
      <w:pPr>
        <w:pStyle w:val="7"/>
        <w:numPr>
          <w:ilvl w:val="0"/>
          <w:numId w:val="2"/>
        </w:numPr>
        <w:tabs>
          <w:tab w:val="left" w:pos="1560"/>
        </w:tabs>
        <w:spacing w:before="0" w:beforeAutospacing="0" w:after="0" w:afterAutospacing="0" w:line="560" w:lineRule="exact"/>
        <w:ind w:left="0"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因客观原因导致项目无法实施的，项目负责人可以向科研处申请撤销项目，并提交以下材料：</w:t>
      </w:r>
    </w:p>
    <w:p w14:paraId="73CCC18F">
      <w:pPr>
        <w:pStyle w:val="13"/>
        <w:numPr>
          <w:ilvl w:val="0"/>
          <w:numId w:val="6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撤销项目申请书</w:t>
      </w:r>
    </w:p>
    <w:p w14:paraId="414DA507">
      <w:pPr>
        <w:pStyle w:val="13"/>
        <w:numPr>
          <w:ilvl w:val="0"/>
          <w:numId w:val="6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项目执行情况总结</w:t>
      </w:r>
    </w:p>
    <w:p w14:paraId="0BF05FCC">
      <w:pPr>
        <w:pStyle w:val="13"/>
        <w:numPr>
          <w:ilvl w:val="0"/>
          <w:numId w:val="6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撤销事由相关证明材料</w:t>
      </w:r>
    </w:p>
    <w:p w14:paraId="0DEDA834">
      <w:pPr>
        <w:pStyle w:val="6"/>
        <w:numPr>
          <w:ilvl w:val="0"/>
          <w:numId w:val="7"/>
        </w:numPr>
        <w:spacing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项目负责人提交的撤销项目申请经科研处审核同意后，项目负责人应当退回全部资助资金。项目撤销后，原合同书（任务书）不再执行。</w:t>
      </w:r>
    </w:p>
    <w:p w14:paraId="4877AB91">
      <w:pPr>
        <w:pStyle w:val="6"/>
        <w:numPr>
          <w:ilvl w:val="0"/>
          <w:numId w:val="7"/>
        </w:numPr>
        <w:spacing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具有下列情形之一的，可以终止项目:</w:t>
      </w:r>
    </w:p>
    <w:p w14:paraId="16DE37FE">
      <w:pPr>
        <w:pStyle w:val="13"/>
        <w:numPr>
          <w:ilvl w:val="0"/>
          <w:numId w:val="8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项目负责人、项目组其他成员在项目技术开发、经费使用、科研诚信、安全、伦理等方面出现重大违法违规行为，导致项目实施无法进行或面临重大风险的。</w:t>
      </w:r>
    </w:p>
    <w:p w14:paraId="67065104">
      <w:pPr>
        <w:pStyle w:val="13"/>
        <w:numPr>
          <w:ilvl w:val="0"/>
          <w:numId w:val="8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对中期检查结果拒不整改或整改无效的。</w:t>
      </w:r>
    </w:p>
    <w:p w14:paraId="781B96B6">
      <w:pPr>
        <w:pStyle w:val="13"/>
        <w:numPr>
          <w:ilvl w:val="0"/>
          <w:numId w:val="8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非法挪用、侵占、冒领、截留研发资金的。</w:t>
      </w:r>
    </w:p>
    <w:p w14:paraId="451682A4">
      <w:pPr>
        <w:pStyle w:val="13"/>
        <w:numPr>
          <w:ilvl w:val="0"/>
          <w:numId w:val="8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失信联合惩戒对项目有重大影响的。</w:t>
      </w:r>
    </w:p>
    <w:p w14:paraId="3B6BD377">
      <w:pPr>
        <w:pStyle w:val="13"/>
        <w:numPr>
          <w:ilvl w:val="0"/>
          <w:numId w:val="8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导致项目无法实施的其他情形。</w:t>
      </w:r>
    </w:p>
    <w:p w14:paraId="0C4E2E7E">
      <w:pPr>
        <w:pStyle w:val="6"/>
        <w:numPr>
          <w:ilvl w:val="0"/>
          <w:numId w:val="7"/>
        </w:numPr>
        <w:spacing w:line="560" w:lineRule="exact"/>
        <w:ind w:left="0"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项目经单位终止的，单位停止后续资助，除已经审计用于本项目研发活动外的，收回财政资金，并按照科研诚信管理规定进行处理。</w:t>
      </w:r>
    </w:p>
    <w:p w14:paraId="352E0504">
      <w:pPr>
        <w:pStyle w:val="13"/>
        <w:numPr>
          <w:ilvl w:val="0"/>
          <w:numId w:val="1"/>
        </w:numPr>
        <w:spacing w:line="560" w:lineRule="exact"/>
        <w:ind w:firstLineChars="0"/>
        <w:jc w:val="center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验收管理</w:t>
      </w:r>
    </w:p>
    <w:p w14:paraId="77A1FCDB">
      <w:pPr>
        <w:pStyle w:val="6"/>
        <w:numPr>
          <w:ilvl w:val="0"/>
          <w:numId w:val="7"/>
        </w:numPr>
        <w:spacing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项目到期后6个月内，项目负责人应按规定提出验收申请，由科研处组织完成结题验收。</w:t>
      </w:r>
      <w:r>
        <w:rPr>
          <w:rFonts w:hint="eastAsia" w:ascii="仿宋_GB2312" w:eastAsia="仿宋_GB2312" w:cs="仿宋_GB2312"/>
          <w:sz w:val="32"/>
          <w:szCs w:val="32"/>
        </w:rPr>
        <w:t xml:space="preserve"> </w:t>
      </w:r>
    </w:p>
    <w:p w14:paraId="6621014E">
      <w:pPr>
        <w:pStyle w:val="6"/>
        <w:numPr>
          <w:ilvl w:val="0"/>
          <w:numId w:val="7"/>
        </w:numPr>
        <w:spacing w:line="560" w:lineRule="exact"/>
        <w:ind w:left="0"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验收的主要内容是对技术参数、知识产权、人员培养和经济等各项指标的完成情况，以及经费管理、使用的合规性等事项进行评价。</w:t>
      </w:r>
    </w:p>
    <w:p w14:paraId="25260548">
      <w:pPr>
        <w:pStyle w:val="6"/>
        <w:numPr>
          <w:ilvl w:val="0"/>
          <w:numId w:val="7"/>
        </w:numPr>
        <w:spacing w:line="560" w:lineRule="exact"/>
        <w:ind w:left="0"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项目验收程序</w:t>
      </w:r>
    </w:p>
    <w:p w14:paraId="4FCF6A0C">
      <w:pPr>
        <w:pStyle w:val="13"/>
        <w:numPr>
          <w:ilvl w:val="0"/>
          <w:numId w:val="9"/>
        </w:numPr>
        <w:spacing w:line="560" w:lineRule="exact"/>
        <w:ind w:left="0"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项目负责人提交验收申请。</w:t>
      </w:r>
    </w:p>
    <w:p w14:paraId="3561D575">
      <w:pPr>
        <w:pStyle w:val="7"/>
        <w:numPr>
          <w:ilvl w:val="0"/>
          <w:numId w:val="9"/>
        </w:numPr>
        <w:spacing w:before="0" w:beforeAutospacing="0" w:after="0" w:afterAutospacing="0" w:line="560" w:lineRule="exact"/>
        <w:ind w:left="0"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科研处在10个工作日内对申请材料进行形式审查，给予通过或退回。</w:t>
      </w:r>
    </w:p>
    <w:p w14:paraId="3F66BCA4">
      <w:pPr>
        <w:pStyle w:val="7"/>
        <w:numPr>
          <w:ilvl w:val="0"/>
          <w:numId w:val="9"/>
        </w:numPr>
        <w:spacing w:before="0" w:beforeAutospacing="0" w:after="0" w:afterAutospacing="0" w:line="560" w:lineRule="exact"/>
        <w:ind w:left="0"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形式审查通过的，项目负责人应在本办法规定的验收申请期限内递交申请材料。</w:t>
      </w:r>
    </w:p>
    <w:p w14:paraId="782D8538">
      <w:pPr>
        <w:pStyle w:val="7"/>
        <w:numPr>
          <w:ilvl w:val="0"/>
          <w:numId w:val="9"/>
        </w:numPr>
        <w:spacing w:before="0" w:beforeAutospacing="0" w:after="0" w:afterAutospacing="0" w:line="560" w:lineRule="exact"/>
        <w:ind w:left="0"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科研处组织专家对项目进行验收。</w:t>
      </w:r>
    </w:p>
    <w:p w14:paraId="64CBC7B3">
      <w:pPr>
        <w:pStyle w:val="7"/>
        <w:numPr>
          <w:ilvl w:val="0"/>
          <w:numId w:val="9"/>
        </w:numPr>
        <w:spacing w:before="0" w:beforeAutospacing="0" w:after="0" w:afterAutospacing="0" w:line="560" w:lineRule="exact"/>
        <w:ind w:left="0"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专家组对项目实施情况提出项目验收结论。验收专家组在验收过程中认为项目需要补充材料的，项目负责人应当在3</w:t>
      </w:r>
      <w:r>
        <w:rPr>
          <w:rFonts w:ascii="仿宋_GB2312" w:eastAsia="仿宋_GB2312" w:cs="仿宋_GB2312"/>
          <w:sz w:val="32"/>
          <w:szCs w:val="32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 xml:space="preserve">日内按要求补充，并轮候下一批次验收，逾期未提交的视为放弃材料补充机会。每个项目仅有一次补充材料机会。 </w:t>
      </w:r>
    </w:p>
    <w:p w14:paraId="7EDEEDA2">
      <w:pPr>
        <w:pStyle w:val="7"/>
        <w:numPr>
          <w:ilvl w:val="0"/>
          <w:numId w:val="9"/>
        </w:numPr>
        <w:spacing w:before="0" w:beforeAutospacing="0" w:after="0" w:afterAutospacing="0" w:line="560" w:lineRule="exact"/>
        <w:ind w:left="0"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科研处确定验收结论，在院内公示10天。</w:t>
      </w:r>
    </w:p>
    <w:p w14:paraId="1ECB2DD5">
      <w:pPr>
        <w:pStyle w:val="7"/>
        <w:numPr>
          <w:ilvl w:val="0"/>
          <w:numId w:val="9"/>
        </w:numPr>
        <w:spacing w:before="0" w:beforeAutospacing="0" w:after="0" w:afterAutospacing="0" w:line="560" w:lineRule="exact"/>
        <w:ind w:left="0"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科研处向项目负责人反馈验收结论，同时提交主管部门备案。 </w:t>
      </w:r>
    </w:p>
    <w:p w14:paraId="3C722C8F">
      <w:pPr>
        <w:pStyle w:val="6"/>
        <w:numPr>
          <w:ilvl w:val="0"/>
          <w:numId w:val="7"/>
        </w:numPr>
        <w:spacing w:line="560" w:lineRule="exact"/>
        <w:ind w:left="0"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项目负责人申请验收时应提供相关纸质资料，包括但不限于：</w:t>
      </w:r>
    </w:p>
    <w:p w14:paraId="26543171">
      <w:pPr>
        <w:pStyle w:val="7"/>
        <w:numPr>
          <w:ilvl w:val="0"/>
          <w:numId w:val="10"/>
        </w:numPr>
        <w:spacing w:before="0" w:beforeAutospacing="0" w:after="0" w:afterAutospacing="0"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验收申请书</w:t>
      </w:r>
    </w:p>
    <w:p w14:paraId="2949C0B5">
      <w:pPr>
        <w:pStyle w:val="7"/>
        <w:numPr>
          <w:ilvl w:val="0"/>
          <w:numId w:val="10"/>
        </w:numPr>
        <w:spacing w:before="0" w:beforeAutospacing="0" w:after="0" w:afterAutospacing="0"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科技报告</w:t>
      </w:r>
    </w:p>
    <w:p w14:paraId="5F0AAC48">
      <w:pPr>
        <w:pStyle w:val="7"/>
        <w:numPr>
          <w:ilvl w:val="0"/>
          <w:numId w:val="10"/>
        </w:numPr>
        <w:spacing w:before="0" w:beforeAutospacing="0" w:after="0" w:afterAutospacing="0"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证明合同书（任务书）约定指标完成情况的相关材料</w:t>
      </w:r>
    </w:p>
    <w:p w14:paraId="50CDBAFF">
      <w:pPr>
        <w:pStyle w:val="7"/>
        <w:numPr>
          <w:ilvl w:val="0"/>
          <w:numId w:val="10"/>
        </w:numPr>
        <w:spacing w:before="0" w:beforeAutospacing="0" w:after="0" w:afterAutospacing="0"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项目专项审计报告或项目决算表及相关收支证明</w:t>
      </w:r>
    </w:p>
    <w:p w14:paraId="5BD0BE62">
      <w:pPr>
        <w:pStyle w:val="7"/>
        <w:numPr>
          <w:ilvl w:val="0"/>
          <w:numId w:val="10"/>
        </w:numPr>
        <w:spacing w:before="0" w:beforeAutospacing="0" w:after="0" w:afterAutospacing="0"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其他主管部门要求提供的验收材料</w:t>
      </w:r>
    </w:p>
    <w:p w14:paraId="6887632F">
      <w:pPr>
        <w:pStyle w:val="6"/>
        <w:numPr>
          <w:ilvl w:val="0"/>
          <w:numId w:val="7"/>
        </w:numPr>
        <w:spacing w:line="560" w:lineRule="exact"/>
        <w:ind w:left="0" w:firstLine="640" w:firstLineChars="200"/>
        <w:jc w:val="both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验收以材料审查、集中答辩等方式进行</w:t>
      </w:r>
    </w:p>
    <w:p w14:paraId="0E021947">
      <w:pPr>
        <w:pStyle w:val="7"/>
        <w:numPr>
          <w:ilvl w:val="0"/>
          <w:numId w:val="11"/>
        </w:numPr>
        <w:spacing w:before="0" w:beforeAutospacing="0" w:after="0" w:afterAutospacing="0" w:line="560" w:lineRule="exact"/>
        <w:ind w:left="0"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面上项目可采用材料审查验收，由科研处组织专家，通过审核材料、讨论等程序形成专家组验收意见。重点项目适用于集中答辩验收或现场核查验收，由科研处组织专家召开会议，经项目负责人汇报项目完成情况、专家质询、讨论等程序形成专家组验收意见。</w:t>
      </w:r>
    </w:p>
    <w:p w14:paraId="54ADD4D9">
      <w:pPr>
        <w:pStyle w:val="7"/>
        <w:numPr>
          <w:ilvl w:val="0"/>
          <w:numId w:val="11"/>
        </w:numPr>
        <w:tabs>
          <w:tab w:val="left" w:pos="1276"/>
          <w:tab w:val="left" w:pos="1418"/>
        </w:tabs>
        <w:spacing w:before="0" w:beforeAutospacing="0" w:after="0" w:afterAutospacing="0" w:line="560" w:lineRule="exact"/>
        <w:ind w:left="0" w:firstLine="640" w:firstLineChars="200"/>
        <w:jc w:val="both"/>
        <w:rPr>
          <w:rFonts w:ascii="仿宋_GB2312" w:eastAsia="仿宋_GB2312"/>
          <w:bCs/>
          <w:kern w:val="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项目验收专家组应由相关领域技术和财务专家组成。验收专家组成员人数一般为5人或者5人以上的单数，其中应当至少有1名财务专家。验收专家应当依照项目验收规定，独立、客观、公正地对项目作出验收评价意见。科研处参考综合专家验收评价，对项目验收最终确定结论。</w:t>
      </w:r>
    </w:p>
    <w:p w14:paraId="6D0F2110">
      <w:pPr>
        <w:pStyle w:val="6"/>
        <w:numPr>
          <w:ilvl w:val="0"/>
          <w:numId w:val="7"/>
        </w:numPr>
        <w:spacing w:line="560" w:lineRule="exact"/>
        <w:ind w:left="0"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验收结论分为通过、结题和不通过三种。</w:t>
      </w:r>
    </w:p>
    <w:p w14:paraId="42331E89">
      <w:pPr>
        <w:pStyle w:val="7"/>
        <w:numPr>
          <w:ilvl w:val="0"/>
          <w:numId w:val="12"/>
        </w:numPr>
        <w:spacing w:before="0" w:beforeAutospacing="0" w:after="0" w:afterAutospacing="0"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具有下列情形之一的，认定为验收“通过”：</w:t>
      </w:r>
    </w:p>
    <w:p w14:paraId="3D628A0C">
      <w:pPr>
        <w:pStyle w:val="7"/>
        <w:numPr>
          <w:ilvl w:val="255"/>
          <w:numId w:val="0"/>
        </w:numPr>
        <w:spacing w:before="0" w:beforeAutospacing="0" w:after="0" w:afterAutospacing="0" w:line="560" w:lineRule="exact"/>
        <w:ind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1.项目达到研究目的，按期按质完成合同书（任务书）约定研究内容和指标的；</w:t>
      </w:r>
    </w:p>
    <w:p w14:paraId="3BA68FA2">
      <w:pPr>
        <w:pStyle w:val="7"/>
        <w:numPr>
          <w:ilvl w:val="255"/>
          <w:numId w:val="0"/>
        </w:numPr>
        <w:spacing w:before="0" w:beforeAutospacing="0" w:after="0" w:afterAutospacing="0" w:line="560" w:lineRule="exact"/>
        <w:ind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2.验收专家组认为虽未完成合同书（任务书）约定指标，但在资助项目相关领域有重大突破或者重大代表性成果的。 </w:t>
      </w:r>
    </w:p>
    <w:p w14:paraId="52B36896">
      <w:pPr>
        <w:pStyle w:val="7"/>
        <w:numPr>
          <w:ilvl w:val="0"/>
          <w:numId w:val="12"/>
        </w:numPr>
        <w:spacing w:before="0" w:beforeAutospacing="0" w:after="0" w:afterAutospacing="0"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具有下列情形之一的，认定为验收“结题”： </w:t>
      </w:r>
    </w:p>
    <w:p w14:paraId="5A7EC50F">
      <w:pPr>
        <w:pStyle w:val="7"/>
        <w:numPr>
          <w:ilvl w:val="255"/>
          <w:numId w:val="0"/>
        </w:numPr>
        <w:spacing w:before="0" w:beforeAutospacing="0" w:after="0" w:afterAutospacing="0" w:line="560" w:lineRule="exact"/>
        <w:ind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1.因不可抗拒因素导致合同书（任务书）规定的学术、技术及经济等指标无法完成，但已按合同书（任务书）相关要求开展研发工作，履行勤勉义务的；</w:t>
      </w:r>
    </w:p>
    <w:p w14:paraId="6D30050E">
      <w:pPr>
        <w:pStyle w:val="7"/>
        <w:numPr>
          <w:ilvl w:val="255"/>
          <w:numId w:val="0"/>
        </w:numPr>
        <w:spacing w:before="0" w:beforeAutospacing="0" w:after="0" w:afterAutospacing="0" w:line="560" w:lineRule="exact"/>
        <w:ind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2.验收专家组认为虽未完成合同书（任务书）约定指标，但在资助项目相关领域有较大突破或者较大代表性成果的。</w:t>
      </w:r>
    </w:p>
    <w:p w14:paraId="488CD38B">
      <w:pPr>
        <w:pStyle w:val="7"/>
        <w:numPr>
          <w:ilvl w:val="0"/>
          <w:numId w:val="12"/>
        </w:numPr>
        <w:tabs>
          <w:tab w:val="left" w:pos="1134"/>
        </w:tabs>
        <w:spacing w:before="0" w:beforeAutospacing="0" w:after="0" w:afterAutospacing="0"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具有下列情形之一的，认定为验收“不通过”: </w:t>
      </w:r>
    </w:p>
    <w:p w14:paraId="061F7DB6">
      <w:pPr>
        <w:pStyle w:val="7"/>
        <w:numPr>
          <w:ilvl w:val="255"/>
          <w:numId w:val="0"/>
        </w:numPr>
        <w:spacing w:before="0" w:beforeAutospacing="0" w:after="0" w:afterAutospacing="0" w:line="560" w:lineRule="exact"/>
        <w:ind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1.合同书（任务书）规定的学术、技术及经济等指标未完成，且未按合同书（任务书）相关要求开展研发工作，未履行勤勉义务的；</w:t>
      </w:r>
    </w:p>
    <w:p w14:paraId="3128EB62">
      <w:pPr>
        <w:pStyle w:val="7"/>
        <w:numPr>
          <w:ilvl w:val="255"/>
          <w:numId w:val="0"/>
        </w:numPr>
        <w:spacing w:before="0" w:beforeAutospacing="0" w:after="0" w:afterAutospacing="0" w:line="560" w:lineRule="exact"/>
        <w:ind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2.提供的验收材料、数据存在抄袭、弄虚作假、违反科研伦理要求等科研诚信问题的；</w:t>
      </w:r>
    </w:p>
    <w:p w14:paraId="7FCC2C44">
      <w:pPr>
        <w:pStyle w:val="7"/>
        <w:numPr>
          <w:ilvl w:val="255"/>
          <w:numId w:val="0"/>
        </w:numPr>
        <w:spacing w:before="0" w:beforeAutospacing="0" w:after="0" w:afterAutospacing="0" w:line="560" w:lineRule="exact"/>
        <w:ind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3.其他违反项目管理、资金管理相关规定，导致验收不通过的情形。</w:t>
      </w:r>
    </w:p>
    <w:p w14:paraId="2C4DDFC3">
      <w:pPr>
        <w:pStyle w:val="6"/>
        <w:numPr>
          <w:ilvl w:val="0"/>
          <w:numId w:val="7"/>
        </w:numPr>
        <w:spacing w:line="560" w:lineRule="exact"/>
        <w:ind w:left="0"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财务办为每个项目设立专账进行财务核算，项目负责人不得使用同一支出事项重复申报项目。</w:t>
      </w:r>
    </w:p>
    <w:p w14:paraId="441CD3AA">
      <w:pPr>
        <w:pStyle w:val="6"/>
        <w:numPr>
          <w:ilvl w:val="0"/>
          <w:numId w:val="7"/>
        </w:numPr>
        <w:spacing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验收完成后，</w:t>
      </w:r>
      <w:r>
        <w:rPr>
          <w:rFonts w:hint="eastAsia" w:ascii="仿宋_GB2312" w:eastAsia="仿宋_GB2312"/>
          <w:sz w:val="32"/>
          <w:szCs w:val="32"/>
        </w:rPr>
        <w:t>科研处按批次在院内公示验收结果，并将验收情况报深圳市科技主管部门。</w:t>
      </w:r>
      <w:r>
        <w:rPr>
          <w:rFonts w:hint="eastAsia" w:ascii="仿宋_GB2312" w:eastAsia="仿宋_GB2312" w:cs="仿宋_GB2312"/>
          <w:sz w:val="32"/>
          <w:szCs w:val="32"/>
        </w:rPr>
        <w:t>如收到书面异议的，科研处应当对异议内容进行审核，必要时可以组织专家进行调查，提出处理意见。</w:t>
      </w:r>
    </w:p>
    <w:p w14:paraId="7272B1A3">
      <w:pPr>
        <w:pStyle w:val="6"/>
        <w:numPr>
          <w:ilvl w:val="0"/>
          <w:numId w:val="7"/>
        </w:numPr>
        <w:spacing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结余资金按照下列方式处理:</w:t>
      </w:r>
    </w:p>
    <w:p w14:paraId="01FDC963">
      <w:pPr>
        <w:pStyle w:val="6"/>
        <w:numPr>
          <w:ilvl w:val="0"/>
          <w:numId w:val="1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验收结论为“通过”的项目，结余资金留归项目负责人使用，统筹安排用于科研活动的直接支出。</w:t>
      </w:r>
    </w:p>
    <w:p w14:paraId="3AE33C52">
      <w:pPr>
        <w:pStyle w:val="6"/>
        <w:numPr>
          <w:ilvl w:val="0"/>
          <w:numId w:val="1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验收结论为“结题”的项目，退回结余资金。</w:t>
      </w:r>
    </w:p>
    <w:p w14:paraId="4D165165">
      <w:pPr>
        <w:pStyle w:val="6"/>
        <w:numPr>
          <w:ilvl w:val="0"/>
          <w:numId w:val="1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验收结论为“不通过”的项目，除项目负责人退回结余资金、提交退款凭证外，学院保留追缴前期已使用资金的权力。</w:t>
      </w:r>
    </w:p>
    <w:p w14:paraId="52A10A0F">
      <w:pPr>
        <w:pStyle w:val="6"/>
        <w:numPr>
          <w:ilvl w:val="0"/>
          <w:numId w:val="7"/>
        </w:numPr>
        <w:spacing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超过本办法第七条规定期限仍未申请验收的，学院将按以下方式进行处理:</w:t>
      </w:r>
    </w:p>
    <w:p w14:paraId="2A4B5260">
      <w:pPr>
        <w:pStyle w:val="6"/>
        <w:numPr>
          <w:ilvl w:val="0"/>
          <w:numId w:val="14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不予受理该项目负责人和项目组其他成员提交的</w:t>
      </w:r>
      <w:r>
        <w:rPr>
          <w:rFonts w:hint="eastAsia" w:ascii="仿宋_GB2312" w:eastAsia="仿宋_GB2312"/>
          <w:sz w:val="32"/>
          <w:szCs w:val="32"/>
        </w:rPr>
        <w:t>高等院校稳定支持项目申请</w:t>
      </w:r>
      <w:r>
        <w:rPr>
          <w:rFonts w:hint="eastAsia" w:ascii="仿宋_GB2312" w:eastAsia="仿宋_GB2312" w:cs="仿宋_GB2312"/>
          <w:sz w:val="32"/>
          <w:szCs w:val="32"/>
        </w:rPr>
        <w:t>。已经受理的，不予立项。</w:t>
      </w:r>
    </w:p>
    <w:p w14:paraId="6DBE6831">
      <w:pPr>
        <w:pStyle w:val="6"/>
        <w:numPr>
          <w:ilvl w:val="0"/>
          <w:numId w:val="14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560" w:lineRule="exact"/>
        <w:ind w:left="0" w:firstLine="640" w:firstLineChars="200"/>
        <w:jc w:val="both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逾期未申请验收超过一年的，科研处上报主管部门，将项目负责人列入深圳市科研诚信异常名录，按科研诚信管理规定予以处理。 </w:t>
      </w:r>
    </w:p>
    <w:p w14:paraId="564B2516">
      <w:pPr>
        <w:pStyle w:val="6"/>
        <w:numPr>
          <w:ilvl w:val="0"/>
          <w:numId w:val="7"/>
        </w:numPr>
        <w:spacing w:line="560" w:lineRule="exact"/>
        <w:ind w:left="0"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验收结论为“不通过”的项目，自验收结论反馈之日起，深圳市科创局三年内不受理该项目负责人申请市科技计划项目申请，不推荐申报国家、省科技计划项目，不受理市科技奖励申请，不推荐国家、省科技奖励。同一项目组成员参与实施的所有项目中，验收不通过达到3个的，该项目组成员按上述方式进行处理。</w:t>
      </w:r>
    </w:p>
    <w:p w14:paraId="10903E48">
      <w:pPr>
        <w:pStyle w:val="13"/>
        <w:numPr>
          <w:ilvl w:val="0"/>
          <w:numId w:val="15"/>
        </w:numPr>
        <w:spacing w:line="560" w:lineRule="exact"/>
        <w:ind w:left="0" w:firstLine="640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为体现“适当宽容失败”的原则，经科研处核实，</w:t>
      </w:r>
      <w:r>
        <w:rPr>
          <w:rFonts w:hint="eastAsia" w:ascii="仿宋_GB2312" w:hAnsi="宋体" w:eastAsia="仿宋_GB2312" w:cs="仿宋_GB2312"/>
          <w:sz w:val="32"/>
          <w:szCs w:val="32"/>
        </w:rPr>
        <w:t>对于有证据证明的项目负责人、项目组其他成员已按合同书（任务书）相关要求开展研发工作并履行勤勉义务，但确因不可抗力导致项目无法完成的，可以报请深圳市科技主管部门，根据实际补充、调整合同书（任务书）相关条款，申请减轻或者免除项目负责人、项目组其他成员的相关责任。</w:t>
      </w:r>
    </w:p>
    <w:p w14:paraId="0BC92087">
      <w:pPr>
        <w:pStyle w:val="7"/>
        <w:numPr>
          <w:ilvl w:val="0"/>
          <w:numId w:val="15"/>
        </w:numPr>
        <w:spacing w:before="0" w:beforeAutospacing="0" w:after="0" w:afterAutospacing="0" w:line="560" w:lineRule="exact"/>
        <w:ind w:left="0"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本办法</w:t>
      </w:r>
      <w:r>
        <w:rPr>
          <w:rFonts w:hint="eastAsia" w:ascii="仿宋_GB2312" w:eastAsia="仿宋_GB2312"/>
          <w:sz w:val="32"/>
          <w:szCs w:val="32"/>
        </w:rPr>
        <w:t>由科研处负责解释，自公布之日起施行</w:t>
      </w:r>
      <w:r>
        <w:rPr>
          <w:rFonts w:hint="eastAsia" w:asci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sectPr>
      <w:footerReference r:id="rId3" w:type="default"/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15BEB"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62D265C1">
                          <w:pPr>
                            <w:pStyle w:val="4"/>
                            <w:rPr>
                              <w:rFonts w:ascii="Times New Roman Regular" w:hAnsi="Times New Roman Regular" w:cs="Times New Roman Regular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24"/>
                            </w:rPr>
                            <w:t>9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2D265C1">
                    <w:pPr>
                      <w:pStyle w:val="4"/>
                      <w:rPr>
                        <w:rFonts w:ascii="Times New Roman Regular" w:hAnsi="Times New Roman Regular" w:cs="Times New Roman Regular"/>
                        <w:sz w:val="24"/>
                        <w:szCs w:val="24"/>
                      </w:rPr>
                    </w:pPr>
                    <w:r>
                      <w:rPr>
                        <w:rFonts w:ascii="Times New Roman Regular" w:hAnsi="Times New Roman Regular" w:cs="Times New Roman Regular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24"/>
                      </w:rPr>
                      <w:t>9</w:t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3"/>
      <w:numFmt w:val="japaneseCounting"/>
      <w:suff w:val="space"/>
      <w:lvlText w:val="第%1条"/>
      <w:lvlJc w:val="left"/>
      <w:pPr>
        <w:ind w:left="737" w:hanging="737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200" w:hanging="420"/>
      </w:pPr>
    </w:lvl>
    <w:lvl w:ilvl="2" w:tentative="0">
      <w:start w:val="1"/>
      <w:numFmt w:val="lowerRoman"/>
      <w:lvlText w:val="%3."/>
      <w:lvlJc w:val="right"/>
      <w:pPr>
        <w:ind w:left="620" w:hanging="420"/>
      </w:pPr>
    </w:lvl>
    <w:lvl w:ilvl="3" w:tentative="0">
      <w:start w:val="1"/>
      <w:numFmt w:val="decimal"/>
      <w:lvlText w:val="%4."/>
      <w:lvlJc w:val="left"/>
      <w:pPr>
        <w:ind w:left="1040" w:hanging="420"/>
      </w:pPr>
    </w:lvl>
    <w:lvl w:ilvl="4" w:tentative="0">
      <w:start w:val="1"/>
      <w:numFmt w:val="lowerLetter"/>
      <w:lvlText w:val="%5)"/>
      <w:lvlJc w:val="left"/>
      <w:pPr>
        <w:ind w:left="1460" w:hanging="420"/>
      </w:pPr>
    </w:lvl>
    <w:lvl w:ilvl="5" w:tentative="0">
      <w:start w:val="1"/>
      <w:numFmt w:val="lowerRoman"/>
      <w:lvlText w:val="%6."/>
      <w:lvlJc w:val="right"/>
      <w:pPr>
        <w:ind w:left="1880" w:hanging="420"/>
      </w:pPr>
    </w:lvl>
    <w:lvl w:ilvl="6" w:tentative="0">
      <w:start w:val="1"/>
      <w:numFmt w:val="decimal"/>
      <w:lvlText w:val="%7."/>
      <w:lvlJc w:val="left"/>
      <w:pPr>
        <w:ind w:left="2300" w:hanging="420"/>
      </w:pPr>
    </w:lvl>
    <w:lvl w:ilvl="7" w:tentative="0">
      <w:start w:val="1"/>
      <w:numFmt w:val="lowerLetter"/>
      <w:lvlText w:val="%8)"/>
      <w:lvlJc w:val="left"/>
      <w:pPr>
        <w:ind w:left="2720" w:hanging="420"/>
      </w:pPr>
    </w:lvl>
    <w:lvl w:ilvl="8" w:tentative="0">
      <w:start w:val="1"/>
      <w:numFmt w:val="lowerRoman"/>
      <w:lvlText w:val="%9."/>
      <w:lvlJc w:val="right"/>
      <w:pPr>
        <w:ind w:left="3140" w:hanging="420"/>
      </w:pPr>
    </w:lvl>
  </w:abstractNum>
  <w:abstractNum w:abstractNumId="1">
    <w:nsid w:val="00000002"/>
    <w:multiLevelType w:val="multilevel"/>
    <w:tmpl w:val="00000002"/>
    <w:lvl w:ilvl="0" w:tentative="0">
      <w:start w:val="1"/>
      <w:numFmt w:val="japaneseCounting"/>
      <w:lvlText w:val="（%1）"/>
      <w:lvlJc w:val="left"/>
      <w:pPr>
        <w:ind w:left="1720" w:hanging="1080"/>
      </w:pPr>
      <w:rPr>
        <w:rFonts w:hint="eastAsia" w:ascii="仿宋_GB2312" w:hAnsi="宋体" w:eastAsia="仿宋_GB2312"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00000003"/>
    <w:multiLevelType w:val="multilevel"/>
    <w:tmpl w:val="00000003"/>
    <w:lvl w:ilvl="0" w:tentative="0">
      <w:start w:val="1"/>
      <w:numFmt w:val="japaneseCounting"/>
      <w:lvlText w:val="第%1条"/>
      <w:lvlJc w:val="left"/>
      <w:pPr>
        <w:ind w:left="735" w:hanging="735"/>
      </w:pPr>
      <w:rPr>
        <w:rFonts w:hint="eastAsia" w:ascii="仿宋_GB2312" w:hAnsi="宋体" w:eastAsia="仿宋_GB2312"/>
        <w:b/>
        <w:sz w:val="32"/>
        <w:szCs w:val="32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0000004"/>
    <w:multiLevelType w:val="multilevel"/>
    <w:tmpl w:val="00000004"/>
    <w:lvl w:ilvl="0" w:tentative="0">
      <w:start w:val="1"/>
      <w:numFmt w:val="japaneseCounting"/>
      <w:lvlText w:val="（%1）"/>
      <w:lvlJc w:val="left"/>
      <w:pPr>
        <w:ind w:left="1720" w:hanging="1080"/>
      </w:pPr>
      <w:rPr>
        <w:rFonts w:hint="eastAsia" w:ascii="仿宋_GB2312" w:hAnsi="宋体" w:eastAsia="仿宋_GB2312"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4">
    <w:nsid w:val="00000005"/>
    <w:multiLevelType w:val="multilevel"/>
    <w:tmpl w:val="00000005"/>
    <w:lvl w:ilvl="0" w:tentative="0">
      <w:start w:val="1"/>
      <w:numFmt w:val="japaneseCounting"/>
      <w:lvlText w:val="第%1章"/>
      <w:lvlJc w:val="left"/>
      <w:pPr>
        <w:ind w:left="735" w:hanging="735"/>
      </w:pPr>
      <w:rPr>
        <w:rFonts w:hint="eastAsia" w:ascii="黑体" w:hAnsi="黑体" w:eastAsia="黑体" w:cs="黑体"/>
        <w:b w:val="0"/>
        <w:bCs/>
        <w:lang w:val="en-US"/>
      </w:rPr>
    </w:lvl>
    <w:lvl w:ilvl="1" w:tentative="0">
      <w:start w:val="1"/>
      <w:numFmt w:val="japaneseCounting"/>
      <w:lvlText w:val="（%2）"/>
      <w:lvlJc w:val="left"/>
      <w:pPr>
        <w:ind w:left="114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0000006"/>
    <w:multiLevelType w:val="multilevel"/>
    <w:tmpl w:val="00000006"/>
    <w:lvl w:ilvl="0" w:tentative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6">
    <w:nsid w:val="00000007"/>
    <w:multiLevelType w:val="multilevel"/>
    <w:tmpl w:val="00000007"/>
    <w:lvl w:ilvl="0" w:tentative="0">
      <w:start w:val="1"/>
      <w:numFmt w:val="japaneseCounting"/>
      <w:lvlText w:val="（%1）"/>
      <w:lvlJc w:val="left"/>
      <w:pPr>
        <w:ind w:left="1718" w:hanging="1078"/>
      </w:pPr>
      <w:rPr>
        <w:rFonts w:hint="eastAsia" w:ascii="仿宋_GB2312" w:hAnsi="宋体" w:eastAsia="仿宋_GB2312"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1005" w:hanging="420"/>
      </w:pPr>
    </w:lvl>
    <w:lvl w:ilvl="2" w:tentative="0">
      <w:start w:val="1"/>
      <w:numFmt w:val="lowerRoman"/>
      <w:lvlText w:val="%3."/>
      <w:lvlJc w:val="right"/>
      <w:pPr>
        <w:ind w:left="1425" w:hanging="420"/>
      </w:pPr>
    </w:lvl>
    <w:lvl w:ilvl="3" w:tentative="0">
      <w:start w:val="1"/>
      <w:numFmt w:val="decimal"/>
      <w:lvlText w:val="%4."/>
      <w:lvlJc w:val="left"/>
      <w:pPr>
        <w:ind w:left="1845" w:hanging="420"/>
      </w:pPr>
    </w:lvl>
    <w:lvl w:ilvl="4" w:tentative="0">
      <w:start w:val="1"/>
      <w:numFmt w:val="lowerLetter"/>
      <w:lvlText w:val="%5)"/>
      <w:lvlJc w:val="left"/>
      <w:pPr>
        <w:ind w:left="2265" w:hanging="420"/>
      </w:pPr>
    </w:lvl>
    <w:lvl w:ilvl="5" w:tentative="0">
      <w:start w:val="1"/>
      <w:numFmt w:val="lowerRoman"/>
      <w:lvlText w:val="%6."/>
      <w:lvlJc w:val="right"/>
      <w:pPr>
        <w:ind w:left="2685" w:hanging="420"/>
      </w:pPr>
    </w:lvl>
    <w:lvl w:ilvl="6" w:tentative="0">
      <w:start w:val="1"/>
      <w:numFmt w:val="decimal"/>
      <w:lvlText w:val="%7."/>
      <w:lvlJc w:val="left"/>
      <w:pPr>
        <w:ind w:left="3105" w:hanging="420"/>
      </w:pPr>
    </w:lvl>
    <w:lvl w:ilvl="7" w:tentative="0">
      <w:start w:val="1"/>
      <w:numFmt w:val="lowerLetter"/>
      <w:lvlText w:val="%8)"/>
      <w:lvlJc w:val="left"/>
      <w:pPr>
        <w:ind w:left="3525" w:hanging="420"/>
      </w:pPr>
    </w:lvl>
    <w:lvl w:ilvl="8" w:tentative="0">
      <w:start w:val="1"/>
      <w:numFmt w:val="lowerRoman"/>
      <w:lvlText w:val="%9."/>
      <w:lvlJc w:val="right"/>
      <w:pPr>
        <w:ind w:left="3945" w:hanging="420"/>
      </w:pPr>
    </w:lvl>
  </w:abstractNum>
  <w:abstractNum w:abstractNumId="7">
    <w:nsid w:val="00000008"/>
    <w:multiLevelType w:val="multilevel"/>
    <w:tmpl w:val="00000008"/>
    <w:lvl w:ilvl="0" w:tentative="0">
      <w:start w:val="27"/>
      <w:numFmt w:val="japaneseCounting"/>
      <w:suff w:val="space"/>
      <w:lvlText w:val="第%1条"/>
      <w:lvlJc w:val="left"/>
      <w:pPr>
        <w:ind w:left="735" w:hanging="735"/>
      </w:pPr>
      <w:rPr>
        <w:rFonts w:hint="eastAsia" w:ascii="仿宋_GB2312" w:hAnsi="宋体" w:eastAsia="仿宋_GB2312"/>
        <w:b/>
        <w:sz w:val="32"/>
        <w:szCs w:val="32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8">
    <w:nsid w:val="00000009"/>
    <w:multiLevelType w:val="multilevel"/>
    <w:tmpl w:val="00000009"/>
    <w:lvl w:ilvl="0" w:tentative="0">
      <w:start w:val="1"/>
      <w:numFmt w:val="japaneseCounting"/>
      <w:lvlText w:val="（%1）"/>
      <w:lvlJc w:val="left"/>
      <w:pPr>
        <w:ind w:left="193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9">
    <w:nsid w:val="0000000A"/>
    <w:multiLevelType w:val="multilevel"/>
    <w:tmpl w:val="0000000A"/>
    <w:lvl w:ilvl="0" w:tentative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0">
    <w:nsid w:val="0000000D"/>
    <w:multiLevelType w:val="multilevel"/>
    <w:tmpl w:val="0000000D"/>
    <w:lvl w:ilvl="0" w:tentative="0">
      <w:start w:val="1"/>
      <w:numFmt w:val="japaneseCounting"/>
      <w:lvlText w:val="（%1）"/>
      <w:lvlJc w:val="left"/>
      <w:pPr>
        <w:ind w:left="1720" w:hanging="1080"/>
      </w:pPr>
      <w:rPr>
        <w:rFonts w:hint="eastAsia" w:ascii="仿宋_GB2312" w:hAnsi="宋体" w:eastAsia="仿宋_GB2312"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1">
    <w:nsid w:val="0000000E"/>
    <w:multiLevelType w:val="singleLevel"/>
    <w:tmpl w:val="0000000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2">
    <w:nsid w:val="00000010"/>
    <w:multiLevelType w:val="multilevel"/>
    <w:tmpl w:val="00000010"/>
    <w:lvl w:ilvl="0" w:tentative="0">
      <w:start w:val="1"/>
      <w:numFmt w:val="japaneseCounting"/>
      <w:lvlText w:val="（%1）"/>
      <w:lvlJc w:val="left"/>
      <w:pPr>
        <w:ind w:left="1720" w:hanging="1080"/>
      </w:pPr>
      <w:rPr>
        <w:rFonts w:hint="eastAsia" w:ascii="仿宋_GB2312" w:hAnsi="宋体" w:eastAsia="仿宋_GB2312"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3">
    <w:nsid w:val="00000011"/>
    <w:multiLevelType w:val="multilevel"/>
    <w:tmpl w:val="00000011"/>
    <w:lvl w:ilvl="0" w:tentative="0">
      <w:start w:val="1"/>
      <w:numFmt w:val="japaneseCounting"/>
      <w:lvlText w:val="（%1）"/>
      <w:lvlJc w:val="left"/>
      <w:pPr>
        <w:ind w:left="1720" w:hanging="1080"/>
      </w:pPr>
      <w:rPr>
        <w:rFonts w:hint="eastAsia" w:ascii="仿宋_GB2312" w:hAnsi="宋体" w:eastAsia="仿宋_GB2312"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4">
    <w:nsid w:val="53CC0872"/>
    <w:multiLevelType w:val="singleLevel"/>
    <w:tmpl w:val="53CC0872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4"/>
  </w:num>
  <w:num w:numId="5">
    <w:abstractNumId w:val="8"/>
  </w:num>
  <w:num w:numId="6">
    <w:abstractNumId w:val="9"/>
  </w:num>
  <w:num w:numId="7">
    <w:abstractNumId w:val="0"/>
  </w:num>
  <w:num w:numId="8">
    <w:abstractNumId w:val="5"/>
  </w:num>
  <w:num w:numId="9">
    <w:abstractNumId w:val="13"/>
  </w:num>
  <w:num w:numId="10">
    <w:abstractNumId w:val="3"/>
  </w:num>
  <w:num w:numId="11">
    <w:abstractNumId w:val="1"/>
  </w:num>
  <w:num w:numId="12">
    <w:abstractNumId w:val="12"/>
  </w:num>
  <w:num w:numId="13">
    <w:abstractNumId w:val="10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867"/>
    <w:rsid w:val="000218CF"/>
    <w:rsid w:val="00056156"/>
    <w:rsid w:val="00063893"/>
    <w:rsid w:val="00070C00"/>
    <w:rsid w:val="0008019B"/>
    <w:rsid w:val="000E17FD"/>
    <w:rsid w:val="0013657B"/>
    <w:rsid w:val="001A05B5"/>
    <w:rsid w:val="001B0A66"/>
    <w:rsid w:val="001E05F4"/>
    <w:rsid w:val="002434D8"/>
    <w:rsid w:val="00261ED3"/>
    <w:rsid w:val="002B7947"/>
    <w:rsid w:val="002E2676"/>
    <w:rsid w:val="00305884"/>
    <w:rsid w:val="003279C1"/>
    <w:rsid w:val="00387D71"/>
    <w:rsid w:val="003B176C"/>
    <w:rsid w:val="00427255"/>
    <w:rsid w:val="004338BB"/>
    <w:rsid w:val="00437019"/>
    <w:rsid w:val="00456C15"/>
    <w:rsid w:val="004723D0"/>
    <w:rsid w:val="00474B92"/>
    <w:rsid w:val="004A1A5A"/>
    <w:rsid w:val="004A6F66"/>
    <w:rsid w:val="004F2F14"/>
    <w:rsid w:val="00525EDA"/>
    <w:rsid w:val="00530ABC"/>
    <w:rsid w:val="0053252D"/>
    <w:rsid w:val="005353D9"/>
    <w:rsid w:val="0054304B"/>
    <w:rsid w:val="005B59F6"/>
    <w:rsid w:val="006065E2"/>
    <w:rsid w:val="00672516"/>
    <w:rsid w:val="0068246E"/>
    <w:rsid w:val="00684981"/>
    <w:rsid w:val="006A2550"/>
    <w:rsid w:val="006C189A"/>
    <w:rsid w:val="006C7352"/>
    <w:rsid w:val="006D42EB"/>
    <w:rsid w:val="007174E0"/>
    <w:rsid w:val="00720DEA"/>
    <w:rsid w:val="00736340"/>
    <w:rsid w:val="007A21CA"/>
    <w:rsid w:val="007A4A96"/>
    <w:rsid w:val="007A60AA"/>
    <w:rsid w:val="007D087B"/>
    <w:rsid w:val="008153F6"/>
    <w:rsid w:val="00830D80"/>
    <w:rsid w:val="00837755"/>
    <w:rsid w:val="00857005"/>
    <w:rsid w:val="00874A2D"/>
    <w:rsid w:val="00893EAD"/>
    <w:rsid w:val="008D083C"/>
    <w:rsid w:val="008D1CA9"/>
    <w:rsid w:val="008D58A9"/>
    <w:rsid w:val="008E37F1"/>
    <w:rsid w:val="008F2135"/>
    <w:rsid w:val="00910180"/>
    <w:rsid w:val="00954FF4"/>
    <w:rsid w:val="0096245C"/>
    <w:rsid w:val="00972179"/>
    <w:rsid w:val="009A3096"/>
    <w:rsid w:val="009A7820"/>
    <w:rsid w:val="009E7368"/>
    <w:rsid w:val="00A06DBF"/>
    <w:rsid w:val="00A67DEC"/>
    <w:rsid w:val="00A8488F"/>
    <w:rsid w:val="00A90A64"/>
    <w:rsid w:val="00AA52E6"/>
    <w:rsid w:val="00AB78D2"/>
    <w:rsid w:val="00B259A9"/>
    <w:rsid w:val="00B510E6"/>
    <w:rsid w:val="00B57353"/>
    <w:rsid w:val="00BC0630"/>
    <w:rsid w:val="00BF1239"/>
    <w:rsid w:val="00C50BCB"/>
    <w:rsid w:val="00C76310"/>
    <w:rsid w:val="00C936E6"/>
    <w:rsid w:val="00CC2751"/>
    <w:rsid w:val="00CC41C8"/>
    <w:rsid w:val="00CC5E48"/>
    <w:rsid w:val="00D00EC8"/>
    <w:rsid w:val="00D107E2"/>
    <w:rsid w:val="00D14BCA"/>
    <w:rsid w:val="00D615C9"/>
    <w:rsid w:val="00D734D2"/>
    <w:rsid w:val="00DE4A2E"/>
    <w:rsid w:val="00E07414"/>
    <w:rsid w:val="00E43807"/>
    <w:rsid w:val="00E527BB"/>
    <w:rsid w:val="00E66867"/>
    <w:rsid w:val="00E70A27"/>
    <w:rsid w:val="00EB3472"/>
    <w:rsid w:val="00EB424F"/>
    <w:rsid w:val="00EE20E8"/>
    <w:rsid w:val="00F00C37"/>
    <w:rsid w:val="00F02983"/>
    <w:rsid w:val="00F4048F"/>
    <w:rsid w:val="00F51316"/>
    <w:rsid w:val="00F57BB5"/>
    <w:rsid w:val="00F83DC1"/>
    <w:rsid w:val="00FB13A0"/>
    <w:rsid w:val="00FB50C0"/>
    <w:rsid w:val="00FC09F9"/>
    <w:rsid w:val="00FC3E38"/>
    <w:rsid w:val="00FC4821"/>
    <w:rsid w:val="00FC613C"/>
    <w:rsid w:val="0DC77C95"/>
    <w:rsid w:val="15DE71FB"/>
    <w:rsid w:val="35FC554D"/>
    <w:rsid w:val="3EEE3D38"/>
    <w:rsid w:val="4FC87C9E"/>
    <w:rsid w:val="5BDC6240"/>
    <w:rsid w:val="5C4AA488"/>
    <w:rsid w:val="6BFF64C6"/>
    <w:rsid w:val="6E774175"/>
    <w:rsid w:val="7DE3E63F"/>
    <w:rsid w:val="7DFED96B"/>
    <w:rsid w:val="7EB9E3E9"/>
    <w:rsid w:val="7EBA73C2"/>
    <w:rsid w:val="7F2D5B3A"/>
    <w:rsid w:val="7FBD005B"/>
    <w:rsid w:val="7FBF2C7B"/>
    <w:rsid w:val="BEAD8A25"/>
    <w:rsid w:val="D4FDD4A4"/>
    <w:rsid w:val="DF8D00BA"/>
    <w:rsid w:val="DFBB7E02"/>
    <w:rsid w:val="DFF5FE70"/>
    <w:rsid w:val="EBADD1AD"/>
    <w:rsid w:val="F5FDF60B"/>
    <w:rsid w:val="F77B384D"/>
    <w:rsid w:val="FDEF4175"/>
    <w:rsid w:val="FFF9A566"/>
    <w:rsid w:val="FFFF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uiPriority w:val="99"/>
    <w:pPr>
      <w:jc w:val="left"/>
    </w:pPr>
  </w:style>
  <w:style w:type="paragraph" w:styleId="3">
    <w:name w:val="Balloon Text"/>
    <w:basedOn w:val="1"/>
    <w:link w:val="15"/>
    <w:uiPriority w:val="99"/>
    <w:rPr>
      <w:sz w:val="18"/>
      <w:szCs w:val="18"/>
    </w:rPr>
  </w:style>
  <w:style w:type="paragraph" w:styleId="4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HTML Preformatted"/>
    <w:basedOn w:val="1"/>
    <w:link w:val="14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/>
      <w:kern w:val="0"/>
      <w:sz w:val="24"/>
      <w:szCs w:val="24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paragraph" w:styleId="8">
    <w:name w:val="annotation subject"/>
    <w:basedOn w:val="2"/>
    <w:next w:val="2"/>
    <w:link w:val="17"/>
    <w:semiHidden/>
    <w:unhideWhenUsed/>
    <w:uiPriority w:val="99"/>
    <w:rPr>
      <w:b/>
      <w:bCs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HTML 预设格式 字符"/>
    <w:basedOn w:val="10"/>
    <w:link w:val="6"/>
    <w:qFormat/>
    <w:uiPriority w:val="99"/>
    <w:rPr>
      <w:rFonts w:ascii="宋体" w:hAnsi="宋体" w:eastAsia="宋体" w:cs="宋体"/>
      <w:kern w:val="0"/>
      <w:sz w:val="24"/>
    </w:rPr>
  </w:style>
  <w:style w:type="character" w:customStyle="1" w:styleId="15">
    <w:name w:val="批注框文本 字符"/>
    <w:basedOn w:val="10"/>
    <w:link w:val="3"/>
    <w:qFormat/>
    <w:uiPriority w:val="99"/>
    <w:rPr>
      <w:kern w:val="2"/>
      <w:sz w:val="18"/>
      <w:szCs w:val="18"/>
    </w:rPr>
  </w:style>
  <w:style w:type="character" w:customStyle="1" w:styleId="16">
    <w:name w:val="批注文字 字符"/>
    <w:basedOn w:val="10"/>
    <w:link w:val="2"/>
    <w:semiHidden/>
    <w:uiPriority w:val="99"/>
    <w:rPr>
      <w:kern w:val="2"/>
      <w:sz w:val="21"/>
      <w:szCs w:val="22"/>
    </w:rPr>
  </w:style>
  <w:style w:type="character" w:customStyle="1" w:styleId="17">
    <w:name w:val="批注主题 字符"/>
    <w:basedOn w:val="16"/>
    <w:link w:val="8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546879-A18F-4133-8AE9-7FC4B94DDF1F}">
  <ds:schemaRefs/>
</ds:datastoreItem>
</file>

<file path=customXml/itemProps3.xml><?xml version="1.0" encoding="utf-8"?>
<ds:datastoreItem xmlns:ds="http://schemas.openxmlformats.org/officeDocument/2006/customXml" ds:itemID="{DC1948B9-E437-4EFF-81B9-0146E49EF5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9</Pages>
  <Words>3641</Words>
  <Characters>3658</Characters>
  <Lines>26</Lines>
  <Paragraphs>7</Paragraphs>
  <TotalTime>37</TotalTime>
  <ScaleCrop>false</ScaleCrop>
  <LinksUpToDate>false</LinksUpToDate>
  <CharactersWithSpaces>3673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2020-08-15T06:51:00Z</dcterms:created>
  <dc:creator>刘 晓宇</dc:creator>
  <cp:lastModifiedBy>user</cp:lastModifiedBy>
  <cp:lastPrinted>2020-10-29T07:35:00Z</cp:lastPrinted>
  <dcterms:modified xsi:type="dcterms:W3CDTF">2025-06-28T14:53:25Z</dcterms:modified>
  <cp:revision>109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91339E88D16F9AC965915F682E32C7AC_43</vt:lpwstr>
  </property>
  <property fmtid="{D5CDD505-2E9C-101B-9397-08002B2CF9AE}" pid="4" name="KSOTemplateDocerSaveRecord">
    <vt:lpwstr>eyJoZGlkIjoiMWM3MGU3NGJkOWRlNWZiYzYwMmNiZjNlZDY1MjgzNDEiLCJ1c2VySWQiOiI0MzU5MzMxMzAifQ==</vt:lpwstr>
  </property>
</Properties>
</file>