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C4FFC">
      <w:pPr>
        <w:pStyle w:val="2"/>
        <w:keepNext w:val="0"/>
        <w:keepLines w:val="0"/>
        <w:pageBreakBefore w:val="0"/>
        <w:widowControl w:val="0"/>
        <w:kinsoku w:val="0"/>
        <w:wordWrap/>
        <w:overflowPunct/>
        <w:topLinePunct w:val="0"/>
        <w:autoSpaceDE w:val="0"/>
        <w:autoSpaceDN w:val="0"/>
        <w:bidi w:val="0"/>
        <w:adjustRightInd w:val="0"/>
        <w:spacing w:line="560" w:lineRule="exact"/>
        <w:jc w:val="right"/>
        <w:textAlignment w:val="baseline"/>
        <w:rPr>
          <w:rFonts w:hint="eastAsia" w:ascii="方正小标宋简体" w:hAnsi="黑体" w:eastAsia="方正小标宋简体" w:cs="宋体"/>
          <w:sz w:val="36"/>
          <w:szCs w:val="36"/>
          <w:lang w:eastAsia="zh-CN"/>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17</w:t>
      </w:r>
      <w:r>
        <w:rPr>
          <w:rFonts w:hint="eastAsia" w:ascii="FangSong_GB2312" w:hAnsi="FangSong_GB2312" w:eastAsia="FangSong_GB2312" w:cs="FangSong_GB2312"/>
          <w:color w:val="000000"/>
          <w:sz w:val="32"/>
          <w:szCs w:val="32"/>
        </w:rPr>
        <w:t>号</w:t>
      </w:r>
    </w:p>
    <w:p w14:paraId="25B3AB1B">
      <w:pPr>
        <w:pStyle w:val="2"/>
        <w:keepNext w:val="0"/>
        <w:keepLines w:val="0"/>
        <w:pageBreakBefore w:val="0"/>
        <w:widowControl w:val="0"/>
        <w:kinsoku w:val="0"/>
        <w:wordWrap/>
        <w:overflowPunct/>
        <w:topLinePunct w:val="0"/>
        <w:autoSpaceDE w:val="0"/>
        <w:autoSpaceDN w:val="0"/>
        <w:bidi w:val="0"/>
        <w:adjustRightInd w:val="0"/>
        <w:spacing w:line="560" w:lineRule="exact"/>
        <w:jc w:val="center"/>
        <w:textAlignment w:val="baseline"/>
        <w:rPr>
          <w:rFonts w:hint="eastAsia" w:ascii="方正小标宋简体" w:hAnsi="黑体" w:eastAsia="方正小标宋简体"/>
          <w:sz w:val="36"/>
          <w:szCs w:val="36"/>
          <w:lang w:eastAsia="zh-CN"/>
        </w:rPr>
      </w:pPr>
      <w:r>
        <w:rPr>
          <w:rFonts w:hint="eastAsia" w:ascii="方正小标宋简体" w:hAnsi="黑体" w:eastAsia="方正小标宋简体" w:cs="宋体"/>
          <w:sz w:val="36"/>
          <w:szCs w:val="36"/>
          <w:lang w:eastAsia="zh-CN"/>
        </w:rPr>
        <w:t>清华大学深圳国际研究生院在线课程建设管理办法</w:t>
      </w:r>
    </w:p>
    <w:p w14:paraId="0FD99AC7">
      <w:pPr>
        <w:pStyle w:val="3"/>
        <w:keepNext w:val="0"/>
        <w:keepLines w:val="0"/>
        <w:pageBreakBefore w:val="0"/>
        <w:widowControl w:val="0"/>
        <w:kinsoku w:val="0"/>
        <w:wordWrap/>
        <w:overflowPunct/>
        <w:topLinePunct w:val="0"/>
        <w:autoSpaceDE w:val="0"/>
        <w:autoSpaceDN w:val="0"/>
        <w:bidi w:val="0"/>
        <w:adjustRightInd w:val="0"/>
        <w:ind w:firstLine="0" w:firstLineChars="0"/>
        <w:jc w:val="center"/>
        <w:textAlignment w:val="baseline"/>
        <w:rPr>
          <w:rFonts w:hint="eastAsia"/>
          <w:spacing w:val="-6"/>
        </w:rPr>
      </w:pPr>
      <w:r>
        <w:rPr>
          <w:rFonts w:hint="eastAsia"/>
        </w:rPr>
        <w:t>二</w:t>
      </w:r>
      <w:r>
        <w:rPr>
          <w:rFonts w:hint="eastAsia" w:hAnsi="微软雅黑" w:cs="微软雅黑"/>
        </w:rPr>
        <w:t>〇</w:t>
      </w:r>
      <w:r>
        <w:rPr>
          <w:rFonts w:hint="eastAsia"/>
        </w:rPr>
        <w:t>一九年第二次党政联席会议（2019年3月7</w:t>
      </w:r>
      <w:r>
        <w:rPr>
          <w:rFonts w:hint="eastAsia"/>
          <w:spacing w:val="-6"/>
        </w:rPr>
        <w:t>日）审议通过，</w:t>
      </w:r>
    </w:p>
    <w:p w14:paraId="785B1EB6">
      <w:pPr>
        <w:pStyle w:val="3"/>
        <w:keepNext w:val="0"/>
        <w:keepLines w:val="0"/>
        <w:pageBreakBefore w:val="0"/>
        <w:widowControl w:val="0"/>
        <w:kinsoku w:val="0"/>
        <w:wordWrap/>
        <w:overflowPunct/>
        <w:topLinePunct w:val="0"/>
        <w:autoSpaceDE w:val="0"/>
        <w:autoSpaceDN w:val="0"/>
        <w:bidi w:val="0"/>
        <w:adjustRightInd w:val="0"/>
        <w:ind w:firstLine="0" w:firstLineChars="0"/>
        <w:jc w:val="both"/>
        <w:textAlignment w:val="baseline"/>
        <w:rPr>
          <w:rFonts w:hint="eastAsia" w:cs="仿宋"/>
        </w:rPr>
      </w:pPr>
      <w:r>
        <w:rPr>
          <w:rFonts w:hint="eastAsia" w:cs="仿宋"/>
        </w:rPr>
        <w:t>二</w:t>
      </w:r>
      <w:r>
        <w:rPr>
          <w:rFonts w:hint="eastAsia" w:hAnsi="微软雅黑" w:cs="微软雅黑"/>
        </w:rPr>
        <w:t>〇</w:t>
      </w:r>
      <w:r>
        <w:rPr>
          <w:rFonts w:hint="eastAsia" w:cs="仿宋_GB2312"/>
        </w:rPr>
        <w:t>二五年第</w:t>
      </w:r>
      <w:r>
        <w:rPr>
          <w:rFonts w:hint="eastAsia"/>
        </w:rPr>
        <w:t>七十四次党政联席会议（2025年12月29日）修订</w:t>
      </w:r>
    </w:p>
    <w:p w14:paraId="004928BE">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b/>
          <w:bCs/>
        </w:rPr>
      </w:pPr>
    </w:p>
    <w:p w14:paraId="28D98A6B">
      <w:pPr>
        <w:pStyle w:val="3"/>
        <w:keepNext w:val="0"/>
        <w:keepLines w:val="0"/>
        <w:pageBreakBefore w:val="0"/>
        <w:widowControl w:val="0"/>
        <w:numPr>
          <w:ilvl w:val="255"/>
          <w:numId w:val="0"/>
        </w:numPr>
        <w:kinsoku w:val="0"/>
        <w:wordWrap/>
        <w:overflowPunct/>
        <w:topLinePunct w:val="0"/>
        <w:autoSpaceDE w:val="0"/>
        <w:autoSpaceDN w:val="0"/>
        <w:bidi w:val="0"/>
        <w:adjustRightInd w:val="0"/>
        <w:ind w:firstLine="631" w:firstLineChars="200"/>
        <w:textAlignment w:val="baseline"/>
        <w:rPr>
          <w:rFonts w:hint="eastAsia"/>
        </w:rPr>
      </w:pPr>
      <w:r>
        <w:rPr>
          <w:rFonts w:hint="eastAsia"/>
          <w:b/>
          <w:bCs/>
        </w:rPr>
        <w:t xml:space="preserve">第一条 </w:t>
      </w:r>
      <w:r>
        <w:rPr>
          <w:rFonts w:hint="eastAsia"/>
        </w:rPr>
        <w:t>为推进清华大学深圳国际研究生院（以下简称学院）在线课程建设，根据《教育部关于加强高等学校在线开放课程建设应用与管理的意见》《清华大</w:t>
      </w:r>
      <w:bookmarkStart w:id="0" w:name="_GoBack"/>
      <w:bookmarkEnd w:id="0"/>
      <w:r>
        <w:rPr>
          <w:rFonts w:hint="eastAsia"/>
        </w:rPr>
        <w:t>学知识产权管理规定》《清华大学关于加强在线教育工作的若干意见》等文件要求，结合学院实际，制定本办法。</w:t>
      </w:r>
    </w:p>
    <w:p w14:paraId="5E62BD39">
      <w:pPr>
        <w:pStyle w:val="3"/>
        <w:keepNext w:val="0"/>
        <w:keepLines w:val="0"/>
        <w:pageBreakBefore w:val="0"/>
        <w:widowControl w:val="0"/>
        <w:kinsoku w:val="0"/>
        <w:wordWrap/>
        <w:overflowPunct/>
        <w:topLinePunct w:val="0"/>
        <w:autoSpaceDE w:val="0"/>
        <w:autoSpaceDN w:val="0"/>
        <w:bidi w:val="0"/>
        <w:adjustRightInd w:val="0"/>
        <w:ind w:firstLine="678"/>
        <w:textAlignment w:val="baseline"/>
        <w:rPr>
          <w:rFonts w:hint="eastAsia"/>
          <w:lang w:eastAsia="en-US"/>
        </w:rPr>
      </w:pPr>
      <w:r>
        <w:rPr>
          <w:rFonts w:hint="eastAsia"/>
          <w:b/>
          <w:bCs/>
          <w:spacing w:val="18"/>
        </w:rPr>
        <w:t xml:space="preserve">第二条 </w:t>
      </w:r>
      <w:r>
        <w:rPr>
          <w:rFonts w:hint="eastAsia"/>
          <w:spacing w:val="18"/>
        </w:rPr>
        <w:t>本办法所称的在线课程，是指大规</w:t>
      </w:r>
      <w:r>
        <w:rPr>
          <w:rFonts w:hint="eastAsia"/>
          <w:spacing w:val="17"/>
        </w:rPr>
        <w:t>模在线开放课程（</w:t>
      </w:r>
      <w:r>
        <w:rPr>
          <w:rFonts w:hint="eastAsia"/>
        </w:rPr>
        <w:t>Massive Online Open Courses，以下简称</w:t>
      </w:r>
      <w:r>
        <w:rPr>
          <w:rFonts w:hint="eastAsia"/>
          <w:spacing w:val="-46"/>
        </w:rPr>
        <w:t xml:space="preserve"> </w:t>
      </w:r>
      <w:r>
        <w:rPr>
          <w:rFonts w:hint="eastAsia"/>
        </w:rPr>
        <w:t>MOOC）、小型私有化在</w:t>
      </w:r>
      <w:r>
        <w:rPr>
          <w:rFonts w:hint="eastAsia"/>
          <w:spacing w:val="-4"/>
        </w:rPr>
        <w:t>线课程（Small Private</w:t>
      </w:r>
      <w:r>
        <w:rPr>
          <w:rFonts w:hint="eastAsia"/>
        </w:rPr>
        <w:t xml:space="preserve"> </w:t>
      </w:r>
      <w:r>
        <w:rPr>
          <w:rFonts w:hint="eastAsia"/>
          <w:spacing w:val="-2"/>
        </w:rPr>
        <w:t>Online Courses，以下简称</w:t>
      </w:r>
      <w:r>
        <w:rPr>
          <w:rFonts w:hint="eastAsia"/>
          <w:spacing w:val="-30"/>
        </w:rPr>
        <w:t xml:space="preserve"> </w:t>
      </w:r>
      <w:r>
        <w:rPr>
          <w:rFonts w:hint="eastAsia"/>
          <w:spacing w:val="-2"/>
        </w:rPr>
        <w:t>SPOC）和其他形式的在线课程。</w:t>
      </w:r>
    </w:p>
    <w:p w14:paraId="12BD46D7">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rPr>
      </w:pPr>
      <w:r>
        <w:rPr>
          <w:rFonts w:hint="eastAsia"/>
          <w:b/>
          <w:bCs/>
        </w:rPr>
        <w:t>第三条</w:t>
      </w:r>
      <w:r>
        <w:rPr>
          <w:rFonts w:hint="eastAsia"/>
        </w:rPr>
        <w:t xml:space="preserve"> 在线课程建设以学院公共基础课、专业基础课及核心课、学</w:t>
      </w:r>
      <w:r>
        <w:rPr>
          <w:rFonts w:hint="eastAsia"/>
          <w:spacing w:val="-4"/>
        </w:rPr>
        <w:t>术与职</w:t>
      </w:r>
      <w:r>
        <w:rPr>
          <w:rFonts w:hint="eastAsia"/>
        </w:rPr>
        <w:t>业素养课为主，鼓励优势学科和特色课程以在线课程群的方式建设在线认证证书项目。</w:t>
      </w:r>
    </w:p>
    <w:p w14:paraId="708C3111">
      <w:pPr>
        <w:pStyle w:val="3"/>
        <w:keepNext w:val="0"/>
        <w:keepLines w:val="0"/>
        <w:pageBreakBefore w:val="0"/>
        <w:widowControl w:val="0"/>
        <w:kinsoku w:val="0"/>
        <w:wordWrap/>
        <w:overflowPunct/>
        <w:topLinePunct w:val="0"/>
        <w:autoSpaceDE w:val="0"/>
        <w:autoSpaceDN w:val="0"/>
        <w:bidi w:val="0"/>
        <w:adjustRightInd w:val="0"/>
        <w:ind w:firstLine="630"/>
        <w:textAlignment w:val="baseline"/>
        <w:rPr>
          <w:rFonts w:hint="eastAsia"/>
        </w:rPr>
      </w:pPr>
      <w:r>
        <w:rPr>
          <w:rFonts w:hint="eastAsia"/>
          <w:b/>
          <w:bCs/>
          <w:spacing w:val="-6"/>
        </w:rPr>
        <w:t>第四条</w:t>
      </w:r>
      <w:r>
        <w:rPr>
          <w:rFonts w:hint="eastAsia"/>
          <w:spacing w:val="-6"/>
        </w:rPr>
        <w:t xml:space="preserve"> 课程建设实行项目制，课程负责</w:t>
      </w:r>
      <w:r>
        <w:rPr>
          <w:rFonts w:hint="eastAsia"/>
          <w:spacing w:val="-7"/>
        </w:rPr>
        <w:t>人负责课程立项、拍摄、校对、讨</w:t>
      </w:r>
      <w:r>
        <w:rPr>
          <w:rFonts w:hint="eastAsia"/>
        </w:rPr>
        <w:t>论区维护、内容更新等。鼓励以学院教师为主、联合国内外优秀教师共同组建课</w:t>
      </w:r>
      <w:r>
        <w:rPr>
          <w:rFonts w:hint="eastAsia"/>
          <w:spacing w:val="-2"/>
        </w:rPr>
        <w:t>程团队的方式。</w:t>
      </w:r>
    </w:p>
    <w:p w14:paraId="0F94756E">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rPr>
      </w:pPr>
      <w:r>
        <w:rPr>
          <w:rFonts w:hint="eastAsia"/>
          <w:b/>
          <w:bCs/>
        </w:rPr>
        <w:t>第五条</w:t>
      </w:r>
      <w:r>
        <w:rPr>
          <w:rFonts w:hint="eastAsia"/>
        </w:rPr>
        <w:t xml:space="preserve"> 学院每年开展一次在线课程申报和遴选工作，课程负责人填</w:t>
      </w:r>
      <w:r>
        <w:rPr>
          <w:rFonts w:hint="eastAsia"/>
          <w:spacing w:val="-4"/>
        </w:rPr>
        <w:t>写《在</w:t>
      </w:r>
      <w:r>
        <w:rPr>
          <w:rFonts w:hint="eastAsia"/>
        </w:rPr>
        <w:t>线开放课程建设申报表》后，交由培养处进行形式审查，报学院教学委员会审批。</w:t>
      </w:r>
    </w:p>
    <w:p w14:paraId="6664380F">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rPr>
      </w:pPr>
      <w:r>
        <w:rPr>
          <w:rFonts w:hint="eastAsia"/>
          <w:b/>
          <w:bCs/>
        </w:rPr>
        <w:t>第六条</w:t>
      </w:r>
      <w:r>
        <w:rPr>
          <w:rFonts w:hint="eastAsia"/>
        </w:rPr>
        <w:t xml:space="preserve"> 学院教学委员会负责对拟建设课程进行审核，确保课程的学术性、规范性、艺术性及价值取向。</w:t>
      </w:r>
    </w:p>
    <w:p w14:paraId="1A967090">
      <w:pPr>
        <w:pStyle w:val="3"/>
        <w:keepNext w:val="0"/>
        <w:keepLines w:val="0"/>
        <w:pageBreakBefore w:val="0"/>
        <w:widowControl w:val="0"/>
        <w:kinsoku w:val="0"/>
        <w:wordWrap/>
        <w:overflowPunct/>
        <w:topLinePunct w:val="0"/>
        <w:autoSpaceDE w:val="0"/>
        <w:autoSpaceDN w:val="0"/>
        <w:bidi w:val="0"/>
        <w:adjustRightInd w:val="0"/>
        <w:ind w:firstLine="630"/>
        <w:textAlignment w:val="baseline"/>
        <w:rPr>
          <w:rFonts w:hint="eastAsia"/>
        </w:rPr>
      </w:pPr>
      <w:r>
        <w:rPr>
          <w:rFonts w:hint="eastAsia"/>
          <w:b/>
          <w:bCs/>
          <w:spacing w:val="-6"/>
        </w:rPr>
        <w:t xml:space="preserve">第七条 </w:t>
      </w:r>
      <w:r>
        <w:rPr>
          <w:rFonts w:hint="eastAsia"/>
          <w:spacing w:val="-6"/>
        </w:rPr>
        <w:t>在线开放课程的拍摄制作由学校统一</w:t>
      </w:r>
      <w:r>
        <w:rPr>
          <w:rFonts w:hint="eastAsia"/>
          <w:spacing w:val="-7"/>
        </w:rPr>
        <w:t>协调组织，课程团队具体落实。</w:t>
      </w:r>
      <w:r>
        <w:rPr>
          <w:rFonts w:hint="eastAsia"/>
        </w:rPr>
        <w:t>在线开放课程从立项到上线，建设周期为两年。制作完成的课程统一在学校</w:t>
      </w:r>
      <w:r>
        <w:rPr>
          <w:rFonts w:hint="eastAsia"/>
          <w:spacing w:val="-5"/>
        </w:rPr>
        <w:t>认可</w:t>
      </w:r>
      <w:r>
        <w:rPr>
          <w:rFonts w:hint="eastAsia"/>
        </w:rPr>
        <w:t>的</w:t>
      </w:r>
      <w:r>
        <w:rPr>
          <w:rFonts w:hint="eastAsia"/>
          <w:spacing w:val="-45"/>
        </w:rPr>
        <w:t xml:space="preserve"> </w:t>
      </w:r>
      <w:r>
        <w:rPr>
          <w:rFonts w:hint="eastAsia"/>
        </w:rPr>
        <w:t>MOOC</w:t>
      </w:r>
      <w:r>
        <w:rPr>
          <w:rFonts w:hint="eastAsia"/>
          <w:spacing w:val="-52"/>
        </w:rPr>
        <w:t xml:space="preserve"> </w:t>
      </w:r>
      <w:r>
        <w:rPr>
          <w:rFonts w:hint="eastAsia"/>
        </w:rPr>
        <w:t>平台上线并开展课程实践应用。</w:t>
      </w:r>
    </w:p>
    <w:p w14:paraId="6681027E">
      <w:pPr>
        <w:pStyle w:val="3"/>
        <w:keepNext w:val="0"/>
        <w:keepLines w:val="0"/>
        <w:pageBreakBefore w:val="0"/>
        <w:widowControl w:val="0"/>
        <w:kinsoku w:val="0"/>
        <w:wordWrap/>
        <w:overflowPunct/>
        <w:topLinePunct w:val="0"/>
        <w:autoSpaceDE w:val="0"/>
        <w:autoSpaceDN w:val="0"/>
        <w:bidi w:val="0"/>
        <w:adjustRightInd w:val="0"/>
        <w:ind w:firstLine="630"/>
        <w:textAlignment w:val="baseline"/>
        <w:rPr>
          <w:rFonts w:hint="eastAsia"/>
        </w:rPr>
      </w:pPr>
      <w:r>
        <w:rPr>
          <w:rFonts w:hint="eastAsia"/>
          <w:b/>
          <w:bCs/>
          <w:spacing w:val="-6"/>
        </w:rPr>
        <w:t>第八条</w:t>
      </w:r>
      <w:r>
        <w:rPr>
          <w:rFonts w:hint="eastAsia"/>
          <w:spacing w:val="-6"/>
        </w:rPr>
        <w:t xml:space="preserve"> 学院立项建设的在线开放课程及相关资源属于教师职务创造，知识</w:t>
      </w:r>
      <w:r>
        <w:rPr>
          <w:rFonts w:hint="eastAsia"/>
        </w:rPr>
        <w:t>产权归清华大学所有, 署名权归课程教师团队成员享有（具体成员以学院立项批复为准）。课程建设所使用的资源，应保证知识产权</w:t>
      </w:r>
      <w:r>
        <w:rPr>
          <w:rFonts w:hint="eastAsia"/>
          <w:spacing w:val="-5"/>
        </w:rPr>
        <w:t>明晰，无侵权行为。</w:t>
      </w:r>
    </w:p>
    <w:p w14:paraId="5E76C80F">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rPr>
      </w:pPr>
      <w:r>
        <w:rPr>
          <w:rFonts w:hint="eastAsia"/>
          <w:b/>
          <w:bCs/>
        </w:rPr>
        <w:t>第九条</w:t>
      </w:r>
      <w:r>
        <w:rPr>
          <w:rFonts w:hint="eastAsia"/>
        </w:rPr>
        <w:t xml:space="preserve"> 在线开放课程完成建设并上线后，</w:t>
      </w:r>
      <w:r>
        <w:rPr>
          <w:rFonts w:hint="eastAsia"/>
          <w:spacing w:val="-7"/>
        </w:rPr>
        <w:t>鼓励教师实施翻转课堂、线上线</w:t>
      </w:r>
      <w:r>
        <w:rPr>
          <w:rFonts w:hint="eastAsia"/>
          <w:spacing w:val="-2"/>
        </w:rPr>
        <w:t>下相结合的混合式教学模式。</w:t>
      </w:r>
    </w:p>
    <w:p w14:paraId="1FE313DF">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rPr>
      </w:pPr>
      <w:r>
        <w:rPr>
          <w:rFonts w:hint="eastAsia"/>
          <w:b/>
          <w:bCs/>
        </w:rPr>
        <w:t>第十条</w:t>
      </w:r>
      <w:r>
        <w:rPr>
          <w:rFonts w:hint="eastAsia"/>
        </w:rPr>
        <w:t xml:space="preserve"> 教学效果突出、学生反响良好的在线课程，由学院教学委员会组织课程评价并择优推荐参评国家精品在线开放课程等奖项。</w:t>
      </w:r>
    </w:p>
    <w:p w14:paraId="0B9B166E">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rPr>
      </w:pPr>
      <w:r>
        <w:rPr>
          <w:rFonts w:hint="eastAsia"/>
          <w:b/>
          <w:bCs/>
        </w:rPr>
        <w:t>第十一条</w:t>
      </w:r>
      <w:r>
        <w:rPr>
          <w:rFonts w:hint="eastAsia"/>
        </w:rPr>
        <w:t xml:space="preserve"> 学院对获准立项的在线开放课程提供专项经费</w:t>
      </w:r>
      <w:r>
        <w:rPr>
          <w:rFonts w:hint="eastAsia"/>
          <w:spacing w:val="-6"/>
        </w:rPr>
        <w:t>支持，培养处统一</w:t>
      </w:r>
      <w:r>
        <w:rPr>
          <w:rFonts w:hint="eastAsia"/>
          <w:spacing w:val="-2"/>
        </w:rPr>
        <w:t>管理，主要用于课程制作、评审及更新维护等。</w:t>
      </w:r>
    </w:p>
    <w:p w14:paraId="08DBCB65">
      <w:pPr>
        <w:pStyle w:val="3"/>
        <w:keepNext w:val="0"/>
        <w:keepLines w:val="0"/>
        <w:pageBreakBefore w:val="0"/>
        <w:widowControl w:val="0"/>
        <w:kinsoku w:val="0"/>
        <w:wordWrap/>
        <w:overflowPunct/>
        <w:topLinePunct w:val="0"/>
        <w:autoSpaceDE w:val="0"/>
        <w:autoSpaceDN w:val="0"/>
        <w:bidi w:val="0"/>
        <w:adjustRightInd w:val="0"/>
        <w:ind w:firstLine="640"/>
        <w:textAlignment w:val="baseline"/>
        <w:rPr>
          <w:rFonts w:hint="eastAsia"/>
        </w:rPr>
      </w:pPr>
      <w:r>
        <w:rPr>
          <w:rFonts w:hint="eastAsia"/>
          <w:b/>
          <w:bCs/>
          <w:spacing w:val="-1"/>
        </w:rPr>
        <w:t>第十二条</w:t>
      </w:r>
      <w:r>
        <w:rPr>
          <w:rFonts w:hint="eastAsia"/>
          <w:spacing w:val="-1"/>
        </w:rPr>
        <w:t xml:space="preserve"> 学院为在线课程建设提供</w:t>
      </w:r>
      <w:r>
        <w:rPr>
          <w:rFonts w:hint="eastAsia"/>
          <w:spacing w:val="-34"/>
        </w:rPr>
        <w:t xml:space="preserve"> </w:t>
      </w:r>
      <w:r>
        <w:rPr>
          <w:rFonts w:hint="eastAsia"/>
          <w:spacing w:val="-1"/>
        </w:rPr>
        <w:t>MOOC</w:t>
      </w:r>
      <w:r>
        <w:rPr>
          <w:rFonts w:hint="eastAsia"/>
          <w:spacing w:val="-37"/>
        </w:rPr>
        <w:t xml:space="preserve"> </w:t>
      </w:r>
      <w:r>
        <w:rPr>
          <w:rFonts w:hint="eastAsia"/>
          <w:spacing w:val="-1"/>
        </w:rPr>
        <w:t>制作空间、讨论型教室、智慧教</w:t>
      </w:r>
      <w:r>
        <w:rPr>
          <w:rFonts w:hint="eastAsia"/>
        </w:rPr>
        <w:t>室等基础设施。培养处负责对接</w:t>
      </w:r>
      <w:r>
        <w:rPr>
          <w:rFonts w:hint="eastAsia"/>
          <w:spacing w:val="-46"/>
        </w:rPr>
        <w:t xml:space="preserve"> </w:t>
      </w:r>
      <w:r>
        <w:rPr>
          <w:rFonts w:hint="eastAsia"/>
        </w:rPr>
        <w:t>MOOC</w:t>
      </w:r>
      <w:r>
        <w:rPr>
          <w:rFonts w:hint="eastAsia"/>
          <w:spacing w:val="-39"/>
        </w:rPr>
        <w:t xml:space="preserve"> </w:t>
      </w:r>
      <w:r>
        <w:rPr>
          <w:rFonts w:hint="eastAsia"/>
        </w:rPr>
        <w:t>平台、监控</w:t>
      </w:r>
      <w:r>
        <w:rPr>
          <w:rFonts w:hint="eastAsia"/>
          <w:spacing w:val="-6"/>
        </w:rPr>
        <w:t>课程质量，保</w:t>
      </w:r>
      <w:r>
        <w:rPr>
          <w:rFonts w:hint="eastAsia"/>
        </w:rPr>
        <w:t>障在线课程建设顺利实施。</w:t>
      </w:r>
    </w:p>
    <w:p w14:paraId="1576DB80">
      <w:pPr>
        <w:pStyle w:val="3"/>
        <w:keepNext w:val="0"/>
        <w:keepLines w:val="0"/>
        <w:pageBreakBefore w:val="0"/>
        <w:widowControl w:val="0"/>
        <w:kinsoku w:val="0"/>
        <w:wordWrap/>
        <w:overflowPunct/>
        <w:topLinePunct w:val="0"/>
        <w:autoSpaceDE w:val="0"/>
        <w:autoSpaceDN w:val="0"/>
        <w:bidi w:val="0"/>
        <w:adjustRightInd w:val="0"/>
        <w:ind w:firstLine="650"/>
        <w:textAlignment w:val="baseline"/>
        <w:rPr>
          <w:rFonts w:hint="eastAsia"/>
        </w:rPr>
      </w:pPr>
      <w:r>
        <w:rPr>
          <w:rFonts w:hint="eastAsia"/>
          <w:b/>
          <w:bCs/>
          <w:spacing w:val="4"/>
        </w:rPr>
        <w:t>第十三条</w:t>
      </w:r>
      <w:r>
        <w:rPr>
          <w:rFonts w:hint="eastAsia"/>
          <w:spacing w:val="4"/>
        </w:rPr>
        <w:t xml:space="preserve"> 学院对在线课程首次上线运行学期教师的课酬计算时，教学工作量按三倍计算；其他情况下均按一倍计算。</w:t>
      </w:r>
      <w:r>
        <w:rPr>
          <w:rFonts w:hint="eastAsia"/>
        </w:rPr>
        <w:t>学院对已启动拍摄的在线课程按照2万元/门的标准发放启动金。在线课程授课教师工作量及奖励分配由课程团队协商决定。学院为每门在</w:t>
      </w:r>
      <w:r>
        <w:rPr>
          <w:rFonts w:hint="eastAsia"/>
          <w:spacing w:val="-5"/>
        </w:rPr>
        <w:t>线课程配备助教。</w:t>
      </w:r>
    </w:p>
    <w:p w14:paraId="287DA9D5">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rPr>
      </w:pPr>
      <w:r>
        <w:rPr>
          <w:rFonts w:hint="eastAsia"/>
          <w:b/>
          <w:bCs/>
        </w:rPr>
        <w:t>第十四条</w:t>
      </w:r>
      <w:r>
        <w:rPr>
          <w:rFonts w:hint="eastAsia"/>
        </w:rPr>
        <w:t xml:space="preserve"> 在线开放课程对外运行中所产生的收益由学院和MOOC</w:t>
      </w:r>
      <w:r>
        <w:rPr>
          <w:rFonts w:hint="eastAsia"/>
          <w:spacing w:val="-2"/>
        </w:rPr>
        <w:t>平台按照比例分成，具体以签署的合同为</w:t>
      </w:r>
      <w:r>
        <w:rPr>
          <w:rFonts w:hint="eastAsia"/>
        </w:rPr>
        <w:t>准。</w:t>
      </w:r>
    </w:p>
    <w:p w14:paraId="1C3D5C05">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rPr>
      </w:pPr>
      <w:r>
        <w:rPr>
          <w:rFonts w:hint="eastAsia"/>
          <w:b/>
          <w:bCs/>
        </w:rPr>
        <w:t>第十五条</w:t>
      </w:r>
      <w:r>
        <w:rPr>
          <w:rFonts w:hint="eastAsia"/>
        </w:rPr>
        <w:t xml:space="preserve"> 经学校授权许可、在国内外MOOC</w:t>
      </w:r>
      <w:r>
        <w:rPr>
          <w:rFonts w:hint="eastAsia"/>
          <w:spacing w:val="-4"/>
        </w:rPr>
        <w:t>运行的在</w:t>
      </w:r>
      <w:r>
        <w:rPr>
          <w:rFonts w:hint="eastAsia"/>
        </w:rPr>
        <w:t>线证书项目所获收益（扣除学院前期投入和运营成本）按照学院</w:t>
      </w:r>
      <w:r>
        <w:rPr>
          <w:rFonts w:hint="eastAsia"/>
          <w:spacing w:val="-6"/>
        </w:rPr>
        <w:t>30%、在线证书项目课程授课团队70%的比例进行分配。在线证书项目课程授</w:t>
      </w:r>
      <w:r>
        <w:rPr>
          <w:rFonts w:hint="eastAsia"/>
        </w:rPr>
        <w:t>课教师的收益分成由授课团队协商决定。</w:t>
      </w:r>
    </w:p>
    <w:p w14:paraId="06AE8447">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rFonts w:hint="eastAsia"/>
          <w:b/>
          <w:bCs/>
        </w:rPr>
      </w:pPr>
      <w:r>
        <w:rPr>
          <w:rFonts w:hint="eastAsia"/>
          <w:b/>
          <w:bCs/>
        </w:rPr>
        <w:t>第十六条</w:t>
      </w:r>
      <w:r>
        <w:rPr>
          <w:rFonts w:hint="eastAsia"/>
        </w:rPr>
        <w:t xml:space="preserve"> 本办法由培养处负责解释。</w:t>
      </w:r>
    </w:p>
    <w:p w14:paraId="2E96C173">
      <w:pPr>
        <w:pStyle w:val="3"/>
        <w:keepNext w:val="0"/>
        <w:keepLines w:val="0"/>
        <w:pageBreakBefore w:val="0"/>
        <w:widowControl w:val="0"/>
        <w:kinsoku w:val="0"/>
        <w:wordWrap/>
        <w:overflowPunct/>
        <w:topLinePunct w:val="0"/>
        <w:autoSpaceDE w:val="0"/>
        <w:autoSpaceDN w:val="0"/>
        <w:bidi w:val="0"/>
        <w:adjustRightInd w:val="0"/>
        <w:ind w:firstLine="637"/>
        <w:textAlignment w:val="baseline"/>
        <w:rPr>
          <w:sz w:val="2"/>
          <w:lang w:eastAsia="zh-CN"/>
        </w:rPr>
      </w:pPr>
      <w:r>
        <w:rPr>
          <w:rFonts w:hint="eastAsia"/>
          <w:b/>
          <w:bCs/>
        </w:rPr>
        <w:t>第十七条</w:t>
      </w:r>
      <w:r>
        <w:rPr>
          <w:rFonts w:hint="eastAsia"/>
        </w:rPr>
        <w:t xml:space="preserve"> 本办法自公布之日起施行。</w:t>
      </w:r>
    </w:p>
    <w:sectPr>
      <w:footerReference r:id="rId3" w:type="default"/>
      <w:pgSz w:w="11907" w:h="16839"/>
      <w:pgMar w:top="1440" w:right="1633" w:bottom="1440" w:left="1633" w:header="0"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0F3C52" w:usb2="00000016" w:usb3="00000000" w:csb0="0004001F"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Annai MN">
    <w:panose1 w:val="00000500000000000000"/>
    <w:charset w:val="00"/>
    <w:family w:val="auto"/>
    <w:pitch w:val="default"/>
    <w:sig w:usb0="20108007" w:usb1="02000000" w:usb2="00000000" w:usb3="00000000" w:csb0="2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0E372">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1999AAB">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41999AAB">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C641CD">
                          <w:pPr>
                            <w:pStyle w:val="4"/>
                            <w:rPr>
                              <w:rFonts w:ascii="Times New Roman Regular" w:hAnsi="Times New Roman Regular" w:cs="Times New Roman Regular"/>
                              <w:sz w:val="20"/>
                              <w:szCs w:val="20"/>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6C641CD">
                    <w:pPr>
                      <w:pStyle w:val="4"/>
                      <w:rPr>
                        <w:rFonts w:ascii="Times New Roman Regular" w:hAnsi="Times New Roman Regular" w:cs="Times New Roman Regular"/>
                        <w:sz w:val="20"/>
                        <w:szCs w:val="20"/>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hhMjI5MTg1MmY0NzUwODljYTQ5MWU2YmVkYzRmMTAifQ=="/>
  </w:docVars>
  <w:rsids>
    <w:rsidRoot w:val="00562C97"/>
    <w:rsid w:val="000858AA"/>
    <w:rsid w:val="00087A56"/>
    <w:rsid w:val="00146E32"/>
    <w:rsid w:val="001B03AF"/>
    <w:rsid w:val="00251790"/>
    <w:rsid w:val="002610E2"/>
    <w:rsid w:val="002C7124"/>
    <w:rsid w:val="00491551"/>
    <w:rsid w:val="00562C97"/>
    <w:rsid w:val="005E6339"/>
    <w:rsid w:val="006D0889"/>
    <w:rsid w:val="007A4F65"/>
    <w:rsid w:val="008159BD"/>
    <w:rsid w:val="0087380F"/>
    <w:rsid w:val="008D24AD"/>
    <w:rsid w:val="00B125C3"/>
    <w:rsid w:val="00BD18AE"/>
    <w:rsid w:val="00D54101"/>
    <w:rsid w:val="00D874D3"/>
    <w:rsid w:val="00DB64B3"/>
    <w:rsid w:val="00DE5D85"/>
    <w:rsid w:val="00E70CFA"/>
    <w:rsid w:val="00E74D15"/>
    <w:rsid w:val="00F8136B"/>
    <w:rsid w:val="00FA5861"/>
    <w:rsid w:val="025255A8"/>
    <w:rsid w:val="0D056E15"/>
    <w:rsid w:val="10AD0C8E"/>
    <w:rsid w:val="14BC0C10"/>
    <w:rsid w:val="15130214"/>
    <w:rsid w:val="16774FDE"/>
    <w:rsid w:val="1919523B"/>
    <w:rsid w:val="22FA1D24"/>
    <w:rsid w:val="28287DBF"/>
    <w:rsid w:val="383D5850"/>
    <w:rsid w:val="435D64FE"/>
    <w:rsid w:val="53786F81"/>
    <w:rsid w:val="58FF02D3"/>
    <w:rsid w:val="653F184A"/>
    <w:rsid w:val="67A34110"/>
    <w:rsid w:val="6AE30BF6"/>
    <w:rsid w:val="6DC86354"/>
    <w:rsid w:val="77EF049F"/>
    <w:rsid w:val="7DFBE163"/>
    <w:rsid w:val="7EAA75C3"/>
    <w:rsid w:val="AFEF3EDB"/>
    <w:rsid w:val="BDDF2C94"/>
    <w:rsid w:val="C4FD5372"/>
    <w:rsid w:val="C8B94390"/>
    <w:rsid w:val="F1FB6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autoRedefine/>
    <w:semiHidden/>
    <w:qFormat/>
    <w:uiPriority w:val="0"/>
    <w:pPr>
      <w:snapToGrid/>
      <w:spacing w:line="560" w:lineRule="exact"/>
      <w:ind w:firstLine="634" w:firstLineChars="200"/>
    </w:pPr>
    <w:rPr>
      <w:rFonts w:ascii="仿宋_GB2312" w:hAnsi="宋体" w:eastAsia="仿宋_GB2312" w:cs="宋体"/>
      <w:spacing w:val="-3"/>
      <w:sz w:val="32"/>
      <w:szCs w:val="32"/>
      <w:lang w:eastAsia="zh-CN"/>
    </w:rPr>
  </w:style>
  <w:style w:type="paragraph" w:styleId="4">
    <w:name w:val="footer"/>
    <w:basedOn w:val="1"/>
    <w:link w:val="13"/>
    <w:uiPriority w:val="0"/>
    <w:pPr>
      <w:tabs>
        <w:tab w:val="center" w:pos="4153"/>
        <w:tab w:val="right" w:pos="8306"/>
      </w:tabs>
    </w:pPr>
    <w:rPr>
      <w:sz w:val="18"/>
      <w:szCs w:val="18"/>
    </w:rPr>
  </w:style>
  <w:style w:type="paragraph" w:styleId="5">
    <w:name w:val="header"/>
    <w:basedOn w:val="1"/>
    <w:link w:val="12"/>
    <w:uiPriority w:val="0"/>
    <w:pPr>
      <w:tabs>
        <w:tab w:val="center" w:pos="4153"/>
        <w:tab w:val="right" w:pos="8306"/>
      </w:tabs>
      <w:jc w:val="center"/>
    </w:pPr>
    <w:rPr>
      <w:sz w:val="18"/>
      <w:szCs w:val="18"/>
    </w:rPr>
  </w:style>
  <w:style w:type="character" w:styleId="8">
    <w:name w:val="annotation reference"/>
    <w:basedOn w:val="7"/>
    <w:qFormat/>
    <w:uiPriority w:val="0"/>
    <w:rPr>
      <w:sz w:val="21"/>
      <w:szCs w:val="21"/>
    </w:rPr>
  </w:style>
  <w:style w:type="table" w:customStyle="1" w:styleId="9">
    <w:name w:val="Table Normal"/>
    <w:autoRedefine/>
    <w:semiHidden/>
    <w:unhideWhenUsed/>
    <w:qFormat/>
    <w:uiPriority w:val="0"/>
    <w:tblPr>
      <w:tblCellMar>
        <w:top w:w="0" w:type="dxa"/>
        <w:left w:w="0" w:type="dxa"/>
        <w:bottom w:w="0" w:type="dxa"/>
        <w:right w:w="0" w:type="dxa"/>
      </w:tblCellMar>
    </w:tblPr>
  </w:style>
  <w:style w:type="paragraph" w:customStyle="1" w:styleId="10">
    <w:name w:val="Table Text"/>
    <w:basedOn w:val="1"/>
    <w:autoRedefine/>
    <w:semiHidden/>
    <w:qFormat/>
    <w:uiPriority w:val="0"/>
    <w:rPr>
      <w:rFonts w:ascii="仿宋" w:hAnsi="仿宋" w:eastAsia="仿宋" w:cs="仿宋"/>
      <w:sz w:val="24"/>
      <w:szCs w:val="24"/>
    </w:rPr>
  </w:style>
  <w:style w:type="paragraph" w:customStyle="1" w:styleId="11">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12">
    <w:name w:val="页眉 字符"/>
    <w:basedOn w:val="7"/>
    <w:link w:val="5"/>
    <w:qFormat/>
    <w:uiPriority w:val="0"/>
    <w:rPr>
      <w:rFonts w:eastAsia="Arial"/>
      <w:snapToGrid w:val="0"/>
      <w:color w:val="000000"/>
      <w:sz w:val="18"/>
      <w:szCs w:val="18"/>
      <w:lang w:eastAsia="en-US"/>
    </w:rPr>
  </w:style>
  <w:style w:type="character" w:customStyle="1" w:styleId="13">
    <w:name w:val="页脚 字符"/>
    <w:basedOn w:val="7"/>
    <w:link w:val="4"/>
    <w:uiPriority w:val="0"/>
    <w:rPr>
      <w:rFonts w:eastAsia="Arial"/>
      <w:snapToGrid w:val="0"/>
      <w:color w:val="000000"/>
      <w:sz w:val="18"/>
      <w:szCs w:val="18"/>
      <w:lang w:eastAsia="en-US"/>
    </w:rPr>
  </w:style>
  <w:style w:type="paragraph" w:customStyle="1" w:styleId="14">
    <w:name w:val="Revision"/>
    <w:hidden/>
    <w:unhideWhenUsed/>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21F35A-7474-4621-BDFA-3D1546C25173}">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1464</Words>
  <Characters>1542</Characters>
  <Lines>101</Lines>
  <Paragraphs>68</Paragraphs>
  <TotalTime>3</TotalTime>
  <ScaleCrop>false</ScaleCrop>
  <LinksUpToDate>false</LinksUpToDate>
  <CharactersWithSpaces>1642</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2026-01-04T22:10:00Z</dcterms:created>
  <dc:creator>nicole</dc:creator>
  <cp:lastModifiedBy>谭沙丽</cp:lastModifiedBy>
  <dcterms:modified xsi:type="dcterms:W3CDTF">2026-01-08T17:24:03Z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2024-03-19T09:10:09Z</vt:filetime>
  </property>
  <property fmtid="{D5CDD505-2E9C-101B-9397-08002B2CF9AE}" pid="4" name="KSOProductBuildVer">
    <vt:lpwstr>2052-12.1.24031.24031</vt:lpwstr>
  </property>
  <property fmtid="{D5CDD505-2E9C-101B-9397-08002B2CF9AE}" pid="5" name="ICV">
    <vt:lpwstr>5F06C8175249F0C0438F5A69B658904D_43</vt:lpwstr>
  </property>
  <property fmtid="{D5CDD505-2E9C-101B-9397-08002B2CF9AE}" pid="6" name="KSOTemplateDocerSaveRecord">
    <vt:lpwstr>eyJoZGlkIjoiYmJiNDY5ODA2NTFiODdlMmM3NTkwZGM3Y2QwMzI4NDYiLCJ1c2VySWQiOiIyNDk0NzU3ODcifQ==</vt:lpwstr>
  </property>
</Properties>
</file>