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39AE6">
      <w:pPr>
        <w:spacing w:line="480" w:lineRule="atLeast"/>
        <w:jc w:val="right"/>
        <w:rPr>
          <w:rFonts w:hint="eastAsia" w:ascii="方正小标宋简体" w:eastAsia="方正小标宋简体"/>
          <w:bCs/>
          <w:sz w:val="36"/>
          <w:szCs w:val="36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清深国院规〔202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〕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  <w:lang w:val="en-US" w:eastAsia="zh-CN"/>
        </w:rPr>
        <w:t>14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号</w:t>
      </w:r>
    </w:p>
    <w:p w14:paraId="290BD4BE">
      <w:pPr>
        <w:spacing w:line="480" w:lineRule="atLeast"/>
        <w:jc w:val="center"/>
        <w:rPr>
          <w:rFonts w:ascii="方正小标宋简体" w:eastAsia="方正小标宋简体"/>
          <w:bCs/>
          <w:sz w:val="36"/>
          <w:szCs w:val="36"/>
        </w:rPr>
      </w:pPr>
      <w:r>
        <w:rPr>
          <w:rFonts w:hint="eastAsia" w:ascii="方正小标宋简体" w:eastAsia="方正小标宋简体"/>
          <w:bCs/>
          <w:sz w:val="36"/>
          <w:szCs w:val="36"/>
        </w:rPr>
        <w:t>清华大学深圳国际研究生院</w:t>
      </w:r>
    </w:p>
    <w:p w14:paraId="4589A8F6">
      <w:pPr>
        <w:spacing w:line="480" w:lineRule="atLeast"/>
        <w:jc w:val="center"/>
        <w:rPr>
          <w:rFonts w:ascii="方正小标宋简体" w:eastAsia="方正小标宋简体"/>
          <w:bCs/>
          <w:sz w:val="36"/>
          <w:szCs w:val="36"/>
        </w:rPr>
      </w:pPr>
      <w:r>
        <w:rPr>
          <w:rFonts w:hint="eastAsia" w:ascii="方正小标宋简体" w:eastAsia="方正小标宋简体"/>
          <w:bCs/>
          <w:sz w:val="36"/>
          <w:szCs w:val="36"/>
        </w:rPr>
        <w:t>研究生基本奖助与“三助”工作实施细则</w:t>
      </w:r>
    </w:p>
    <w:p w14:paraId="31EFFFE8">
      <w:pPr>
        <w:spacing w:line="480" w:lineRule="atLeast"/>
        <w:jc w:val="center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经二〇一七年第四次院务会（2017年5月11日）审议通过，</w:t>
      </w:r>
    </w:p>
    <w:p w14:paraId="043BCCE7">
      <w:pPr>
        <w:spacing w:line="480" w:lineRule="atLeast"/>
        <w:jc w:val="center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二〇二五年第七十四次党政联席会议（2025年12月29日）修订</w:t>
      </w:r>
    </w:p>
    <w:p w14:paraId="0154B131">
      <w:pPr>
        <w:spacing w:line="480" w:lineRule="atLeast"/>
        <w:jc w:val="center"/>
        <w:rPr>
          <w:rFonts w:hint="eastAsia" w:ascii="仿宋_GB2312" w:hAnsi="仿宋" w:eastAsia="仿宋_GB2312"/>
          <w:sz w:val="32"/>
          <w:szCs w:val="32"/>
        </w:rPr>
      </w:pPr>
    </w:p>
    <w:p w14:paraId="7E691DDA">
      <w:pPr>
        <w:spacing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第一章  总  则</w:t>
      </w:r>
    </w:p>
    <w:p w14:paraId="4D23CB0B">
      <w:pPr>
        <w:snapToGrid w:val="0"/>
        <w:spacing w:line="560" w:lineRule="exact"/>
        <w:ind w:firstLine="643" w:firstLineChars="200"/>
        <w:jc w:val="left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第一条</w:t>
      </w:r>
      <w:r>
        <w:rPr>
          <w:rFonts w:hint="eastAsia" w:ascii="仿宋_GB2312" w:eastAsia="仿宋_GB2312"/>
          <w:sz w:val="32"/>
          <w:szCs w:val="32"/>
        </w:rPr>
        <w:t xml:space="preserve"> 为规范清华大学深圳国际研究生院（以下简称学院）研究生基本奖助发放与“三助”岗位管理，</w:t>
      </w:r>
      <w:r>
        <w:rPr>
          <w:rFonts w:hint="eastAsia" w:ascii="仿宋_GB2312" w:eastAsia="仿宋_GB2312" w:hAnsiTheme="minorEastAsia"/>
          <w:sz w:val="32"/>
          <w:szCs w:val="32"/>
        </w:rPr>
        <w:t>根据《清华大学研究生奖助工作实施办法》，结合</w:t>
      </w:r>
      <w:r>
        <w:rPr>
          <w:rFonts w:hint="eastAsia" w:ascii="仿宋_GB2312" w:eastAsia="仿宋_GB2312"/>
          <w:sz w:val="32"/>
          <w:szCs w:val="32"/>
        </w:rPr>
        <w:t>学院</w:t>
      </w:r>
      <w:r>
        <w:rPr>
          <w:rFonts w:hint="eastAsia" w:ascii="仿宋_GB2312" w:eastAsia="仿宋_GB2312" w:hAnsiTheme="minorEastAsia"/>
          <w:sz w:val="32"/>
          <w:szCs w:val="32"/>
        </w:rPr>
        <w:t>实际情况，制定本实施细则。</w:t>
      </w:r>
    </w:p>
    <w:p w14:paraId="62D70A13">
      <w:pPr>
        <w:snapToGrid w:val="0"/>
        <w:spacing w:line="560" w:lineRule="exact"/>
        <w:ind w:firstLine="643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第二条</w:t>
      </w:r>
      <w:r>
        <w:rPr>
          <w:rFonts w:hint="eastAsia" w:ascii="仿宋_GB2312" w:eastAsia="仿宋_GB2312"/>
          <w:sz w:val="32"/>
          <w:szCs w:val="32"/>
        </w:rPr>
        <w:t xml:space="preserve"> 本实施细则适用于学院所有在读的全日制研究生（有固定工资收入的除外）。</w:t>
      </w:r>
    </w:p>
    <w:p w14:paraId="5143BDFB">
      <w:pPr>
        <w:snapToGrid w:val="0"/>
        <w:spacing w:line="560" w:lineRule="exact"/>
        <w:ind w:firstLine="643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 xml:space="preserve">第三条 </w:t>
      </w:r>
      <w:r>
        <w:rPr>
          <w:rFonts w:hint="eastAsia" w:ascii="仿宋_GB2312" w:eastAsia="仿宋_GB2312"/>
          <w:sz w:val="32"/>
          <w:szCs w:val="32"/>
        </w:rPr>
        <w:t>学院研究生奖助工作领导小组统筹领导学院研究生奖助工作。相关部门及导师在职责范围内承担相应工作。</w:t>
      </w:r>
    </w:p>
    <w:p w14:paraId="1A748EFF">
      <w:pPr>
        <w:snapToGrid w:val="0"/>
        <w:spacing w:line="560" w:lineRule="exact"/>
        <w:ind w:firstLine="643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第四条</w:t>
      </w:r>
      <w:r>
        <w:rPr>
          <w:rFonts w:hint="eastAsia" w:ascii="仿宋_GB2312" w:eastAsia="仿宋_GB2312"/>
          <w:sz w:val="32"/>
          <w:szCs w:val="32"/>
        </w:rPr>
        <w:t xml:space="preserve"> 学院统筹利用各种资金，充分发挥学院、教学科研机构和导师的积极作用，为研究生安心学习、顺利完成学业提供基础的资助保障。</w:t>
      </w:r>
    </w:p>
    <w:p w14:paraId="11F0706F">
      <w:pPr>
        <w:spacing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第二章  基本奖助</w:t>
      </w:r>
    </w:p>
    <w:p w14:paraId="4B2A64E8">
      <w:pPr>
        <w:snapToGrid w:val="0"/>
        <w:spacing w:line="560" w:lineRule="exact"/>
        <w:ind w:firstLine="643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hAnsiTheme="minorEastAsia"/>
          <w:b/>
          <w:bCs/>
          <w:sz w:val="32"/>
          <w:szCs w:val="32"/>
        </w:rPr>
        <w:t xml:space="preserve">第五条 </w:t>
      </w:r>
      <w:r>
        <w:rPr>
          <w:rFonts w:hint="eastAsia" w:ascii="仿宋_GB2312" w:eastAsia="仿宋_GB2312" w:hAnsiTheme="minorEastAsia"/>
          <w:sz w:val="32"/>
          <w:szCs w:val="32"/>
        </w:rPr>
        <w:t>学院为每位在读且在基本修业年限内的全日制研究生</w:t>
      </w:r>
      <w:r>
        <w:rPr>
          <w:rFonts w:hint="eastAsia" w:ascii="仿宋_GB2312" w:eastAsia="仿宋_GB2312"/>
          <w:sz w:val="32"/>
          <w:szCs w:val="32"/>
        </w:rPr>
        <w:t>提供国家/学院助学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金、学业奖学金和生活补贴、伙食补贴，统称基本奖助。</w:t>
      </w:r>
    </w:p>
    <w:p w14:paraId="485A6AED">
      <w:pPr>
        <w:snapToGrid w:val="0"/>
        <w:spacing w:line="560" w:lineRule="exact"/>
        <w:ind w:firstLine="643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 xml:space="preserve">第六条 </w:t>
      </w:r>
      <w:r>
        <w:rPr>
          <w:rFonts w:hint="eastAsia" w:ascii="仿宋_GB2312" w:eastAsia="仿宋_GB2312"/>
          <w:sz w:val="32"/>
          <w:szCs w:val="32"/>
        </w:rPr>
        <w:t>基本奖助标准为：</w:t>
      </w:r>
    </w:p>
    <w:p w14:paraId="1200FD0F">
      <w:pPr>
        <w:snapToGrid w:val="0"/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（一）博士生：国家/学院助学金1.5万元/年、学业奖学金1.8万元/年、生活补贴1.2万元/年、伙食补贴720元/年。</w:t>
      </w:r>
    </w:p>
    <w:p w14:paraId="77366E13">
      <w:pPr>
        <w:snapToGrid w:val="0"/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（二）硕士生：国家助学金0.6万元/年、学业奖学金0.8万元/年、生活补贴0.72万元/年、伙食补贴720元/年。</w:t>
      </w:r>
    </w:p>
    <w:p w14:paraId="4EBE4987">
      <w:pPr>
        <w:snapToGrid w:val="0"/>
        <w:spacing w:line="560" w:lineRule="exact"/>
        <w:ind w:firstLine="643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 xml:space="preserve">第七条 </w:t>
      </w:r>
      <w:r>
        <w:rPr>
          <w:rFonts w:hint="eastAsia" w:ascii="仿宋_GB2312" w:eastAsia="仿宋_GB2312"/>
          <w:sz w:val="32"/>
          <w:szCs w:val="32"/>
        </w:rPr>
        <w:t>基本修业年限内的研究生</w:t>
      </w:r>
    </w:p>
    <w:p w14:paraId="45E52CED">
      <w:pPr>
        <w:snapToGrid w:val="0"/>
        <w:spacing w:line="560" w:lineRule="exact"/>
        <w:ind w:firstLine="643" w:firstLineChars="200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（一）学籍归属学院的</w:t>
      </w:r>
    </w:p>
    <w:p w14:paraId="4CE14CBB">
      <w:pPr>
        <w:snapToGrid w:val="0"/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1.中国籍（含港澳台）：学术学位研究生基本奖助包括国家助学金、学业奖学金、生活补贴和伙食补贴；专业学位研究生基本奖助包括国家助学金、生活补贴和伙食补贴。</w:t>
      </w:r>
    </w:p>
    <w:p w14:paraId="35B70968">
      <w:pPr>
        <w:snapToGrid w:val="0"/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2.非中国籍：学术学位博士生基本奖助包括学院助学金、学业奖学金、生活补贴和伙食补贴；专业学位博士生基本奖助包括学院助学金、生活补贴和伙食补贴；硕士生基本奖助为生活补贴。</w:t>
      </w:r>
    </w:p>
    <w:p w14:paraId="4250886C">
      <w:pPr>
        <w:snapToGrid w:val="0"/>
        <w:spacing w:line="560" w:lineRule="exact"/>
        <w:ind w:firstLine="643" w:firstLineChars="200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（二）学籍归属学校其他院系但在学院培养的</w:t>
      </w:r>
    </w:p>
    <w:p w14:paraId="42EA7F40">
      <w:pPr>
        <w:snapToGrid w:val="0"/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学院提供的基本奖助为生活补贴，仅在深圳培养期间发放。</w:t>
      </w:r>
    </w:p>
    <w:p w14:paraId="5D0DA231">
      <w:pPr>
        <w:snapToGrid w:val="0"/>
        <w:spacing w:line="560" w:lineRule="exact"/>
        <w:ind w:firstLine="643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 xml:space="preserve">第八条 </w:t>
      </w:r>
      <w:r>
        <w:rPr>
          <w:rFonts w:hint="eastAsia" w:ascii="仿宋_GB2312" w:eastAsia="仿宋_GB2312"/>
          <w:sz w:val="32"/>
          <w:szCs w:val="32"/>
        </w:rPr>
        <w:t>超基本修业年限的研究生，学院不再提供基本奖助。博士生延期资助按照学校标准执行。</w:t>
      </w:r>
    </w:p>
    <w:p w14:paraId="7200CCC8">
      <w:pPr>
        <w:snapToGrid w:val="0"/>
        <w:spacing w:line="560" w:lineRule="exact"/>
        <w:ind w:firstLine="643" w:firstLineChars="200"/>
        <w:jc w:val="left"/>
        <w:rPr>
          <w:rFonts w:hint="eastAsia" w:ascii="仿宋_GB2312" w:hAnsi="宋体" w:eastAsia="仿宋_GB2312"/>
          <w:color w:val="0D0D0D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 xml:space="preserve">第九条 </w:t>
      </w:r>
      <w:r>
        <w:rPr>
          <w:rFonts w:hint="eastAsia" w:ascii="仿宋_GB2312" w:eastAsia="仿宋_GB2312"/>
          <w:sz w:val="32"/>
          <w:szCs w:val="32"/>
        </w:rPr>
        <w:t>联培专项的研究生，基本奖助优先根据联培协议发放。如协议无明确条款，参照第七条、第八条标准执行。</w:t>
      </w:r>
    </w:p>
    <w:p w14:paraId="32FF98E8">
      <w:pPr>
        <w:snapToGrid w:val="0"/>
        <w:spacing w:line="560" w:lineRule="exact"/>
        <w:ind w:firstLine="643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 xml:space="preserve">第十条 </w:t>
      </w:r>
      <w:r>
        <w:rPr>
          <w:rFonts w:hint="eastAsia" w:ascii="仿宋_GB2312" w:eastAsia="仿宋_GB2312"/>
          <w:sz w:val="32"/>
          <w:szCs w:val="32"/>
        </w:rPr>
        <w:t>全日制研究生的基本奖助由培养处依据学籍状态按月发放；休、复学学生于休学次月停发、复学次月恢复发放基本奖助。</w:t>
      </w:r>
    </w:p>
    <w:p w14:paraId="67F16F64">
      <w:pPr>
        <w:snapToGrid w:val="0"/>
        <w:spacing w:line="560" w:lineRule="exact"/>
        <w:ind w:firstLine="643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第十一条</w:t>
      </w:r>
      <w:r>
        <w:rPr>
          <w:rFonts w:hint="eastAsia" w:ascii="仿宋_GB2312" w:eastAsia="仿宋_GB2312"/>
          <w:sz w:val="32"/>
          <w:szCs w:val="32"/>
        </w:rPr>
        <w:t xml:space="preserve"> 为</w:t>
      </w:r>
      <w:r>
        <w:rPr>
          <w:rFonts w:hint="eastAsia" w:ascii="仿宋_GB2312" w:hAnsi="宋体" w:eastAsia="仿宋_GB2312"/>
          <w:color w:val="0D0D0D"/>
          <w:sz w:val="32"/>
          <w:szCs w:val="32"/>
        </w:rPr>
        <w:t>促进本研衔接，对已被学院拟录取但尚未入学的学生（拟录取生），来院可给予适当支持。</w:t>
      </w:r>
    </w:p>
    <w:p w14:paraId="1B1B24BD">
      <w:pPr>
        <w:snapToGrid w:val="0"/>
        <w:spacing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第三章  三助岗位</w:t>
      </w:r>
    </w:p>
    <w:p w14:paraId="1A6B7D3D">
      <w:pPr>
        <w:snapToGrid w:val="0"/>
        <w:spacing w:line="560" w:lineRule="exact"/>
        <w:ind w:firstLine="643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第十</w:t>
      </w:r>
      <w:r>
        <w:rPr>
          <w:rFonts w:ascii="仿宋_GB2312" w:eastAsia="仿宋_GB2312"/>
          <w:b/>
          <w:bCs/>
          <w:sz w:val="32"/>
          <w:szCs w:val="32"/>
        </w:rPr>
        <w:t>二</w:t>
      </w:r>
      <w:r>
        <w:rPr>
          <w:rFonts w:hint="eastAsia" w:ascii="仿宋_GB2312" w:eastAsia="仿宋_GB2312"/>
          <w:b/>
          <w:bCs/>
          <w:sz w:val="32"/>
          <w:szCs w:val="32"/>
        </w:rPr>
        <w:t>条</w:t>
      </w:r>
      <w:r>
        <w:rPr>
          <w:rFonts w:hint="eastAsia" w:ascii="仿宋_GB2312" w:eastAsia="仿宋_GB2312" w:hAnsiTheme="minorEastAsia"/>
          <w:sz w:val="32"/>
          <w:szCs w:val="32"/>
        </w:rPr>
        <w:t xml:space="preserve"> 学院向在读且在基本修业年限内的全日制研究生提供研究助理、教学助理和管理助理（以下简称助研、助教和助管，统称“三助”）岗位</w:t>
      </w:r>
      <w:r>
        <w:rPr>
          <w:rFonts w:hint="eastAsia" w:ascii="仿宋_GB2312" w:eastAsia="仿宋_GB2312"/>
          <w:sz w:val="32"/>
          <w:szCs w:val="32"/>
        </w:rPr>
        <w:t>，促进研究生通过承担岗位工作获得经济资助，同时提高综合素质、发展职业能力。</w:t>
      </w:r>
    </w:p>
    <w:p w14:paraId="79C6DF98">
      <w:pPr>
        <w:snapToGrid w:val="0"/>
        <w:spacing w:line="560" w:lineRule="exact"/>
        <w:ind w:firstLine="643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第十</w:t>
      </w:r>
      <w:r>
        <w:rPr>
          <w:rFonts w:ascii="仿宋_GB2312" w:eastAsia="仿宋_GB2312"/>
          <w:b/>
          <w:bCs/>
          <w:sz w:val="32"/>
          <w:szCs w:val="32"/>
        </w:rPr>
        <w:t>三</w:t>
      </w:r>
      <w:r>
        <w:rPr>
          <w:rFonts w:hint="eastAsia" w:ascii="仿宋_GB2312" w:eastAsia="仿宋_GB2312"/>
          <w:b/>
          <w:bCs/>
          <w:sz w:val="32"/>
          <w:szCs w:val="32"/>
        </w:rPr>
        <w:t xml:space="preserve">条 </w:t>
      </w:r>
      <w:r>
        <w:rPr>
          <w:rFonts w:hint="eastAsia" w:ascii="仿宋_GB2312" w:eastAsia="仿宋_GB2312"/>
          <w:sz w:val="32"/>
          <w:szCs w:val="32"/>
        </w:rPr>
        <w:t>基于以学业为主的原则，每名研究生原则上不能同时承担两个及以上“三助”岗位。</w:t>
      </w:r>
    </w:p>
    <w:p w14:paraId="5BE6F633">
      <w:pPr>
        <w:snapToGrid w:val="0"/>
        <w:spacing w:line="560" w:lineRule="exact"/>
        <w:ind w:firstLine="643" w:firstLineChars="200"/>
        <w:jc w:val="left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第十</w:t>
      </w:r>
      <w:r>
        <w:rPr>
          <w:rFonts w:ascii="仿宋_GB2312" w:eastAsia="仿宋_GB2312"/>
          <w:b/>
          <w:bCs/>
          <w:sz w:val="32"/>
          <w:szCs w:val="32"/>
        </w:rPr>
        <w:t>四</w:t>
      </w:r>
      <w:r>
        <w:rPr>
          <w:rFonts w:hint="eastAsia" w:ascii="仿宋_GB2312" w:eastAsia="仿宋_GB2312"/>
          <w:b/>
          <w:bCs/>
          <w:sz w:val="32"/>
          <w:szCs w:val="32"/>
        </w:rPr>
        <w:t xml:space="preserve">条 </w:t>
      </w:r>
      <w:r>
        <w:rPr>
          <w:rFonts w:hint="eastAsia" w:ascii="仿宋_GB2312" w:eastAsia="仿宋_GB2312"/>
          <w:sz w:val="32"/>
          <w:szCs w:val="32"/>
        </w:rPr>
        <w:t>院设助教的管理工作由培养处负责统筹；院设助管的管理工作由学生工作办公室负责统筹。导师可根据教学科研需要自行为研究生设置“三助”岗位，并由导师提供岗位资助。</w:t>
      </w:r>
    </w:p>
    <w:p w14:paraId="76D6C312">
      <w:pPr>
        <w:snapToGrid w:val="0"/>
        <w:spacing w:line="560" w:lineRule="exact"/>
        <w:ind w:firstLine="643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hAnsiTheme="minorEastAsia"/>
          <w:b/>
          <w:bCs/>
          <w:sz w:val="32"/>
          <w:szCs w:val="32"/>
        </w:rPr>
        <w:t>第十</w:t>
      </w:r>
      <w:r>
        <w:rPr>
          <w:rFonts w:ascii="仿宋_GB2312" w:eastAsia="仿宋_GB2312" w:hAnsiTheme="minorEastAsia"/>
          <w:b/>
          <w:bCs/>
          <w:sz w:val="32"/>
          <w:szCs w:val="32"/>
        </w:rPr>
        <w:t>五</w:t>
      </w:r>
      <w:r>
        <w:rPr>
          <w:rFonts w:hint="eastAsia" w:ascii="仿宋_GB2312" w:eastAsia="仿宋_GB2312" w:hAnsiTheme="minorEastAsia"/>
          <w:b/>
          <w:bCs/>
          <w:sz w:val="32"/>
          <w:szCs w:val="32"/>
        </w:rPr>
        <w:t xml:space="preserve">条 </w:t>
      </w:r>
      <w:r>
        <w:rPr>
          <w:rFonts w:hint="eastAsia" w:ascii="仿宋_GB2312" w:eastAsia="仿宋_GB2312"/>
          <w:sz w:val="32"/>
          <w:szCs w:val="32"/>
        </w:rPr>
        <w:t>培养处、学生工作办公室需分别制定院设助教、院设助管的实施方案，落实相关管理工作。</w:t>
      </w:r>
    </w:p>
    <w:p w14:paraId="0D8B680F">
      <w:pPr>
        <w:numPr>
          <w:ilvl w:val="255"/>
          <w:numId w:val="0"/>
        </w:numPr>
        <w:snapToGrid w:val="0"/>
        <w:spacing w:line="560" w:lineRule="exact"/>
        <w:ind w:firstLine="643" w:firstLineChars="200"/>
        <w:jc w:val="left"/>
        <w:rPr>
          <w:rFonts w:hint="eastAsia" w:ascii="仿宋_GB2312" w:eastAsia="仿宋_GB2312" w:hAnsiTheme="minorEastAsia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第十</w:t>
      </w:r>
      <w:r>
        <w:rPr>
          <w:rFonts w:ascii="仿宋_GB2312" w:eastAsia="仿宋_GB2312"/>
          <w:b/>
          <w:bCs/>
          <w:sz w:val="32"/>
          <w:szCs w:val="32"/>
        </w:rPr>
        <w:t>六</w:t>
      </w:r>
      <w:r>
        <w:rPr>
          <w:rFonts w:hint="eastAsia" w:ascii="仿宋_GB2312" w:eastAsia="仿宋_GB2312"/>
          <w:b/>
          <w:bCs/>
          <w:sz w:val="32"/>
          <w:szCs w:val="32"/>
        </w:rPr>
        <w:t xml:space="preserve">条 </w:t>
      </w:r>
      <w:r>
        <w:rPr>
          <w:rFonts w:hint="eastAsia" w:ascii="仿宋_GB2312" w:eastAsia="仿宋_GB2312"/>
          <w:sz w:val="32"/>
          <w:szCs w:val="32"/>
        </w:rPr>
        <w:t>导师应按研究生科研工作量发放一定的助研类津贴。招收学术学位研究生的导师应当为所有符合条件且未获得校设、院设助教、助管岗位的研究生提供“三助”岗位或奖助金。</w:t>
      </w:r>
    </w:p>
    <w:p w14:paraId="1855B236">
      <w:pPr>
        <w:numPr>
          <w:ilvl w:val="255"/>
          <w:numId w:val="0"/>
        </w:numPr>
        <w:snapToGrid w:val="0"/>
        <w:spacing w:line="560" w:lineRule="exact"/>
        <w:ind w:firstLine="643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hAnsiTheme="minorEastAsia"/>
          <w:b/>
          <w:bCs/>
          <w:sz w:val="32"/>
          <w:szCs w:val="32"/>
        </w:rPr>
        <w:t>第十</w:t>
      </w:r>
      <w:r>
        <w:rPr>
          <w:rFonts w:ascii="仿宋_GB2312" w:eastAsia="仿宋_GB2312" w:hAnsiTheme="minorEastAsia"/>
          <w:b/>
          <w:bCs/>
          <w:sz w:val="32"/>
          <w:szCs w:val="32"/>
        </w:rPr>
        <w:t>七</w:t>
      </w:r>
      <w:r>
        <w:rPr>
          <w:rFonts w:hint="eastAsia" w:ascii="仿宋_GB2312" w:eastAsia="仿宋_GB2312" w:hAnsiTheme="minorEastAsia"/>
          <w:b/>
          <w:bCs/>
          <w:sz w:val="32"/>
          <w:szCs w:val="32"/>
        </w:rPr>
        <w:t>条</w:t>
      </w:r>
      <w:r>
        <w:rPr>
          <w:rFonts w:hint="eastAsia" w:ascii="仿宋_GB2312" w:eastAsia="仿宋_GB2312" w:hAnsiTheme="minorEastAsia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校设“三助”岗位资助标准为博士生每学期1.3万元，硕士生每学期0.8万元。院设或导师设立的“三助”岗位资助标准为博士生每学期不低于0.9万元，硕士生每学期不低于0.3万元。“三助”岗位资助根据上岗时间按月发放。</w:t>
      </w:r>
    </w:p>
    <w:p w14:paraId="647A96D5">
      <w:pPr>
        <w:widowControl/>
        <w:snapToGrid w:val="0"/>
        <w:spacing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第四章  附  则</w:t>
      </w:r>
    </w:p>
    <w:p w14:paraId="1F583AD0">
      <w:pPr>
        <w:snapToGrid w:val="0"/>
        <w:spacing w:line="560" w:lineRule="exact"/>
        <w:ind w:firstLine="643" w:firstLineChars="200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 w:hAnsiTheme="minorEastAsia"/>
          <w:b/>
          <w:bCs/>
          <w:sz w:val="32"/>
          <w:szCs w:val="32"/>
        </w:rPr>
        <w:t>第十</w:t>
      </w:r>
      <w:r>
        <w:rPr>
          <w:rFonts w:ascii="仿宋_GB2312" w:eastAsia="仿宋_GB2312" w:hAnsiTheme="minorEastAsia"/>
          <w:b/>
          <w:bCs/>
          <w:sz w:val="32"/>
          <w:szCs w:val="32"/>
        </w:rPr>
        <w:t>八</w:t>
      </w:r>
      <w:r>
        <w:rPr>
          <w:rFonts w:hint="eastAsia" w:ascii="仿宋_GB2312" w:eastAsia="仿宋_GB2312" w:hAnsiTheme="minorEastAsia"/>
          <w:b/>
          <w:bCs/>
          <w:sz w:val="32"/>
          <w:szCs w:val="32"/>
        </w:rPr>
        <w:t>条</w:t>
      </w:r>
      <w:r>
        <w:rPr>
          <w:rFonts w:hint="eastAsia" w:ascii="仿宋_GB2312" w:eastAsia="仿宋_GB2312" w:hAnsiTheme="minorEastAsia"/>
          <w:sz w:val="32"/>
          <w:szCs w:val="32"/>
        </w:rPr>
        <w:t xml:space="preserve"> 研究生在读期间从学校、学院和导师等不同渠道获得的各类资助（不含奖优助困类资金），其年度总金额应保持在学校规定的标准范围内。</w:t>
      </w:r>
    </w:p>
    <w:p w14:paraId="4FF3A9BD">
      <w:pPr>
        <w:snapToGrid w:val="0"/>
        <w:spacing w:line="560" w:lineRule="exact"/>
        <w:ind w:firstLine="643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</w:t>
      </w:r>
      <w:r>
        <w:rPr>
          <w:rFonts w:ascii="仿宋_GB2312" w:eastAsia="仿宋_GB2312"/>
          <w:b/>
          <w:bCs/>
          <w:sz w:val="32"/>
          <w:szCs w:val="32"/>
        </w:rPr>
        <w:t>十九</w:t>
      </w:r>
      <w:r>
        <w:rPr>
          <w:rFonts w:hint="eastAsia" w:ascii="仿宋_GB2312" w:eastAsia="仿宋_GB2312"/>
          <w:b/>
          <w:bCs/>
          <w:sz w:val="32"/>
          <w:szCs w:val="32"/>
        </w:rPr>
        <w:t xml:space="preserve">条 </w:t>
      </w:r>
      <w:r>
        <w:rPr>
          <w:rFonts w:hint="eastAsia" w:ascii="仿宋_GB2312" w:eastAsia="仿宋_GB2312"/>
          <w:sz w:val="32"/>
          <w:szCs w:val="32"/>
        </w:rPr>
        <w:t>本实施细则由培养处负责解释。</w:t>
      </w:r>
    </w:p>
    <w:p w14:paraId="6C828606">
      <w:pPr>
        <w:snapToGrid w:val="0"/>
        <w:spacing w:line="560" w:lineRule="exact"/>
        <w:ind w:firstLine="643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第二十条</w:t>
      </w:r>
      <w:r>
        <w:rPr>
          <w:rFonts w:hint="eastAsia" w:ascii="仿宋_GB2312" w:eastAsia="仿宋_GB2312"/>
          <w:sz w:val="32"/>
          <w:szCs w:val="32"/>
        </w:rPr>
        <w:t xml:space="preserve"> 本实施细则自公布之日起施行。</w:t>
      </w:r>
    </w:p>
    <w:sectPr>
      <w:footerReference r:id="rId3" w:type="default"/>
      <w:pgSz w:w="11906" w:h="16838"/>
      <w:pgMar w:top="1440" w:right="1418" w:bottom="1440" w:left="141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024F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43EB25">
                          <w:pPr>
                            <w:pStyle w:val="4"/>
                            <w:rPr>
                              <w:rFonts w:hint="default" w:ascii="Times New Roman Regular" w:hAnsi="Times New Roman Regular" w:cs="Times New Roman Regular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 Regular" w:hAnsi="Times New Roman Regular" w:cs="Times New Roman Regular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43EB25">
                    <w:pPr>
                      <w:pStyle w:val="4"/>
                      <w:rPr>
                        <w:rFonts w:hint="default" w:ascii="Times New Roman Regular" w:hAnsi="Times New Roman Regular" w:cs="Times New Roman Regular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 Regular" w:hAnsi="Times New Roman Regular" w:cs="Times New Roman Regular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hint="default" w:ascii="Times New Roman Regular" w:hAnsi="Times New Roman Regular" w:cs="Times New Roman Regular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 Regular" w:hAnsi="Times New Roman Regular" w:cs="Times New Roman Regular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 Regular" w:hAnsi="Times New Roman Regular" w:cs="Times New Roman Regular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 Regular" w:hAnsi="Times New Roman Regular" w:cs="Times New Roman Regular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default" w:ascii="Times New Roman Regular" w:hAnsi="Times New Roman Regular" w:cs="Times New Roman Regular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default" w:ascii="Times New Roman Regular" w:hAnsi="Times New Roman Regular" w:cs="Times New Roman Regular"/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0F7593">
                          <w:pPr>
                            <w:pStyle w:val="4"/>
                            <w:rPr>
                              <w:rFonts w:ascii="Times New Roman Regular" w:hAnsi="Times New Roman Regular" w:cs="Times New Roman Regular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0F7593">
                    <w:pPr>
                      <w:pStyle w:val="4"/>
                      <w:rPr>
                        <w:rFonts w:ascii="Times New Roman Regular" w:hAnsi="Times New Roman Regular" w:cs="Times New Roman Regular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B5A"/>
    <w:rsid w:val="00000E2B"/>
    <w:rsid w:val="0003662E"/>
    <w:rsid w:val="0006760F"/>
    <w:rsid w:val="000718E8"/>
    <w:rsid w:val="00077486"/>
    <w:rsid w:val="000B5BBA"/>
    <w:rsid w:val="000C4A2F"/>
    <w:rsid w:val="000D1402"/>
    <w:rsid w:val="000D4525"/>
    <w:rsid w:val="000D574E"/>
    <w:rsid w:val="000E2575"/>
    <w:rsid w:val="00116E4A"/>
    <w:rsid w:val="001177DD"/>
    <w:rsid w:val="00122E79"/>
    <w:rsid w:val="00123AA6"/>
    <w:rsid w:val="00146CF1"/>
    <w:rsid w:val="00157AFA"/>
    <w:rsid w:val="00185203"/>
    <w:rsid w:val="001A4C92"/>
    <w:rsid w:val="001B6A05"/>
    <w:rsid w:val="001D19A4"/>
    <w:rsid w:val="001D27C7"/>
    <w:rsid w:val="001F39D5"/>
    <w:rsid w:val="002072DC"/>
    <w:rsid w:val="0022292C"/>
    <w:rsid w:val="0025395F"/>
    <w:rsid w:val="00292F79"/>
    <w:rsid w:val="00296377"/>
    <w:rsid w:val="00297F8E"/>
    <w:rsid w:val="002A1CAB"/>
    <w:rsid w:val="002A53D8"/>
    <w:rsid w:val="002B1A64"/>
    <w:rsid w:val="002B5E3B"/>
    <w:rsid w:val="002C61DA"/>
    <w:rsid w:val="002D64A9"/>
    <w:rsid w:val="002E6B98"/>
    <w:rsid w:val="002F33CA"/>
    <w:rsid w:val="003129C5"/>
    <w:rsid w:val="003155A6"/>
    <w:rsid w:val="00342C0B"/>
    <w:rsid w:val="003541AA"/>
    <w:rsid w:val="00367EAB"/>
    <w:rsid w:val="00377E95"/>
    <w:rsid w:val="0038312D"/>
    <w:rsid w:val="003946C8"/>
    <w:rsid w:val="003B0CDF"/>
    <w:rsid w:val="003C7BF1"/>
    <w:rsid w:val="003E002E"/>
    <w:rsid w:val="003E2FF6"/>
    <w:rsid w:val="00402360"/>
    <w:rsid w:val="00405D55"/>
    <w:rsid w:val="00410ACD"/>
    <w:rsid w:val="004127ED"/>
    <w:rsid w:val="00440167"/>
    <w:rsid w:val="00440479"/>
    <w:rsid w:val="004465BA"/>
    <w:rsid w:val="00453FD0"/>
    <w:rsid w:val="004A6512"/>
    <w:rsid w:val="00500460"/>
    <w:rsid w:val="00511706"/>
    <w:rsid w:val="005119B7"/>
    <w:rsid w:val="00514E06"/>
    <w:rsid w:val="00530B08"/>
    <w:rsid w:val="0056668F"/>
    <w:rsid w:val="005A7F3B"/>
    <w:rsid w:val="005B7BE1"/>
    <w:rsid w:val="005C1AFF"/>
    <w:rsid w:val="00611472"/>
    <w:rsid w:val="00673CF4"/>
    <w:rsid w:val="00674238"/>
    <w:rsid w:val="00691819"/>
    <w:rsid w:val="006A5CE1"/>
    <w:rsid w:val="006A70D9"/>
    <w:rsid w:val="006E7A83"/>
    <w:rsid w:val="0070571C"/>
    <w:rsid w:val="00722C3C"/>
    <w:rsid w:val="0072535C"/>
    <w:rsid w:val="007317F1"/>
    <w:rsid w:val="00741DB3"/>
    <w:rsid w:val="00744701"/>
    <w:rsid w:val="00752E08"/>
    <w:rsid w:val="007803D5"/>
    <w:rsid w:val="007865BE"/>
    <w:rsid w:val="00790AD5"/>
    <w:rsid w:val="007A77BA"/>
    <w:rsid w:val="007B591D"/>
    <w:rsid w:val="008220D3"/>
    <w:rsid w:val="00823552"/>
    <w:rsid w:val="00842842"/>
    <w:rsid w:val="0084492E"/>
    <w:rsid w:val="00882E69"/>
    <w:rsid w:val="008958CC"/>
    <w:rsid w:val="008979BC"/>
    <w:rsid w:val="008A3E0C"/>
    <w:rsid w:val="008B38E9"/>
    <w:rsid w:val="008D016E"/>
    <w:rsid w:val="00903FA4"/>
    <w:rsid w:val="00922720"/>
    <w:rsid w:val="00930AAA"/>
    <w:rsid w:val="00931AD4"/>
    <w:rsid w:val="00932001"/>
    <w:rsid w:val="00941931"/>
    <w:rsid w:val="009422A8"/>
    <w:rsid w:val="009516ED"/>
    <w:rsid w:val="009529F2"/>
    <w:rsid w:val="00956137"/>
    <w:rsid w:val="009944C7"/>
    <w:rsid w:val="00995208"/>
    <w:rsid w:val="009967DD"/>
    <w:rsid w:val="009A2C9C"/>
    <w:rsid w:val="009F2B83"/>
    <w:rsid w:val="00A62CA4"/>
    <w:rsid w:val="00A832EF"/>
    <w:rsid w:val="00A92F25"/>
    <w:rsid w:val="00AC78E6"/>
    <w:rsid w:val="00AF1C16"/>
    <w:rsid w:val="00B01365"/>
    <w:rsid w:val="00B0338B"/>
    <w:rsid w:val="00B30D9D"/>
    <w:rsid w:val="00BA3AC1"/>
    <w:rsid w:val="00BB3C93"/>
    <w:rsid w:val="00BB78DC"/>
    <w:rsid w:val="00BC0A4B"/>
    <w:rsid w:val="00C03991"/>
    <w:rsid w:val="00C278DA"/>
    <w:rsid w:val="00C32127"/>
    <w:rsid w:val="00C4224B"/>
    <w:rsid w:val="00C85B5A"/>
    <w:rsid w:val="00C9351D"/>
    <w:rsid w:val="00CC14AA"/>
    <w:rsid w:val="00CD742F"/>
    <w:rsid w:val="00CE206E"/>
    <w:rsid w:val="00CF1B72"/>
    <w:rsid w:val="00CF77CB"/>
    <w:rsid w:val="00D14155"/>
    <w:rsid w:val="00D513CC"/>
    <w:rsid w:val="00D9029C"/>
    <w:rsid w:val="00D91E19"/>
    <w:rsid w:val="00DB706A"/>
    <w:rsid w:val="00DC2404"/>
    <w:rsid w:val="00DD73A2"/>
    <w:rsid w:val="00DF14CD"/>
    <w:rsid w:val="00DF3D08"/>
    <w:rsid w:val="00E57FAC"/>
    <w:rsid w:val="00E657AF"/>
    <w:rsid w:val="00E70829"/>
    <w:rsid w:val="00E86521"/>
    <w:rsid w:val="00F41084"/>
    <w:rsid w:val="00F51281"/>
    <w:rsid w:val="00F54C97"/>
    <w:rsid w:val="00F94751"/>
    <w:rsid w:val="00FB2A81"/>
    <w:rsid w:val="02B06FC6"/>
    <w:rsid w:val="055341C1"/>
    <w:rsid w:val="058B1FF7"/>
    <w:rsid w:val="07883391"/>
    <w:rsid w:val="088C3CD7"/>
    <w:rsid w:val="08E55207"/>
    <w:rsid w:val="0A6071C9"/>
    <w:rsid w:val="0E2448F1"/>
    <w:rsid w:val="0EE55610"/>
    <w:rsid w:val="0F782667"/>
    <w:rsid w:val="0F97F9C9"/>
    <w:rsid w:val="120E39AF"/>
    <w:rsid w:val="13693592"/>
    <w:rsid w:val="15B22AD3"/>
    <w:rsid w:val="15F90333"/>
    <w:rsid w:val="1B1B0DFC"/>
    <w:rsid w:val="1CB231D5"/>
    <w:rsid w:val="1DCC31FE"/>
    <w:rsid w:val="207421BF"/>
    <w:rsid w:val="21CD1B30"/>
    <w:rsid w:val="23EE2ED1"/>
    <w:rsid w:val="24BF3BA8"/>
    <w:rsid w:val="29433717"/>
    <w:rsid w:val="2A703993"/>
    <w:rsid w:val="2DE62621"/>
    <w:rsid w:val="2E9701E9"/>
    <w:rsid w:val="2EAD7AAC"/>
    <w:rsid w:val="319E759B"/>
    <w:rsid w:val="330E2EA4"/>
    <w:rsid w:val="3476275C"/>
    <w:rsid w:val="37CF82FB"/>
    <w:rsid w:val="3AE343DF"/>
    <w:rsid w:val="3B7D557D"/>
    <w:rsid w:val="3C3C0C61"/>
    <w:rsid w:val="3C486FC7"/>
    <w:rsid w:val="3D3E3E7C"/>
    <w:rsid w:val="3E2E5461"/>
    <w:rsid w:val="3FFB1C61"/>
    <w:rsid w:val="402476A6"/>
    <w:rsid w:val="41A95A33"/>
    <w:rsid w:val="41BB3720"/>
    <w:rsid w:val="41C7587C"/>
    <w:rsid w:val="48156ADC"/>
    <w:rsid w:val="484A042A"/>
    <w:rsid w:val="4B3A7AE6"/>
    <w:rsid w:val="4B4E182B"/>
    <w:rsid w:val="4D60620D"/>
    <w:rsid w:val="517F39A6"/>
    <w:rsid w:val="55FF303D"/>
    <w:rsid w:val="563BE787"/>
    <w:rsid w:val="568F0036"/>
    <w:rsid w:val="578B0ED4"/>
    <w:rsid w:val="57D037E7"/>
    <w:rsid w:val="5B2665C3"/>
    <w:rsid w:val="5B953316"/>
    <w:rsid w:val="5BB70824"/>
    <w:rsid w:val="5BED5298"/>
    <w:rsid w:val="5E3B77AB"/>
    <w:rsid w:val="615E2A11"/>
    <w:rsid w:val="64D96B33"/>
    <w:rsid w:val="65DA334A"/>
    <w:rsid w:val="667A1734"/>
    <w:rsid w:val="6B4A52A2"/>
    <w:rsid w:val="6B7F29FC"/>
    <w:rsid w:val="6CEF644F"/>
    <w:rsid w:val="6F9F411B"/>
    <w:rsid w:val="705D136C"/>
    <w:rsid w:val="74F7209D"/>
    <w:rsid w:val="74FD7070"/>
    <w:rsid w:val="760F6891"/>
    <w:rsid w:val="7624175E"/>
    <w:rsid w:val="76867A1D"/>
    <w:rsid w:val="79B0209F"/>
    <w:rsid w:val="7A39637C"/>
    <w:rsid w:val="7BB066A9"/>
    <w:rsid w:val="7BEC2FA1"/>
    <w:rsid w:val="7E221E07"/>
    <w:rsid w:val="7E83680F"/>
    <w:rsid w:val="7F297C96"/>
    <w:rsid w:val="7FD53114"/>
    <w:rsid w:val="7FF1CA85"/>
    <w:rsid w:val="7FFFA744"/>
    <w:rsid w:val="BBFF7F2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annotation subject"/>
    <w:basedOn w:val="2"/>
    <w:next w:val="2"/>
    <w:link w:val="13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文字 字符"/>
    <w:basedOn w:val="9"/>
    <w:link w:val="2"/>
    <w:qFormat/>
    <w:uiPriority w:val="99"/>
  </w:style>
  <w:style w:type="character" w:customStyle="1" w:styleId="13">
    <w:name w:val="批注主题 字符"/>
    <w:basedOn w:val="12"/>
    <w:link w:val="7"/>
    <w:semiHidden/>
    <w:qFormat/>
    <w:uiPriority w:val="99"/>
    <w:rPr>
      <w:b/>
      <w:bCs/>
    </w:rPr>
  </w:style>
  <w:style w:type="character" w:customStyle="1" w:styleId="14">
    <w:name w:val="批注框文本 字符"/>
    <w:basedOn w:val="9"/>
    <w:link w:val="3"/>
    <w:semiHidden/>
    <w:qFormat/>
    <w:uiPriority w:val="99"/>
    <w:rPr>
      <w:rFonts w:ascii="宋体" w:eastAsia="宋体"/>
      <w:sz w:val="18"/>
      <w:szCs w:val="18"/>
    </w:rPr>
  </w:style>
  <w:style w:type="character" w:customStyle="1" w:styleId="15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6">
    <w:name w:val="页脚 字符"/>
    <w:basedOn w:val="9"/>
    <w:link w:val="4"/>
    <w:qFormat/>
    <w:uiPriority w:val="99"/>
    <w:rPr>
      <w:sz w:val="18"/>
      <w:szCs w:val="18"/>
    </w:rPr>
  </w:style>
  <w:style w:type="paragraph" w:customStyle="1" w:styleId="17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8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9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0">
    <w:name w:val="修订4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1">
    <w:name w:val="修订5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2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0D9231-34AD-4C76-B411-8D8766E64B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1476</Words>
  <Characters>1512</Characters>
  <Lines>38</Lines>
  <Paragraphs>35</Paragraphs>
  <TotalTime>0</TotalTime>
  <ScaleCrop>false</ScaleCrop>
  <LinksUpToDate>false</LinksUpToDate>
  <CharactersWithSpaces>1544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2026-01-04T22:20:00Z</dcterms:created>
  <dc:creator>杨格</dc:creator>
  <cp:lastModifiedBy>谭沙丽</cp:lastModifiedBy>
  <cp:lastPrinted>2025-12-25T17:17:00Z</cp:lastPrinted>
  <dcterms:modified xsi:type="dcterms:W3CDTF">2026-01-08T17:24:27Z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eyJoZGlkIjoiYmJiNDY5ODA2NTFiODdlMmM3NTkwZGM3Y2QwMzI4NDYiLCJ1c2VySWQiOiIyNDk0NzU3ODcifQ==</vt:lpwstr>
  </property>
  <property fmtid="{D5CDD505-2E9C-101B-9397-08002B2CF9AE}" pid="3" name="KSOProductBuildVer">
    <vt:lpwstr>2052-12.1.24031.24031</vt:lpwstr>
  </property>
  <property fmtid="{D5CDD505-2E9C-101B-9397-08002B2CF9AE}" pid="4" name="ICV">
    <vt:lpwstr>D0EF0F002B6FA2BD2D945A69FF54E161_43</vt:lpwstr>
  </property>
</Properties>
</file>