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19F8B7">
      <w:pPr>
        <w:spacing w:line="560" w:lineRule="exact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Toc194082308"/>
    </w:p>
    <w:p w14:paraId="4BD5EF68">
      <w:pPr>
        <w:autoSpaceDE w:val="0"/>
        <w:autoSpaceDN w:val="0"/>
        <w:spacing w:line="560" w:lineRule="exact"/>
        <w:jc w:val="right"/>
        <w:rPr>
          <w:rFonts w:hint="eastAsia" w:ascii="方正小标宋简体" w:hAnsi="方正小标宋简体" w:eastAsia="方正小标宋简体" w:cs="Times New Roman"/>
          <w:kern w:val="2"/>
          <w:sz w:val="40"/>
          <w:szCs w:val="4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清深国院委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规</w:t>
      </w:r>
      <w:r>
        <w:rPr>
          <w:rFonts w:hint="eastAsia" w:ascii="仿宋_GB2312" w:hAnsi="仿宋_GB2312" w:eastAsia="仿宋_GB2312" w:cs="仿宋_GB2312"/>
          <w:sz w:val="32"/>
          <w:szCs w:val="32"/>
        </w:rPr>
        <w:t>〔2026〕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</w:p>
    <w:p w14:paraId="2DD06E02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/>
        <w:jc w:val="center"/>
        <w:rPr>
          <w:rFonts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4"/>
          <w:sz w:val="36"/>
          <w:szCs w:val="36"/>
          <w:u w:val="none"/>
          <w:shd w:val="clear" w:fill="FFFFFF"/>
        </w:rPr>
      </w:pPr>
    </w:p>
    <w:p w14:paraId="394F32D7">
      <w:pPr>
        <w:autoSpaceDE w:val="0"/>
        <w:autoSpaceDN w:val="0"/>
        <w:spacing w:line="560" w:lineRule="exact"/>
        <w:jc w:val="center"/>
        <w:rPr>
          <w:rFonts w:hint="eastAsia" w:ascii="方正小标宋简体" w:hAnsi="方正小标宋简体" w:eastAsia="方正小标宋简体" w:cs="Times New Roman"/>
          <w:kern w:val="2"/>
          <w:sz w:val="40"/>
          <w:szCs w:val="40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Times New Roman"/>
          <w:kern w:val="2"/>
          <w:sz w:val="40"/>
          <w:szCs w:val="40"/>
          <w:highlight w:val="none"/>
          <w:lang w:val="en-US" w:eastAsia="zh-CN"/>
        </w:rPr>
        <w:t>清华大学深圳国际研究生院教学科研机构</w:t>
      </w:r>
    </w:p>
    <w:p w14:paraId="181DE1BB">
      <w:pPr>
        <w:autoSpaceDE w:val="0"/>
        <w:autoSpaceDN w:val="0"/>
        <w:spacing w:line="560" w:lineRule="exact"/>
        <w:jc w:val="center"/>
        <w:rPr>
          <w:sz w:val="36"/>
          <w:szCs w:val="36"/>
        </w:rPr>
      </w:pPr>
      <w:r>
        <w:rPr>
          <w:rFonts w:hint="eastAsia" w:ascii="方正小标宋简体" w:hAnsi="方正小标宋简体" w:eastAsia="方正小标宋简体" w:cs="Times New Roman"/>
          <w:kern w:val="2"/>
          <w:sz w:val="40"/>
          <w:szCs w:val="40"/>
          <w:highlight w:val="none"/>
          <w:lang w:val="en-US" w:eastAsia="zh-CN"/>
        </w:rPr>
        <w:t>院长（主任）工作规定</w:t>
      </w:r>
      <w:bookmarkEnd w:id="0"/>
    </w:p>
    <w:p w14:paraId="37A1C569">
      <w:pPr>
        <w:pStyle w:val="7"/>
        <w:keepNext w:val="0"/>
        <w:keepLines w:val="0"/>
        <w:pageBreakBefore w:val="0"/>
        <w:widowControl w:val="0"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二〇二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年第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十三</w:t>
      </w:r>
      <w:r>
        <w:rPr>
          <w:rFonts w:hint="eastAsia" w:ascii="仿宋_GB2312" w:hAnsi="仿宋_GB2312" w:eastAsia="仿宋_GB2312" w:cs="仿宋_GB2312"/>
          <w:sz w:val="32"/>
          <w:szCs w:val="32"/>
        </w:rPr>
        <w:t>次党委会会议（202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日）审议通过</w:t>
      </w:r>
    </w:p>
    <w:p w14:paraId="7D5B7950">
      <w:pPr>
        <w:pStyle w:val="7"/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center"/>
        <w:rPr>
          <w:rFonts w:hint="eastAsia" w:ascii="仿宋_GB2312" w:hAnsi="仿宋_GB2312" w:eastAsia="仿宋_GB2312" w:cs="仿宋_GB2312"/>
          <w:color w:val="333333"/>
          <w:spacing w:val="0"/>
          <w:sz w:val="32"/>
          <w:szCs w:val="32"/>
        </w:rPr>
      </w:pPr>
    </w:p>
    <w:p w14:paraId="32CE7A74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exact"/>
        <w:ind w:left="0" w:right="0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第一章 总则</w:t>
      </w:r>
    </w:p>
    <w:p w14:paraId="147F0C4F">
      <w:pPr>
        <w:pStyle w:val="7"/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3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第一条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为进一步明确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教学科研机构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院长（主任）工作职责，规范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教学科研机构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的行政管理工作，加强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教学科研机构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领导班子和干部队伍建设，推动完善中国特色现代大学治理体系，根据《中华人民共和国高等教育法》《中国共产党普通高等学校基层组织工作条例》《清华大学章程》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清华大学院长（系主任）工作规定》和《清华大学深圳国际研究生院章程》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，结合学院工作实际，制定本规定。</w:t>
      </w:r>
    </w:p>
    <w:p w14:paraId="17524E56">
      <w:pPr>
        <w:pStyle w:val="7"/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3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第二条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本规定所称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教学科研机构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，是学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设立的具体开展教学、研究活动和学科建设、队伍建设等有关事务的实体的学术和行政二级单位。</w:t>
      </w:r>
    </w:p>
    <w:p w14:paraId="665A26E8">
      <w:pPr>
        <w:pStyle w:val="7"/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3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第三条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教学科研机构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院长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（主任）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在学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党委和学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行政领导下，负责本单位的人才培养、学术研究、学科建设等工作。</w:t>
      </w:r>
    </w:p>
    <w:p w14:paraId="2E9AFBCD">
      <w:pPr>
        <w:pStyle w:val="7"/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3" w:firstLineChars="200"/>
        <w:rPr>
          <w:rFonts w:hint="eastAsia" w:ascii="仿宋_GB2312" w:hAnsi="仿宋_GB2312" w:eastAsia="仿宋_GB2312" w:cs="仿宋_GB2312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第四条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教学科研机构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院长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（主任）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在决策和管理工作中应自觉贯彻民主集中制，充分听取和尊重班子成员的意见，保证工作投入，严格自律，公平公正，自觉接受党组织和群众的监督。</w:t>
      </w:r>
    </w:p>
    <w:p w14:paraId="52C7670E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exact"/>
        <w:ind w:left="0" w:right="0"/>
        <w:jc w:val="center"/>
        <w:rPr>
          <w:rFonts w:ascii="黑体" w:hAnsi="黑体" w:eastAsia="黑体" w:cs="黑体"/>
          <w:b w:val="0"/>
          <w:bCs w:val="0"/>
          <w:color w:val="333333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第二章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主要职责</w:t>
      </w:r>
    </w:p>
    <w:p w14:paraId="51BCDE8C">
      <w:pPr>
        <w:pStyle w:val="7"/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3" w:firstLineChars="200"/>
        <w:rPr>
          <w:rFonts w:hint="eastAsia" w:ascii="仿宋_GB2312" w:hAnsi="仿宋_GB2312" w:eastAsia="仿宋_GB2312" w:cs="仿宋_GB2312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第五条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教学科研机构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院长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（主任）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应按照国家法律法规和《清华大学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深圳国际研究生院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章程》等学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规章制度，完成学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交给的任务和有关工作，主要包括：</w:t>
      </w:r>
    </w:p>
    <w:p w14:paraId="16E6851A">
      <w:pPr>
        <w:pStyle w:val="7"/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rPr>
          <w:rFonts w:hint="eastAsia" w:ascii="仿宋_GB2312" w:hAnsi="仿宋_GB2312" w:eastAsia="仿宋_GB2312" w:cs="仿宋_GB2312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（一）坚持和加强党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对学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eastAsia="zh-CN"/>
        </w:rPr>
        <w:t>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的全面领导，全面贯彻党的教育方针，贯彻落实学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eastAsia="zh-CN"/>
        </w:rPr>
        <w:t>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</w:rPr>
        <w:t>决策部署和发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展规划，切实履行全面从严治党、意识形态工作、安全稳定工作等“一岗双责”。</w:t>
      </w:r>
    </w:p>
    <w:p w14:paraId="0B340F92">
      <w:pPr>
        <w:pStyle w:val="7"/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rPr>
          <w:rFonts w:hint="eastAsia" w:ascii="仿宋_GB2312" w:hAnsi="仿宋_GB2312" w:eastAsia="仿宋_GB2312" w:cs="仿宋_GB2312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（二）组织拟订和实施本单位发展规划、行政管理制度、教育教学和学术研究改革措施、资源配置方案、内部组织机构设置等。组织制定和实施本单位的具体规章制度、年度工作计划。</w:t>
      </w:r>
    </w:p>
    <w:p w14:paraId="2462341D">
      <w:pPr>
        <w:pStyle w:val="7"/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rPr>
          <w:rFonts w:hint="eastAsia" w:ascii="仿宋_GB2312" w:hAnsi="仿宋_GB2312" w:eastAsia="仿宋_GB2312" w:cs="仿宋_GB2312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（三）落实立德树人根本任务，创新人才培养模式，提高人才培养质量。组织制定并实施学生的培养方案及教学计划，保证教学质量，与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教学科研机构党总支、党支部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共同推动课程思政和导学思政、把思想政治工作贯穿教育教学全过程。做好学生奖惩、招生和就业工作。</w:t>
      </w:r>
    </w:p>
    <w:p w14:paraId="35A8CC1B">
      <w:pPr>
        <w:pStyle w:val="7"/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rPr>
          <w:rFonts w:hint="eastAsia" w:ascii="仿宋_GB2312" w:hAnsi="仿宋_GB2312" w:eastAsia="仿宋_GB2312" w:cs="仿宋_GB2312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四）组织开展学科建设和学术研究、社会服务、文化传承创新和国际交流合作。面向国家战略需要和世界学术前沿，组织制定并实施本单位的学科建设规划，积极组织重大科研攻关，推动学科交叉融合创新，加强高水平学术平台建设。推进产学研协同创新和科技成果转化，积极开展社会服务，促进国家和地方经济社会发展。加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教学科研机构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文化建设，推进文化传承创新，充分发挥文化育人作用。组织开展国际交流和合作，完善国际化教育教学管理模式和国际学生培养体系，积极推动国际学术合作，提升学科建设水平和国际声誉。做好港澳台事务工作。</w:t>
      </w:r>
    </w:p>
    <w:p w14:paraId="412DCEAF">
      <w:pPr>
        <w:pStyle w:val="7"/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rPr>
          <w:rFonts w:hint="eastAsia" w:ascii="仿宋_GB2312" w:hAnsi="仿宋_GB2312" w:eastAsia="仿宋_GB2312" w:cs="仿宋_GB2312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（五）与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教学科研机构党总支、党支部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共同做好本单位队伍建设工作。结合学科建设规划组织制定并实施人才队伍建设规划，面向国内外遴选师德师风高尚、育人情怀深厚、学术能力精湛的教师，加强学术梯队建设和青年教师选拔培养，做好专业技术职务评聘、薪酬管理、奖励表彰、处分处理等工作，推动师德师风建设和教风学风建设。重视并加强职工队伍建设。</w:t>
      </w:r>
    </w:p>
    <w:p w14:paraId="3A32EBA0">
      <w:pPr>
        <w:pStyle w:val="7"/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rPr>
          <w:rFonts w:hint="eastAsia" w:ascii="仿宋_GB2312" w:hAnsi="仿宋_GB2312" w:eastAsia="仿宋_GB2312" w:cs="仿宋_GB2312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（六）组织拟订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报批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和实施本单位基本建设、大额度资金使用、年度经费预算等方案。加强财务管理和内部控制，统筹安排和合理使用预算经费，规范和加强科研经费管理，统筹推进大型仪器设备等重要资产共享使用，提高办学效率和效益。做好本单位实验室的建设和管理工作，做好安全稳定、应急处突和后勤保障工作。</w:t>
      </w:r>
    </w:p>
    <w:p w14:paraId="53F8ACC8">
      <w:pPr>
        <w:pStyle w:val="7"/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rPr>
          <w:rFonts w:hint="eastAsia" w:ascii="仿宋_GB2312" w:hAnsi="仿宋_GB2312" w:eastAsia="仿宋_GB2312" w:cs="仿宋_GB2312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（七）配合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教学科研机构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总支、党支部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做好本单位干部的选拔、培养、考核、监督工作，做好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trike w:val="0"/>
          <w:color w:val="333333"/>
          <w:spacing w:val="0"/>
          <w:sz w:val="32"/>
          <w:szCs w:val="32"/>
          <w:shd w:val="clear" w:fill="FFFFFF"/>
          <w:lang w:val="en-US" w:eastAsia="zh-CN"/>
        </w:rPr>
        <w:t>研工组组长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strike w:val="0"/>
          <w:color w:val="333333"/>
          <w:spacing w:val="0"/>
          <w:sz w:val="32"/>
          <w:szCs w:val="32"/>
          <w:shd w:val="clear" w:fill="FFFFFF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班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导师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的配备和管理工作。</w:t>
      </w:r>
    </w:p>
    <w:p w14:paraId="6AC2C9D9">
      <w:pPr>
        <w:pStyle w:val="7"/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rPr>
          <w:rFonts w:hint="eastAsia" w:ascii="仿宋_GB2312" w:hAnsi="仿宋_GB2312" w:eastAsia="仿宋_GB2312" w:cs="仿宋_GB2312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（八）领导、检查、指导副院长（副主任）的工作，协调行政班子内部的分工与合作，提升执行力。领导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教学科研机构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内设部门的工作，加强行政管理和服务，提高工作效率及工作水平。</w:t>
      </w:r>
    </w:p>
    <w:p w14:paraId="64FE5EE0">
      <w:pPr>
        <w:pStyle w:val="7"/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rPr>
          <w:rFonts w:hint="eastAsia" w:ascii="仿宋_GB2312" w:hAnsi="仿宋_GB2312" w:eastAsia="仿宋_GB2312" w:cs="仿宋_GB2312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（九）尊重和支持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教学科研机构长聘教授委员会、学术委员会、教学委员会、学位初审委员会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的工作，定期听取委员会的意见和建议，切实发挥委员会的作用。</w:t>
      </w:r>
    </w:p>
    <w:p w14:paraId="62B7163F">
      <w:pPr>
        <w:pStyle w:val="7"/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rPr>
          <w:rFonts w:hint="eastAsia" w:ascii="仿宋_GB2312" w:hAnsi="仿宋_GB2312" w:eastAsia="仿宋_GB2312" w:cs="仿宋_GB2312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（十）支持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教学科研机构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研究生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会、团总支等组织开展工作，定期听取教职工代表、学生代表的意见和建议。</w:t>
      </w:r>
    </w:p>
    <w:p w14:paraId="7A3ADF15">
      <w:pPr>
        <w:pStyle w:val="7"/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3" w:firstLineChars="200"/>
        <w:rPr>
          <w:rFonts w:hint="eastAsia" w:ascii="仿宋_GB2312" w:hAnsi="仿宋_GB2312" w:eastAsia="仿宋_GB2312" w:cs="仿宋_GB2312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第六条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教学科研机构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院长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（主任）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应组织行政班子制定任职期间的工作目标和主要实施措施，并定期向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教学科研机构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师生和学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报告工作。</w:t>
      </w:r>
    </w:p>
    <w:p w14:paraId="7AC892C5">
      <w:pPr>
        <w:pStyle w:val="7"/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3" w:firstLineChars="200"/>
        <w:rPr>
          <w:rFonts w:hint="eastAsia" w:ascii="仿宋_GB2312" w:hAnsi="仿宋_GB2312" w:eastAsia="仿宋_GB2312" w:cs="仿宋_GB2312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第七条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教学科研机构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院长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（主任）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应自觉维护领导班子团结，与班子成员经常性开展谈心谈话，增强凝聚力。支持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教学科研机构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总支、党支部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定期组织召开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/>
        </w:rPr>
        <w:t>班子成员民主生活会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，带头开展批评和自我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批评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，促进领导班子凝聚共识、改进工作。</w:t>
      </w:r>
    </w:p>
    <w:p w14:paraId="71DE60A0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exact"/>
        <w:ind w:left="0" w:right="0"/>
        <w:jc w:val="center"/>
        <w:rPr>
          <w:rFonts w:ascii="黑体" w:hAnsi="黑体" w:eastAsia="黑体" w:cs="黑体"/>
          <w:b w:val="0"/>
          <w:bCs w:val="0"/>
          <w:color w:val="333333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第三章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应遵守的议事规则和决策机制</w:t>
      </w:r>
    </w:p>
    <w:p w14:paraId="769E7386">
      <w:pPr>
        <w:pStyle w:val="7"/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3" w:firstLineChars="200"/>
        <w:rPr>
          <w:rFonts w:hint="eastAsia" w:ascii="仿宋_GB2312" w:hAnsi="仿宋_GB2312" w:eastAsia="仿宋_GB2312" w:cs="仿宋_GB2312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第八条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教学科研机构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通过党政联席会议，讨论和决定本单位重要事项。涉及办学方向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、教师队伍建设、师生员工切身利益等重大事项，由党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总支委员会或者党支部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会议先行把关，再提交党政联席会议决定。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教学科研机构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院长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（主任）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应自觉遵守本单位党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总支委员会会议、党支部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会议和党政联席会议议事规则，对于需要党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总支委员会、党支部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先行把关的重要议题，院长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（主任）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应代表行政班子或者指定其他行政负责人在会议上进行汇报和讨论。不是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教学科研机构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总支委员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的院长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（主任）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可以列席党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总支委员会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会议。</w:t>
      </w:r>
    </w:p>
    <w:p w14:paraId="4C46EB9C">
      <w:pPr>
        <w:pStyle w:val="7"/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3" w:firstLineChars="200"/>
        <w:rPr>
          <w:rFonts w:hint="eastAsia" w:ascii="仿宋_GB2312" w:hAnsi="仿宋_GB2312" w:eastAsia="仿宋_GB2312" w:cs="仿宋_GB2312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第九条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教学科研机构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党政联席会议议题由党政领导班子成员提出，由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教学科研机构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院长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（主任）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与党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总支、党支部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书记共同研究确定。对党政联席会议重要议题，院长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（主任）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应与党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总支、党支部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书记在会前互相沟通，意见不一致的应暂缓上会。集体决定重大事项前，院长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（主任）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应与党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总支、党支部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书记及党政联席会议有关成员个别酝酿、充分沟通。</w:t>
      </w:r>
    </w:p>
    <w:p w14:paraId="269FB136">
      <w:pPr>
        <w:pStyle w:val="7"/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3" w:firstLineChars="200"/>
        <w:rPr>
          <w:rFonts w:hint="eastAsia" w:ascii="仿宋_GB2312" w:hAnsi="仿宋_GB2312" w:eastAsia="仿宋_GB2312" w:cs="仿宋_GB2312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第十条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教学科研机构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院长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（主任）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和党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总支、党支部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书记应经常沟通情况，团结协作，共同处理本单位改革发展中的重大问题。在重要问题上如发生意见分歧，应及时协商解决，必要时可向学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请示。</w:t>
      </w:r>
    </w:p>
    <w:p w14:paraId="6723F79D">
      <w:pPr>
        <w:pStyle w:val="7"/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3" w:firstLineChars="200"/>
        <w:rPr>
          <w:rFonts w:hint="eastAsia" w:ascii="仿宋_GB2312" w:hAnsi="仿宋_GB2312" w:eastAsia="仿宋_GB2312" w:cs="仿宋_GB2312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第十一条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教学科研机构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院长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（主任）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在行使职权时应坚持依法决策、科学决策、民主决策，对于重要问题的决策应在调查研究的基础上提出建议方案。自觉践行新时代党的群众路线，对事关师生员工切身利益的重要事项，应采取多种形式听取教职工和学生的意见、建议，注意发挥教代会代表的作用。</w:t>
      </w:r>
    </w:p>
    <w:p w14:paraId="3FE4343F">
      <w:pPr>
        <w:pStyle w:val="7"/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3" w:firstLineChars="200"/>
        <w:rPr>
          <w:rFonts w:hint="eastAsia" w:ascii="仿宋_GB2312" w:hAnsi="仿宋_GB2312" w:eastAsia="仿宋_GB2312" w:cs="仿宋_GB2312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第十二条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教学科研机构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院长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（主任）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应带领行政班子，和党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总支、党支部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共同完善本单位治理体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系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，正确处理行政与学术关系，尊重学术自由，保障教授治学，加强学术共同体建设。</w:t>
      </w:r>
    </w:p>
    <w:p w14:paraId="3E0E21F2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exact"/>
        <w:ind w:left="0" w:right="0"/>
        <w:jc w:val="center"/>
        <w:rPr>
          <w:rFonts w:ascii="黑体" w:hAnsi="黑体" w:eastAsia="黑体" w:cs="黑体"/>
          <w:b w:val="0"/>
          <w:bCs w:val="0"/>
          <w:color w:val="333333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第四章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监督考核</w:t>
      </w:r>
    </w:p>
    <w:p w14:paraId="004B8AFA">
      <w:pPr>
        <w:pStyle w:val="7"/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3" w:firstLineChars="200"/>
        <w:rPr>
          <w:rFonts w:hint="eastAsia" w:ascii="仿宋_GB2312" w:hAnsi="仿宋_GB2312" w:eastAsia="仿宋_GB2312" w:cs="仿宋_GB2312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第十三条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教学科研机构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院长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（主任）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应每年向本单位教职工或教职工代表报告一次工作，每年应在本单位一定范围内作述职述廉报告，并接受群众民主评议。</w:t>
      </w:r>
    </w:p>
    <w:p w14:paraId="04EDA8CF">
      <w:pPr>
        <w:pStyle w:val="7"/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3" w:firstLineChars="200"/>
        <w:rPr>
          <w:rFonts w:hint="eastAsia" w:ascii="仿宋_GB2312" w:hAnsi="仿宋_GB2312" w:eastAsia="仿宋_GB2312" w:cs="仿宋_GB2312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第十四条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教学科研机构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院长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（主任）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任职期间，由学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党委负责考核。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教学科研机构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院长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（主任）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每年向学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提交书面的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教学科研机构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工作报告和个人述职述廉报告。</w:t>
      </w:r>
    </w:p>
    <w:p w14:paraId="6A10196C">
      <w:pPr>
        <w:pStyle w:val="7"/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3" w:firstLineChars="200"/>
        <w:rPr>
          <w:rFonts w:hint="eastAsia" w:ascii="仿宋_GB2312" w:hAnsi="仿宋_GB2312" w:eastAsia="仿宋_GB2312" w:cs="仿宋_GB2312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第十五条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教学科研机构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院长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（主任）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应支持和配合学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的纪检、审计、财务、资产等职能部门对本单位有关工作的检查，自觉做到克己奉公、清正廉洁。</w:t>
      </w:r>
    </w:p>
    <w:p w14:paraId="4035A0C5">
      <w:pPr>
        <w:pStyle w:val="3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exact"/>
        <w:ind w:left="0" w:right="0"/>
        <w:jc w:val="center"/>
        <w:rPr>
          <w:rFonts w:ascii="黑体" w:hAnsi="黑体" w:eastAsia="黑体" w:cs="黑体"/>
          <w:b w:val="0"/>
          <w:bCs w:val="0"/>
          <w:color w:val="333333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第五章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附则</w:t>
      </w:r>
    </w:p>
    <w:p w14:paraId="7F09E3FF">
      <w:pPr>
        <w:pStyle w:val="7"/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3" w:firstLineChars="200"/>
        <w:rPr>
          <w:rFonts w:hint="eastAsia" w:ascii="仿宋_GB2312" w:hAnsi="仿宋_GB2312" w:eastAsia="仿宋_GB2312" w:cs="仿宋_GB2312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第十六条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由学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直接领导的实体研究院（所、中心）和实验室等教学研究机构，其行政主要负责人的工作职责参照本规定执行。</w:t>
      </w:r>
    </w:p>
    <w:p w14:paraId="7A5557B4">
      <w:pPr>
        <w:pStyle w:val="7"/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rPr>
          <w:rFonts w:hint="eastAsia" w:ascii="仿宋_GB2312" w:hAnsi="仿宋_GB2312" w:eastAsia="仿宋_GB2312" w:cs="仿宋_GB2312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非实体学院院长的工作职责另行规定。</w:t>
      </w:r>
    </w:p>
    <w:p w14:paraId="198FD60E">
      <w:pPr>
        <w:pStyle w:val="7"/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3" w:firstLineChars="200"/>
        <w:rPr>
          <w:rFonts w:hint="eastAsia" w:ascii="仿宋_GB2312" w:hAnsi="仿宋_GB2312" w:eastAsia="仿宋_GB2312" w:cs="仿宋_GB2312"/>
          <w:color w:val="333333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第十七条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本规定由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党委组织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办公室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负责解释。</w:t>
      </w:r>
    </w:p>
    <w:p w14:paraId="05090B4D">
      <w:pPr>
        <w:pStyle w:val="7"/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3" w:firstLineChars="200"/>
        <w:rPr>
          <w:rFonts w:hint="eastAsia" w:ascii="方正仿宋_GB2312" w:hAnsi="方正仿宋_GB2312" w:eastAsia="方正仿宋_GB2312" w:cs="方正仿宋_GB2312"/>
          <w:color w:val="333333"/>
          <w:spacing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第十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/>
        </w:rPr>
        <w:t>八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本规定自公布之日起施行。</w:t>
      </w:r>
    </w:p>
    <w:p w14:paraId="77493A52"/>
    <w:sectPr>
      <w:footerReference r:id="rId3" w:type="default"/>
      <w:pgSz w:w="11906" w:h="16838"/>
      <w:pgMar w:top="1440" w:right="1686" w:bottom="1440" w:left="16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4018ADA-8F97-4DCC-B04C-17580015262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764962AD-0741-4E5A-8FF0-146FD6E0A9FB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4A2187C8-EC14-41A5-A4DA-A98249D163B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21B11DD0-B233-45D2-B49F-D098C54BCBA7}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CD9D56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0CDF97">
                          <w:pPr>
                            <w:pStyle w:val="5"/>
                            <w:rPr>
                              <w:rFonts w:ascii="Times New Roman Regular" w:hAnsi="Times New Roman Regular" w:cs="Times New Roman Regular"/>
                              <w:sz w:val="24"/>
                            </w:rPr>
                          </w:pPr>
                          <w:r>
                            <w:rPr>
                              <w:rFonts w:ascii="Times New Roman Regular" w:hAnsi="Times New Roman Regular" w:cs="Times New Roman Regular"/>
                              <w:sz w:val="24"/>
                            </w:rPr>
                            <w:t xml:space="preserve">— </w:t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Times New Roman Regular" w:hAnsi="Times New Roman Regular" w:cs="Times New Roman Regular"/>
                              <w:sz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0CDF97">
                    <w:pPr>
                      <w:pStyle w:val="5"/>
                      <w:rPr>
                        <w:rFonts w:ascii="Times New Roman Regular" w:hAnsi="Times New Roman Regular" w:cs="Times New Roman Regular"/>
                        <w:sz w:val="24"/>
                      </w:rPr>
                    </w:pPr>
                    <w:r>
                      <w:rPr>
                        <w:rFonts w:ascii="Times New Roman Regular" w:hAnsi="Times New Roman Regular" w:cs="Times New Roman Regular"/>
                        <w:sz w:val="24"/>
                      </w:rPr>
                      <w:t xml:space="preserve">— </w:t>
                    </w:r>
                    <w:r>
                      <w:rPr>
                        <w:rFonts w:ascii="Times New Roman Regular" w:hAnsi="Times New Roman Regular" w:cs="Times New Roman Regular"/>
                        <w:sz w:val="24"/>
                      </w:rPr>
                      <w:fldChar w:fldCharType="begin"/>
                    </w:r>
                    <w:r>
                      <w:rPr>
                        <w:rFonts w:ascii="Times New Roman Regular" w:hAnsi="Times New Roman Regular" w:cs="Times New Roman Regular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ascii="Times New Roman Regular" w:hAnsi="Times New Roman Regular" w:cs="Times New Roman Regular"/>
                        <w:sz w:val="24"/>
                      </w:rPr>
                      <w:fldChar w:fldCharType="separate"/>
                    </w:r>
                    <w:r>
                      <w:rPr>
                        <w:rFonts w:ascii="Times New Roman Regular" w:hAnsi="Times New Roman Regular" w:cs="Times New Roman Regular"/>
                        <w:sz w:val="24"/>
                      </w:rPr>
                      <w:t>1</w:t>
                    </w:r>
                    <w:r>
                      <w:rPr>
                        <w:rFonts w:ascii="Times New Roman Regular" w:hAnsi="Times New Roman Regular" w:cs="Times New Roman Regular"/>
                        <w:sz w:val="24"/>
                      </w:rPr>
                      <w:fldChar w:fldCharType="end"/>
                    </w:r>
                    <w:r>
                      <w:rPr>
                        <w:rFonts w:ascii="Times New Roman Regular" w:hAnsi="Times New Roman Regular" w:cs="Times New Roman Regular"/>
                        <w:sz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kMDlhZGRmMmEzM2MxZDUwMWQxNDVkMDJiZDRkYjQifQ=="/>
  </w:docVars>
  <w:rsids>
    <w:rsidRoot w:val="1F631EFD"/>
    <w:rsid w:val="1F631EFD"/>
    <w:rsid w:val="1FC70304"/>
    <w:rsid w:val="1FF66151"/>
    <w:rsid w:val="2635039B"/>
    <w:rsid w:val="270C4814"/>
    <w:rsid w:val="291304DB"/>
    <w:rsid w:val="299903D8"/>
    <w:rsid w:val="32322CB5"/>
    <w:rsid w:val="3AA2407D"/>
    <w:rsid w:val="474E250C"/>
    <w:rsid w:val="490F4DEA"/>
    <w:rsid w:val="4A245B4D"/>
    <w:rsid w:val="4C1C1A96"/>
    <w:rsid w:val="4DFD506D"/>
    <w:rsid w:val="4FC40035"/>
    <w:rsid w:val="5A4C4C5D"/>
    <w:rsid w:val="5D9E1657"/>
    <w:rsid w:val="5FFC953B"/>
    <w:rsid w:val="69205616"/>
    <w:rsid w:val="6BE241F4"/>
    <w:rsid w:val="6D4A5383"/>
    <w:rsid w:val="70E85C4B"/>
    <w:rsid w:val="72E91D73"/>
    <w:rsid w:val="73BF3564"/>
    <w:rsid w:val="754B6155"/>
    <w:rsid w:val="78E93D22"/>
    <w:rsid w:val="7FF75B50"/>
    <w:rsid w:val="7FF7CA48"/>
    <w:rsid w:val="DF0D4FBC"/>
    <w:rsid w:val="E17F3E86"/>
    <w:rsid w:val="F15C1E1C"/>
    <w:rsid w:val="FDEBCD3D"/>
    <w:rsid w:val="FEFDE81D"/>
    <w:rsid w:val="FEFF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1772</Words>
  <Characters>1779</Characters>
  <Lines>0</Lines>
  <Paragraphs>0</Paragraphs>
  <TotalTime>29</TotalTime>
  <ScaleCrop>false</ScaleCrop>
  <LinksUpToDate>false</LinksUpToDate>
  <CharactersWithSpaces>1788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2026-04-20T04:04:00Z</dcterms:created>
  <dc:creator>苏扬</dc:creator>
  <cp:lastModifiedBy>吕小劼</cp:lastModifiedBy>
  <dcterms:modified xsi:type="dcterms:W3CDTF">2026-05-20T15:09:02Z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C34DEBD8EAA24683FAFF0C6A60D58046_43</vt:lpwstr>
  </property>
  <property fmtid="{D5CDD505-2E9C-101B-9397-08002B2CF9AE}" pid="4" name="KSOTemplateDocerSaveRecord">
    <vt:lpwstr>eyJoZGlkIjoiNzM0YWM5OTViYTEwMTY3MDdmMzAyMGNmOWJiOGE0YjgiLCJ1c2VySWQiOiIzOTU5ODY3NzIifQ==</vt:lpwstr>
  </property>
</Properties>
</file>