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991A8">
      <w:pPr>
        <w:spacing w:line="560" w:lineRule="exact"/>
        <w:ind w:firstLine="640" w:firstLineChars="200"/>
        <w:jc w:val="right"/>
        <w:rPr>
          <w:rFonts w:hint="eastAsia" w:ascii="仿宋_GB2312" w:eastAsia="仿宋_GB2312" w:hAnsiTheme="minorEastAsia"/>
          <w:sz w:val="32"/>
          <w:szCs w:val="32"/>
        </w:rPr>
      </w:pPr>
      <w:bookmarkStart w:id="0" w:name="OLE_LINK3"/>
      <w:bookmarkStart w:id="1" w:name="OLE_LINK4"/>
      <w:r>
        <w:rPr>
          <w:rFonts w:hint="eastAsia" w:ascii="仿宋_GB2312" w:eastAsia="仿宋_GB2312" w:hAnsiTheme="minorEastAsia"/>
          <w:sz w:val="32"/>
          <w:szCs w:val="32"/>
        </w:rPr>
        <w:t>清深国院规〔2025〕16号</w:t>
      </w:r>
    </w:p>
    <w:p w14:paraId="2DD195F5">
      <w:pPr>
        <w:spacing w:line="560" w:lineRule="exact"/>
        <w:jc w:val="center"/>
        <w:rPr>
          <w:rFonts w:hint="eastAsia" w:ascii="方正小标宋简体" w:hAnsi="方正小标宋简体" w:eastAsia="方正小标宋简体"/>
          <w:sz w:val="44"/>
          <w:szCs w:val="44"/>
        </w:rPr>
      </w:pPr>
    </w:p>
    <w:p w14:paraId="085C8009">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清华大学深圳国际研究生院差旅费管理办法</w:t>
      </w:r>
    </w:p>
    <w:p w14:paraId="7B0BF2A7">
      <w:pPr>
        <w:spacing w:line="520" w:lineRule="exact"/>
        <w:ind w:leftChars="-67" w:right="-227" w:rightChars="-108" w:hanging="132" w:hangingChars="44"/>
        <w:jc w:val="center"/>
        <w:rPr>
          <w:rFonts w:hint="eastAsia" w:ascii="仿宋_GB2312" w:eastAsia="仿宋_GB2312"/>
          <w:sz w:val="30"/>
          <w:szCs w:val="30"/>
          <w:lang w:eastAsia="zh-CN"/>
        </w:rPr>
      </w:pPr>
      <w:r>
        <w:rPr>
          <w:rFonts w:hint="eastAsia" w:ascii="仿宋_GB2312" w:eastAsia="仿宋_GB2312"/>
          <w:sz w:val="30"/>
          <w:szCs w:val="30"/>
        </w:rPr>
        <w:t>二</w:t>
      </w:r>
      <w:r>
        <w:rPr>
          <w:rFonts w:hint="eastAsia" w:ascii="仿宋_GB2312" w:hAnsi="仿宋" w:eastAsia="仿宋_GB2312"/>
          <w:sz w:val="30"/>
          <w:szCs w:val="30"/>
        </w:rPr>
        <w:t>〇</w:t>
      </w:r>
      <w:r>
        <w:rPr>
          <w:rFonts w:hint="eastAsia" w:ascii="仿宋_GB2312" w:eastAsia="仿宋_GB2312"/>
          <w:sz w:val="30"/>
          <w:szCs w:val="30"/>
        </w:rPr>
        <w:t>一九年第十一次院党政联席会（201</w:t>
      </w:r>
      <w:r>
        <w:rPr>
          <w:rFonts w:ascii="仿宋_GB2312" w:eastAsia="仿宋_GB2312"/>
          <w:sz w:val="30"/>
          <w:szCs w:val="30"/>
        </w:rPr>
        <w:t>9</w:t>
      </w:r>
      <w:r>
        <w:rPr>
          <w:rFonts w:hint="eastAsia" w:ascii="仿宋_GB2312" w:eastAsia="仿宋_GB2312"/>
          <w:sz w:val="30"/>
          <w:szCs w:val="30"/>
        </w:rPr>
        <w:t>年</w:t>
      </w:r>
      <w:r>
        <w:rPr>
          <w:rFonts w:ascii="仿宋_GB2312" w:eastAsia="仿宋_GB2312"/>
          <w:sz w:val="30"/>
          <w:szCs w:val="30"/>
        </w:rPr>
        <w:t>9</w:t>
      </w:r>
      <w:r>
        <w:rPr>
          <w:rFonts w:hint="eastAsia" w:ascii="仿宋_GB2312" w:eastAsia="仿宋_GB2312"/>
          <w:sz w:val="30"/>
          <w:szCs w:val="30"/>
        </w:rPr>
        <w:t>月</w:t>
      </w:r>
      <w:r>
        <w:rPr>
          <w:rFonts w:ascii="仿宋_GB2312" w:eastAsia="仿宋_GB2312"/>
          <w:sz w:val="30"/>
          <w:szCs w:val="30"/>
        </w:rPr>
        <w:t>20</w:t>
      </w:r>
      <w:r>
        <w:rPr>
          <w:rFonts w:hint="eastAsia" w:ascii="仿宋_GB2312" w:eastAsia="仿宋_GB2312"/>
          <w:sz w:val="30"/>
          <w:szCs w:val="30"/>
        </w:rPr>
        <w:t>日）讨论通过</w:t>
      </w:r>
      <w:r>
        <w:rPr>
          <w:rFonts w:hint="eastAsia" w:ascii="仿宋_GB2312" w:eastAsia="仿宋_GB2312"/>
          <w:sz w:val="30"/>
          <w:szCs w:val="30"/>
          <w:lang w:eastAsia="zh-CN"/>
        </w:rPr>
        <w:t>，</w:t>
      </w:r>
    </w:p>
    <w:p w14:paraId="2F2375DA">
      <w:pPr>
        <w:spacing w:line="520" w:lineRule="exact"/>
        <w:ind w:leftChars="-67" w:right="-86" w:rightChars="-41" w:hanging="132" w:hangingChars="44"/>
        <w:jc w:val="center"/>
        <w:rPr>
          <w:rFonts w:hint="eastAsia" w:ascii="仿宋_GB2312" w:eastAsia="仿宋_GB2312"/>
          <w:sz w:val="30"/>
          <w:szCs w:val="30"/>
          <w:lang w:eastAsia="zh-CN"/>
        </w:rPr>
      </w:pPr>
      <w:r>
        <w:rPr>
          <w:rFonts w:hint="eastAsia" w:ascii="仿宋_GB2312" w:eastAsia="仿宋_GB2312"/>
          <w:sz w:val="30"/>
          <w:szCs w:val="30"/>
        </w:rPr>
        <w:t>二</w:t>
      </w:r>
      <w:r>
        <w:rPr>
          <w:rFonts w:hint="eastAsia" w:ascii="仿宋_GB2312" w:hAnsi="仿宋" w:eastAsia="仿宋_GB2312"/>
          <w:sz w:val="30"/>
          <w:szCs w:val="30"/>
        </w:rPr>
        <w:t>〇</w:t>
      </w:r>
      <w:r>
        <w:rPr>
          <w:rFonts w:hint="eastAsia" w:ascii="仿宋_GB2312" w:eastAsia="仿宋_GB2312"/>
          <w:sz w:val="30"/>
          <w:szCs w:val="30"/>
        </w:rPr>
        <w:t>二一年第二十五次院务会（2021年10月</w:t>
      </w:r>
      <w:r>
        <w:rPr>
          <w:rFonts w:ascii="仿宋_GB2312" w:eastAsia="仿宋_GB2312"/>
          <w:sz w:val="30"/>
          <w:szCs w:val="30"/>
        </w:rPr>
        <w:t>11</w:t>
      </w:r>
      <w:r>
        <w:rPr>
          <w:rFonts w:hint="eastAsia" w:ascii="仿宋_GB2312" w:eastAsia="仿宋_GB2312"/>
          <w:sz w:val="30"/>
          <w:szCs w:val="30"/>
        </w:rPr>
        <w:t>日）</w:t>
      </w:r>
      <w:r>
        <w:rPr>
          <w:rFonts w:hint="eastAsia" w:ascii="仿宋_GB2312" w:eastAsia="仿宋_GB2312"/>
          <w:sz w:val="30"/>
          <w:szCs w:val="30"/>
          <w:lang w:eastAsia="zh-Hans"/>
        </w:rPr>
        <w:t>第一次</w:t>
      </w:r>
      <w:r>
        <w:rPr>
          <w:rFonts w:hint="eastAsia" w:ascii="仿宋_GB2312" w:eastAsia="仿宋_GB2312"/>
          <w:sz w:val="30"/>
          <w:szCs w:val="30"/>
        </w:rPr>
        <w:t>修订</w:t>
      </w:r>
      <w:r>
        <w:rPr>
          <w:rFonts w:hint="eastAsia" w:ascii="仿宋_GB2312" w:eastAsia="仿宋_GB2312"/>
          <w:sz w:val="30"/>
          <w:szCs w:val="30"/>
          <w:lang w:eastAsia="zh-CN"/>
        </w:rPr>
        <w:t>，</w:t>
      </w:r>
    </w:p>
    <w:p w14:paraId="522FE699">
      <w:pPr>
        <w:spacing w:line="520" w:lineRule="exact"/>
        <w:ind w:leftChars="-67" w:right="-86" w:rightChars="-41" w:hanging="132" w:hangingChars="44"/>
        <w:jc w:val="center"/>
        <w:rPr>
          <w:rFonts w:hint="eastAsia" w:ascii="仿宋_GB2312" w:eastAsia="仿宋_GB2312"/>
          <w:sz w:val="30"/>
          <w:szCs w:val="30"/>
          <w:lang w:eastAsia="zh-CN"/>
        </w:rPr>
      </w:pPr>
      <w:r>
        <w:rPr>
          <w:rFonts w:hint="eastAsia" w:ascii="仿宋_GB2312" w:eastAsia="仿宋_GB2312"/>
          <w:sz w:val="30"/>
          <w:szCs w:val="30"/>
        </w:rPr>
        <w:t>二</w:t>
      </w:r>
      <w:r>
        <w:rPr>
          <w:rFonts w:hint="eastAsia" w:ascii="仿宋_GB2312" w:hAnsi="仿宋" w:eastAsia="仿宋_GB2312"/>
          <w:sz w:val="30"/>
          <w:szCs w:val="30"/>
        </w:rPr>
        <w:t>〇</w:t>
      </w:r>
      <w:r>
        <w:rPr>
          <w:rFonts w:hint="eastAsia" w:ascii="仿宋_GB2312" w:eastAsia="仿宋_GB2312"/>
          <w:sz w:val="30"/>
          <w:szCs w:val="30"/>
        </w:rPr>
        <w:t>二</w:t>
      </w:r>
      <w:r>
        <w:rPr>
          <w:rFonts w:hint="eastAsia" w:ascii="仿宋_GB2312" w:eastAsia="仿宋_GB2312"/>
          <w:sz w:val="30"/>
          <w:szCs w:val="30"/>
          <w:lang w:eastAsia="zh-Hans"/>
        </w:rPr>
        <w:t>三</w:t>
      </w:r>
      <w:r>
        <w:rPr>
          <w:rFonts w:hint="eastAsia" w:ascii="仿宋_GB2312" w:eastAsia="仿宋_GB2312"/>
          <w:sz w:val="30"/>
          <w:szCs w:val="30"/>
        </w:rPr>
        <w:t>年第二十七次院务会（2023年11月13日）</w:t>
      </w:r>
      <w:r>
        <w:rPr>
          <w:rFonts w:hint="eastAsia" w:ascii="仿宋_GB2312" w:eastAsia="仿宋_GB2312"/>
          <w:sz w:val="30"/>
          <w:szCs w:val="30"/>
          <w:lang w:eastAsia="zh-Hans"/>
        </w:rPr>
        <w:t>第二次</w:t>
      </w:r>
      <w:r>
        <w:rPr>
          <w:rFonts w:hint="eastAsia" w:ascii="仿宋_GB2312" w:eastAsia="仿宋_GB2312"/>
          <w:sz w:val="30"/>
          <w:szCs w:val="30"/>
        </w:rPr>
        <w:t>修订</w:t>
      </w:r>
      <w:r>
        <w:rPr>
          <w:rFonts w:hint="eastAsia" w:ascii="仿宋_GB2312" w:eastAsia="仿宋_GB2312"/>
          <w:sz w:val="30"/>
          <w:szCs w:val="30"/>
          <w:lang w:eastAsia="zh-CN"/>
        </w:rPr>
        <w:t>，</w:t>
      </w:r>
    </w:p>
    <w:p w14:paraId="4C4C0DC6">
      <w:pPr>
        <w:spacing w:line="520" w:lineRule="exact"/>
        <w:ind w:leftChars="-67" w:right="-86" w:rightChars="-41" w:hanging="132" w:hangingChars="44"/>
        <w:jc w:val="center"/>
        <w:rPr>
          <w:rFonts w:ascii="仿宋_GB2312" w:eastAsia="仿宋_GB2312"/>
          <w:sz w:val="30"/>
          <w:szCs w:val="30"/>
        </w:rPr>
      </w:pPr>
      <w:r>
        <w:rPr>
          <w:rFonts w:hint="eastAsia" w:ascii="仿宋_GB2312" w:eastAsia="仿宋_GB2312"/>
          <w:sz w:val="30"/>
          <w:szCs w:val="30"/>
        </w:rPr>
        <w:t>二</w:t>
      </w:r>
      <w:r>
        <w:rPr>
          <w:rFonts w:hint="eastAsia" w:ascii="仿宋_GB2312" w:hAnsi="仿宋" w:eastAsia="仿宋_GB2312"/>
          <w:sz w:val="30"/>
          <w:szCs w:val="30"/>
        </w:rPr>
        <w:t>〇</w:t>
      </w:r>
      <w:r>
        <w:rPr>
          <w:rFonts w:hint="eastAsia" w:ascii="仿宋_GB2312" w:eastAsia="仿宋_GB2312"/>
          <w:sz w:val="30"/>
          <w:szCs w:val="30"/>
        </w:rPr>
        <w:t>二五年第六十七次党政联席会议（</w:t>
      </w:r>
      <w:r>
        <w:rPr>
          <w:rFonts w:ascii="仿宋_GB2312" w:eastAsia="仿宋_GB2312"/>
          <w:sz w:val="30"/>
          <w:szCs w:val="30"/>
        </w:rPr>
        <w:t>2025</w:t>
      </w:r>
      <w:r>
        <w:rPr>
          <w:rFonts w:hint="eastAsia" w:ascii="仿宋_GB2312" w:eastAsia="仿宋_GB2312"/>
          <w:sz w:val="30"/>
          <w:szCs w:val="30"/>
        </w:rPr>
        <w:t>年</w:t>
      </w:r>
      <w:r>
        <w:rPr>
          <w:rFonts w:ascii="仿宋_GB2312" w:eastAsia="仿宋_GB2312"/>
          <w:sz w:val="30"/>
          <w:szCs w:val="30"/>
        </w:rPr>
        <w:t>11</w:t>
      </w:r>
      <w:r>
        <w:rPr>
          <w:rFonts w:hint="eastAsia" w:ascii="仿宋_GB2312" w:eastAsia="仿宋_GB2312"/>
          <w:sz w:val="30"/>
          <w:szCs w:val="30"/>
        </w:rPr>
        <w:t>月</w:t>
      </w:r>
      <w:r>
        <w:rPr>
          <w:rFonts w:ascii="仿宋_GB2312" w:eastAsia="仿宋_GB2312"/>
          <w:sz w:val="30"/>
          <w:szCs w:val="30"/>
        </w:rPr>
        <w:t>24</w:t>
      </w:r>
      <w:r>
        <w:rPr>
          <w:rFonts w:hint="eastAsia" w:ascii="仿宋_GB2312" w:eastAsia="仿宋_GB2312"/>
          <w:sz w:val="30"/>
          <w:szCs w:val="30"/>
        </w:rPr>
        <w:t>日）</w:t>
      </w:r>
      <w:r>
        <w:rPr>
          <w:rFonts w:hint="eastAsia" w:ascii="仿宋_GB2312" w:eastAsia="仿宋_GB2312"/>
          <w:sz w:val="30"/>
          <w:szCs w:val="30"/>
          <w:lang w:eastAsia="zh-Hans"/>
        </w:rPr>
        <w:t>第</w:t>
      </w:r>
      <w:r>
        <w:rPr>
          <w:rFonts w:hint="eastAsia" w:ascii="仿宋_GB2312" w:eastAsia="仿宋_GB2312"/>
          <w:sz w:val="30"/>
          <w:szCs w:val="30"/>
        </w:rPr>
        <w:t>三</w:t>
      </w:r>
      <w:r>
        <w:rPr>
          <w:rFonts w:hint="eastAsia" w:ascii="仿宋_GB2312" w:eastAsia="仿宋_GB2312"/>
          <w:sz w:val="30"/>
          <w:szCs w:val="30"/>
          <w:lang w:eastAsia="zh-Hans"/>
        </w:rPr>
        <w:t>次</w:t>
      </w:r>
      <w:r>
        <w:rPr>
          <w:rFonts w:hint="eastAsia" w:ascii="仿宋_GB2312" w:eastAsia="仿宋_GB2312"/>
          <w:sz w:val="30"/>
          <w:szCs w:val="30"/>
        </w:rPr>
        <w:t>修订</w:t>
      </w:r>
    </w:p>
    <w:p w14:paraId="49636394">
      <w:pPr>
        <w:adjustRightInd w:val="0"/>
        <w:snapToGrid w:val="0"/>
        <w:spacing w:line="520" w:lineRule="exact"/>
        <w:rPr>
          <w:rFonts w:ascii="仿宋_GB2312" w:eastAsia="仿宋_GB2312"/>
          <w:sz w:val="24"/>
        </w:rPr>
      </w:pPr>
    </w:p>
    <w:p w14:paraId="43129EEE">
      <w:pPr>
        <w:spacing w:line="560" w:lineRule="exact"/>
        <w:jc w:val="center"/>
        <w:rPr>
          <w:rFonts w:ascii="黑体" w:hAnsi="黑体" w:eastAsia="黑体"/>
          <w:sz w:val="32"/>
          <w:szCs w:val="32"/>
        </w:rPr>
      </w:pPr>
      <w:r>
        <w:rPr>
          <w:rFonts w:hint="eastAsia" w:ascii="黑体" w:hAnsi="黑体" w:eastAsia="黑体"/>
          <w:sz w:val="32"/>
          <w:szCs w:val="32"/>
        </w:rPr>
        <w:t>第一章 总则</w:t>
      </w:r>
    </w:p>
    <w:p w14:paraId="0052AE0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第一条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为了进一步加强和规范清华大学深圳国际研究生院（以下简称学院）差旅费管理，参照《党政机关厉行节约反对浪费条例》，根据《清华大学境内差旅费管理办法》《清华大学因公临时出国经费管理办法》等相关规定，结合学院实际，制定本办法。</w:t>
      </w:r>
    </w:p>
    <w:p w14:paraId="32D908AB">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 xml:space="preserve">第二条 </w:t>
      </w:r>
      <w:r>
        <w:rPr>
          <w:rFonts w:hint="eastAsia" w:ascii="仿宋_GB2312" w:eastAsia="仿宋_GB2312" w:hAnsiTheme="minorEastAsia"/>
          <w:sz w:val="32"/>
          <w:szCs w:val="32"/>
        </w:rPr>
        <w:t xml:space="preserve"> 各单位应当根据工作需要严格控制出差人数和天数，严禁无实质内容、无明确公务目的的学习交流和考察调研等，严禁以任何名义和方式变相旅游等。</w:t>
      </w:r>
    </w:p>
    <w:p w14:paraId="4C41A881">
      <w:pPr>
        <w:spacing w:line="560" w:lineRule="exact"/>
        <w:ind w:firstLine="643" w:firstLineChars="200"/>
        <w:jc w:val="left"/>
        <w:rPr>
          <w:rFonts w:hint="eastAsia" w:ascii="仿宋_GB2312" w:eastAsia="仿宋_GB2312" w:hAnsiTheme="minorEastAsia"/>
          <w:sz w:val="32"/>
          <w:szCs w:val="32"/>
        </w:rPr>
      </w:pPr>
      <w:r>
        <w:rPr>
          <w:rFonts w:hint="eastAsia" w:ascii="仿宋_GB2312" w:eastAsia="仿宋_GB2312" w:hAnsiTheme="minorEastAsia"/>
          <w:b/>
          <w:bCs/>
          <w:sz w:val="32"/>
          <w:szCs w:val="32"/>
        </w:rPr>
        <w:t xml:space="preserve">第三条  </w:t>
      </w:r>
      <w:r>
        <w:rPr>
          <w:rFonts w:hint="eastAsia" w:ascii="仿宋_GB2312" w:eastAsia="仿宋_GB2312" w:hAnsiTheme="minorEastAsia"/>
          <w:sz w:val="32"/>
          <w:szCs w:val="32"/>
        </w:rPr>
        <w:t>差旅费开支应当与教学科研管理工作任务相关，确保真实性、合法性和相关性。</w:t>
      </w:r>
    </w:p>
    <w:p w14:paraId="5CF04262">
      <w:pPr>
        <w:spacing w:line="520" w:lineRule="exact"/>
        <w:jc w:val="center"/>
        <w:rPr>
          <w:rFonts w:ascii="黑体" w:hAnsi="黑体" w:eastAsia="黑体"/>
          <w:sz w:val="32"/>
          <w:szCs w:val="32"/>
        </w:rPr>
      </w:pPr>
      <w:r>
        <w:rPr>
          <w:rFonts w:hint="eastAsia" w:ascii="黑体" w:hAnsi="黑体" w:eastAsia="黑体"/>
          <w:sz w:val="32"/>
          <w:szCs w:val="32"/>
        </w:rPr>
        <w:t>第二章 差旅安排</w:t>
      </w:r>
    </w:p>
    <w:p w14:paraId="5644533A">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第四条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差旅安排分境内出差和因</w:t>
      </w:r>
      <w:bookmarkStart w:id="5" w:name="_GoBack"/>
      <w:bookmarkEnd w:id="5"/>
      <w:r>
        <w:rPr>
          <w:rFonts w:hint="eastAsia" w:ascii="仿宋_GB2312" w:eastAsia="仿宋_GB2312" w:hAnsiTheme="minorEastAsia"/>
          <w:sz w:val="32"/>
          <w:szCs w:val="32"/>
        </w:rPr>
        <w:t>公临时出国（境）两种。</w:t>
      </w:r>
    </w:p>
    <w:p w14:paraId="3747B2F9">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第五条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出差人员境内出差前，应按学院相关规定办理出差申请，报批后作为借支或报销差旅费的凭据。</w:t>
      </w:r>
    </w:p>
    <w:p w14:paraId="42CA5337">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第六条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bookmarkStart w:id="2" w:name="OLE_LINK7"/>
      <w:r>
        <w:rPr>
          <w:rFonts w:hint="eastAsia" w:ascii="仿宋_GB2312" w:eastAsia="仿宋_GB2312" w:hAnsiTheme="minorEastAsia"/>
          <w:sz w:val="32"/>
          <w:szCs w:val="32"/>
        </w:rPr>
        <w:t>各职能处室</w:t>
      </w:r>
      <w:bookmarkEnd w:id="2"/>
      <w:r>
        <w:rPr>
          <w:rFonts w:hint="eastAsia" w:ascii="仿宋_GB2312" w:eastAsia="仿宋_GB2312" w:hAnsiTheme="minorEastAsia"/>
          <w:sz w:val="32"/>
          <w:szCs w:val="32"/>
        </w:rPr>
        <w:t>、教学科研</w:t>
      </w:r>
      <w:r>
        <w:rPr>
          <w:rFonts w:hint="eastAsia" w:ascii="仿宋_GB2312" w:eastAsia="仿宋_GB2312" w:hAnsiTheme="minorEastAsia"/>
          <w:sz w:val="32"/>
          <w:szCs w:val="32"/>
          <w:lang w:eastAsia="zh-Hans"/>
        </w:rPr>
        <w:t>机构</w:t>
      </w:r>
      <w:r>
        <w:rPr>
          <w:rFonts w:hint="eastAsia" w:ascii="仿宋_GB2312" w:eastAsia="仿宋_GB2312" w:hAnsiTheme="minorEastAsia"/>
          <w:sz w:val="32"/>
          <w:szCs w:val="32"/>
        </w:rPr>
        <w:t>应根据批准通过的因公出国（境）申请表提前办理因公护照及签证、因公通行证及签注。出访任务需要在多个国家或多个城市间往来的，应当事先列明，未获学院批准的，不予报销。</w:t>
      </w:r>
    </w:p>
    <w:p w14:paraId="4EE6966C">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第七条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出差人员出国及到港澳台地区办理公务、参加国际会议、交流访问等，应按照学院因公出国（境）审批与管理</w:t>
      </w:r>
      <w:r>
        <w:rPr>
          <w:rFonts w:hint="eastAsia" w:ascii="仿宋_GB2312" w:eastAsia="仿宋_GB2312" w:hAnsiTheme="minorEastAsia"/>
          <w:sz w:val="32"/>
          <w:szCs w:val="32"/>
          <w:lang w:eastAsia="zh-Hans"/>
        </w:rPr>
        <w:t>相关规定</w:t>
      </w:r>
      <w:r>
        <w:rPr>
          <w:rFonts w:hint="eastAsia" w:ascii="仿宋_GB2312" w:eastAsia="仿宋_GB2312" w:hAnsiTheme="minorEastAsia"/>
          <w:sz w:val="32"/>
          <w:szCs w:val="32"/>
        </w:rPr>
        <w:t>办理出国（境）审批手续。</w:t>
      </w:r>
    </w:p>
    <w:p w14:paraId="7BB5935B">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第八条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出差人员可在院内合作的差旅服务商处预订机票、住宿并统一结账，自行预订和支付的住宿和机票等支出按规定用公务卡结算。</w:t>
      </w:r>
    </w:p>
    <w:p w14:paraId="1DBB62D4">
      <w:pPr>
        <w:spacing w:line="560" w:lineRule="exact"/>
        <w:ind w:firstLine="643" w:firstLineChars="200"/>
        <w:jc w:val="left"/>
        <w:rPr>
          <w:rFonts w:hint="eastAsia" w:ascii="仿宋_GB2312" w:eastAsia="仿宋_GB2312" w:hAnsiTheme="minorEastAsia"/>
          <w:sz w:val="32"/>
          <w:szCs w:val="32"/>
        </w:rPr>
      </w:pPr>
      <w:r>
        <w:rPr>
          <w:rFonts w:hint="eastAsia" w:ascii="仿宋_GB2312" w:eastAsia="仿宋_GB2312" w:hAnsiTheme="minorEastAsia"/>
          <w:b/>
          <w:bCs/>
          <w:sz w:val="32"/>
          <w:szCs w:val="32"/>
        </w:rPr>
        <w:t>第九条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差旅费应于出差结束后一个月内办理报销，因故延迟报销的，由出差人提供情况说明，并由相关负责人签字后办理报销。</w:t>
      </w:r>
    </w:p>
    <w:p w14:paraId="003580F3">
      <w:pPr>
        <w:spacing w:line="520" w:lineRule="exact"/>
        <w:jc w:val="center"/>
        <w:rPr>
          <w:rFonts w:ascii="黑体" w:hAnsi="黑体" w:eastAsia="黑体"/>
          <w:sz w:val="32"/>
          <w:szCs w:val="32"/>
        </w:rPr>
      </w:pPr>
      <w:r>
        <w:rPr>
          <w:rFonts w:hint="eastAsia" w:ascii="黑体" w:hAnsi="黑体" w:eastAsia="黑体"/>
          <w:sz w:val="32"/>
          <w:szCs w:val="32"/>
        </w:rPr>
        <w:t>第三章 境内差旅费报销</w:t>
      </w:r>
    </w:p>
    <w:p w14:paraId="01D7E87C">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境内差旅费是指工作人员临时到常驻地以外地区公务出差所发生的城市间交通费、住宿费、伙食补助费和市内交通费等。</w:t>
      </w:r>
    </w:p>
    <w:p w14:paraId="002082C2">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城市间交通费是指出差人员乘坐火车、轮船、飞机等城际间交通工具出差发生的费用。</w:t>
      </w:r>
    </w:p>
    <w:p w14:paraId="39710D1D">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住宿费是指出差人员出差期间入住宾馆(包括饭店、招待所等)发生的房租费用。</w:t>
      </w:r>
    </w:p>
    <w:p w14:paraId="01E7518B">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伙食补助费是指对出差人员给予的出差期间的伙食补助费用。</w:t>
      </w:r>
    </w:p>
    <w:p w14:paraId="7E8E05B8">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市内交通费是指出差人员出差期间发生的市内交通费用。</w:t>
      </w:r>
    </w:p>
    <w:p w14:paraId="3B627F76">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第十一条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境内出差分为学术交流出差和公务出差两类。境内出差人员应当按规定的等级乘坐交通工具，凭据报销城市间交通费。</w:t>
      </w:r>
    </w:p>
    <w:p w14:paraId="5D9D56A3">
      <w:pPr>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交通工具标准见下表：</w:t>
      </w:r>
    </w:p>
    <w:tbl>
      <w:tblPr>
        <w:tblStyle w:val="17"/>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3"/>
        <w:gridCol w:w="2233"/>
        <w:gridCol w:w="2410"/>
        <w:gridCol w:w="1418"/>
        <w:gridCol w:w="1449"/>
        <w:gridCol w:w="1605"/>
      </w:tblGrid>
      <w:tr w14:paraId="334679D3">
        <w:trPr>
          <w:jc w:val="center"/>
        </w:trPr>
        <w:tc>
          <w:tcPr>
            <w:tcW w:w="653" w:type="dxa"/>
            <w:tcMar>
              <w:top w:w="0" w:type="dxa"/>
              <w:left w:w="108" w:type="dxa"/>
              <w:bottom w:w="0" w:type="dxa"/>
              <w:right w:w="108" w:type="dxa"/>
            </w:tcMar>
            <w:vAlign w:val="center"/>
          </w:tcPr>
          <w:p w14:paraId="285C832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分</w:t>
            </w:r>
          </w:p>
          <w:p w14:paraId="09F72E14">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类</w:t>
            </w:r>
          </w:p>
        </w:tc>
        <w:tc>
          <w:tcPr>
            <w:tcW w:w="2233" w:type="dxa"/>
            <w:tcMar>
              <w:top w:w="0" w:type="dxa"/>
              <w:left w:w="108" w:type="dxa"/>
              <w:bottom w:w="0" w:type="dxa"/>
              <w:right w:w="108" w:type="dxa"/>
            </w:tcMar>
          </w:tcPr>
          <w:p w14:paraId="6B6B26C9">
            <w:pPr>
              <w:spacing w:line="360" w:lineRule="exact"/>
              <w:ind w:firstLine="227"/>
              <w:jc w:val="center"/>
              <w:rPr>
                <w:rFonts w:ascii="仿宋_GB2312" w:eastAsia="仿宋_GB2312" w:cs="宋体" w:hAnsiTheme="minorEastAsia"/>
                <w:color w:val="000000"/>
                <w:kern w:val="0"/>
                <w:sz w:val="24"/>
              </w:rPr>
            </w:pPr>
            <w:r>
              <w:rPr>
                <w:rFonts w:hint="eastAsia" w:ascii="仿宋_GB2312" w:eastAsia="仿宋_GB2312" w:cs="Calibri" w:hAnsiTheme="minorEastAsia"/>
                <w:color w:val="000000"/>
                <w:kern w:val="0"/>
                <w:sz w:val="24"/>
              </w:rPr>
              <w:t> </w:t>
            </w:r>
          </w:p>
          <w:p w14:paraId="302BE7F4">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对应出差人员</w:t>
            </w:r>
          </w:p>
          <w:p w14:paraId="76424E60">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（以人事部门认定结果为准）</w:t>
            </w:r>
          </w:p>
        </w:tc>
        <w:tc>
          <w:tcPr>
            <w:tcW w:w="2410" w:type="dxa"/>
            <w:tcMar>
              <w:top w:w="0" w:type="dxa"/>
              <w:left w:w="108" w:type="dxa"/>
              <w:bottom w:w="0" w:type="dxa"/>
              <w:right w:w="108" w:type="dxa"/>
            </w:tcMar>
            <w:vAlign w:val="center"/>
          </w:tcPr>
          <w:p w14:paraId="6F11F079">
            <w:pPr>
              <w:spacing w:line="360" w:lineRule="exac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火车（含高铁、动车、全列软席列车）</w:t>
            </w:r>
          </w:p>
        </w:tc>
        <w:tc>
          <w:tcPr>
            <w:tcW w:w="1418" w:type="dxa"/>
            <w:tcMar>
              <w:top w:w="0" w:type="dxa"/>
              <w:left w:w="108" w:type="dxa"/>
              <w:bottom w:w="0" w:type="dxa"/>
              <w:right w:w="108" w:type="dxa"/>
            </w:tcMar>
            <w:vAlign w:val="center"/>
          </w:tcPr>
          <w:p w14:paraId="126113D1">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轮船（不包括旅游船）</w:t>
            </w:r>
          </w:p>
        </w:tc>
        <w:tc>
          <w:tcPr>
            <w:tcW w:w="1449" w:type="dxa"/>
            <w:tcMar>
              <w:top w:w="0" w:type="dxa"/>
              <w:left w:w="108" w:type="dxa"/>
              <w:bottom w:w="0" w:type="dxa"/>
              <w:right w:w="108" w:type="dxa"/>
            </w:tcMar>
            <w:vAlign w:val="center"/>
          </w:tcPr>
          <w:p w14:paraId="34738C58">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飞机</w:t>
            </w:r>
          </w:p>
        </w:tc>
        <w:tc>
          <w:tcPr>
            <w:tcW w:w="1605" w:type="dxa"/>
            <w:tcMar>
              <w:top w:w="0" w:type="dxa"/>
              <w:left w:w="108" w:type="dxa"/>
              <w:bottom w:w="0" w:type="dxa"/>
              <w:right w:w="108" w:type="dxa"/>
            </w:tcMar>
            <w:vAlign w:val="center"/>
          </w:tcPr>
          <w:p w14:paraId="096E28F0">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其他交通工具（不包括出租小汽车）</w:t>
            </w:r>
          </w:p>
        </w:tc>
      </w:tr>
      <w:tr w14:paraId="07F5EB15">
        <w:trPr>
          <w:jc w:val="center"/>
        </w:trPr>
        <w:tc>
          <w:tcPr>
            <w:tcW w:w="653" w:type="dxa"/>
            <w:vMerge w:val="restart"/>
            <w:tcMar>
              <w:top w:w="0" w:type="dxa"/>
              <w:left w:w="108" w:type="dxa"/>
              <w:bottom w:w="0" w:type="dxa"/>
              <w:right w:w="108" w:type="dxa"/>
            </w:tcMar>
            <w:vAlign w:val="center"/>
          </w:tcPr>
          <w:p w14:paraId="342AF0C9">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学</w:t>
            </w:r>
          </w:p>
          <w:p w14:paraId="52C2FF06">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术</w:t>
            </w:r>
          </w:p>
          <w:p w14:paraId="2526FB0F">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交</w:t>
            </w:r>
          </w:p>
          <w:p w14:paraId="47CFC4CE">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流</w:t>
            </w:r>
          </w:p>
          <w:p w14:paraId="04C6785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出</w:t>
            </w:r>
          </w:p>
          <w:p w14:paraId="54F7035F">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差</w:t>
            </w:r>
          </w:p>
        </w:tc>
        <w:tc>
          <w:tcPr>
            <w:tcW w:w="2233" w:type="dxa"/>
            <w:tcMar>
              <w:top w:w="0" w:type="dxa"/>
              <w:left w:w="108" w:type="dxa"/>
              <w:bottom w:w="0" w:type="dxa"/>
              <w:right w:w="108" w:type="dxa"/>
            </w:tcMar>
            <w:vAlign w:val="center"/>
          </w:tcPr>
          <w:p w14:paraId="713EFE7D">
            <w:pPr>
              <w:spacing w:line="360" w:lineRule="exac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院士、文科资深教授及相当人员</w:t>
            </w:r>
          </w:p>
        </w:tc>
        <w:tc>
          <w:tcPr>
            <w:tcW w:w="2410" w:type="dxa"/>
            <w:tcMar>
              <w:top w:w="0" w:type="dxa"/>
              <w:left w:w="108" w:type="dxa"/>
              <w:bottom w:w="0" w:type="dxa"/>
              <w:right w:w="108" w:type="dxa"/>
            </w:tcMar>
            <w:vAlign w:val="center"/>
          </w:tcPr>
          <w:p w14:paraId="301F9C50">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火车软席（软座、软卧），高铁/动车商务座，全列软席列车一等软座</w:t>
            </w:r>
            <w:bookmarkStart w:id="3" w:name="OLE_LINK1"/>
            <w:bookmarkStart w:id="4" w:name="OLE_LINK2"/>
            <w:r>
              <w:rPr>
                <w:rFonts w:hint="eastAsia" w:ascii="仿宋_GB2312" w:eastAsia="仿宋_GB2312" w:cs="宋体" w:hAnsiTheme="minorEastAsia"/>
                <w:color w:val="000000"/>
                <w:kern w:val="0"/>
                <w:sz w:val="24"/>
              </w:rPr>
              <w:t>及以下等级</w:t>
            </w:r>
            <w:bookmarkEnd w:id="3"/>
            <w:bookmarkEnd w:id="4"/>
          </w:p>
        </w:tc>
        <w:tc>
          <w:tcPr>
            <w:tcW w:w="1418" w:type="dxa"/>
            <w:tcMar>
              <w:top w:w="0" w:type="dxa"/>
              <w:left w:w="108" w:type="dxa"/>
              <w:bottom w:w="0" w:type="dxa"/>
              <w:right w:w="108" w:type="dxa"/>
            </w:tcMar>
            <w:vAlign w:val="center"/>
          </w:tcPr>
          <w:p w14:paraId="4B9F745C">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一等舱及以下等级</w:t>
            </w:r>
          </w:p>
        </w:tc>
        <w:tc>
          <w:tcPr>
            <w:tcW w:w="1449" w:type="dxa"/>
            <w:tcMar>
              <w:top w:w="0" w:type="dxa"/>
              <w:left w:w="108" w:type="dxa"/>
              <w:bottom w:w="0" w:type="dxa"/>
              <w:right w:w="108" w:type="dxa"/>
            </w:tcMar>
            <w:vAlign w:val="center"/>
          </w:tcPr>
          <w:p w14:paraId="3F61C64D">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头等舱</w:t>
            </w:r>
          </w:p>
          <w:p w14:paraId="02611B3D">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公务舱及以下等级</w:t>
            </w:r>
          </w:p>
        </w:tc>
        <w:tc>
          <w:tcPr>
            <w:tcW w:w="1605" w:type="dxa"/>
            <w:tcMar>
              <w:top w:w="0" w:type="dxa"/>
              <w:left w:w="108" w:type="dxa"/>
              <w:bottom w:w="0" w:type="dxa"/>
              <w:right w:w="108" w:type="dxa"/>
            </w:tcMar>
            <w:vAlign w:val="center"/>
          </w:tcPr>
          <w:p w14:paraId="727F9D1E">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凭据报销</w:t>
            </w:r>
          </w:p>
        </w:tc>
      </w:tr>
      <w:tr w14:paraId="7210508C">
        <w:trPr>
          <w:jc w:val="center"/>
        </w:trPr>
        <w:tc>
          <w:tcPr>
            <w:tcW w:w="653" w:type="dxa"/>
            <w:vMerge w:val="continue"/>
            <w:vAlign w:val="center"/>
          </w:tcPr>
          <w:p w14:paraId="66D64B2B">
            <w:pPr>
              <w:spacing w:line="360" w:lineRule="exact"/>
              <w:jc w:val="center"/>
              <w:rPr>
                <w:rFonts w:ascii="仿宋_GB2312" w:eastAsia="仿宋_GB2312" w:cs="宋体" w:hAnsiTheme="minorEastAsia"/>
                <w:color w:val="000000"/>
                <w:kern w:val="0"/>
                <w:sz w:val="24"/>
              </w:rPr>
            </w:pPr>
          </w:p>
        </w:tc>
        <w:tc>
          <w:tcPr>
            <w:tcW w:w="2233" w:type="dxa"/>
            <w:tcMar>
              <w:top w:w="0" w:type="dxa"/>
              <w:left w:w="108" w:type="dxa"/>
              <w:bottom w:w="0" w:type="dxa"/>
              <w:right w:w="108" w:type="dxa"/>
            </w:tcMar>
            <w:vAlign w:val="center"/>
          </w:tcPr>
          <w:p w14:paraId="349D1EA2">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正高级专业技术职务人员、教研系列长聘副教授或50岁以上其他副高级专业技术职务人员</w:t>
            </w:r>
          </w:p>
        </w:tc>
        <w:tc>
          <w:tcPr>
            <w:tcW w:w="2410" w:type="dxa"/>
            <w:tcMar>
              <w:top w:w="0" w:type="dxa"/>
              <w:left w:w="108" w:type="dxa"/>
              <w:bottom w:w="0" w:type="dxa"/>
              <w:right w:w="108" w:type="dxa"/>
            </w:tcMar>
            <w:vAlign w:val="center"/>
          </w:tcPr>
          <w:p w14:paraId="3188506D">
            <w:pPr>
              <w:spacing w:line="360" w:lineRule="exact"/>
              <w:jc w:val="left"/>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火车软席（软座、软卧），高铁/动车</w:t>
            </w:r>
            <w:r>
              <w:rPr>
                <w:rFonts w:ascii="仿宋" w:hAnsi="仿宋"/>
                <w:color w:val="000000" w:themeColor="text1"/>
                <w:szCs w:val="21"/>
                <w14:textFill>
                  <w14:solidFill>
                    <w14:schemeClr w14:val="tx1"/>
                  </w14:solidFill>
                </w14:textFill>
              </w:rPr>
              <w:t>优选</w:t>
            </w:r>
            <w:r>
              <w:rPr>
                <w:rFonts w:hint="eastAsia" w:ascii="仿宋_GB2312" w:eastAsia="仿宋_GB2312" w:cs="宋体" w:hAnsiTheme="minorEastAsia"/>
                <w:color w:val="000000" w:themeColor="text1"/>
                <w:kern w:val="0"/>
                <w:sz w:val="24"/>
                <w14:textFill>
                  <w14:solidFill>
                    <w14:schemeClr w14:val="tx1"/>
                  </w14:solidFill>
                </w14:textFill>
              </w:rPr>
              <w:t>一等座</w:t>
            </w:r>
            <w:r>
              <w:rPr>
                <w:rFonts w:ascii="仿宋" w:hAnsi="仿宋"/>
                <w:color w:val="000000" w:themeColor="text1"/>
                <w:szCs w:val="21"/>
                <w14:textFill>
                  <w14:solidFill>
                    <w14:schemeClr w14:val="tx1"/>
                  </w14:solidFill>
                </w14:textFill>
              </w:rPr>
              <w:t>、</w:t>
            </w:r>
            <w:r>
              <w:rPr>
                <w:rFonts w:hint="eastAsia" w:ascii="仿宋_GB2312" w:eastAsia="仿宋_GB2312" w:cs="宋体" w:hAnsiTheme="minorEastAsia"/>
                <w:color w:val="000000" w:themeColor="text1"/>
                <w:kern w:val="0"/>
                <w:sz w:val="24"/>
                <w14:textFill>
                  <w14:solidFill>
                    <w14:schemeClr w14:val="tx1"/>
                  </w14:solidFill>
                </w14:textFill>
              </w:rPr>
              <w:t>一等座，全列软席列车一等软座及以下等级</w:t>
            </w:r>
          </w:p>
        </w:tc>
        <w:tc>
          <w:tcPr>
            <w:tcW w:w="1418" w:type="dxa"/>
            <w:tcMar>
              <w:top w:w="0" w:type="dxa"/>
              <w:left w:w="108" w:type="dxa"/>
              <w:bottom w:w="0" w:type="dxa"/>
              <w:right w:w="108" w:type="dxa"/>
            </w:tcMar>
            <w:vAlign w:val="center"/>
          </w:tcPr>
          <w:p w14:paraId="7EC9F84F">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二等舱及以下等级</w:t>
            </w:r>
          </w:p>
        </w:tc>
        <w:tc>
          <w:tcPr>
            <w:tcW w:w="1449" w:type="dxa"/>
            <w:tcMar>
              <w:top w:w="0" w:type="dxa"/>
              <w:left w:w="108" w:type="dxa"/>
              <w:bottom w:w="0" w:type="dxa"/>
              <w:right w:w="108" w:type="dxa"/>
            </w:tcMar>
            <w:vAlign w:val="center"/>
          </w:tcPr>
          <w:p w14:paraId="2BA29322">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公务舱</w:t>
            </w:r>
          </w:p>
          <w:p w14:paraId="4C8F1D7D">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超级经济舱</w:t>
            </w:r>
          </w:p>
          <w:p w14:paraId="04D924F4">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经济舱</w:t>
            </w:r>
          </w:p>
        </w:tc>
        <w:tc>
          <w:tcPr>
            <w:tcW w:w="1605" w:type="dxa"/>
            <w:tcMar>
              <w:top w:w="0" w:type="dxa"/>
              <w:left w:w="108" w:type="dxa"/>
              <w:bottom w:w="0" w:type="dxa"/>
              <w:right w:w="108" w:type="dxa"/>
            </w:tcMar>
            <w:vAlign w:val="center"/>
          </w:tcPr>
          <w:p w14:paraId="7B2D8920">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凭据报销</w:t>
            </w:r>
          </w:p>
        </w:tc>
      </w:tr>
      <w:tr w14:paraId="6BC7DFFE">
        <w:trPr>
          <w:jc w:val="center"/>
        </w:trPr>
        <w:tc>
          <w:tcPr>
            <w:tcW w:w="653" w:type="dxa"/>
            <w:vMerge w:val="continue"/>
            <w:vAlign w:val="center"/>
          </w:tcPr>
          <w:p w14:paraId="7FF65083">
            <w:pPr>
              <w:spacing w:line="360" w:lineRule="exact"/>
              <w:jc w:val="center"/>
              <w:rPr>
                <w:rFonts w:ascii="仿宋_GB2312" w:eastAsia="仿宋_GB2312" w:cs="宋体" w:hAnsiTheme="minorEastAsia"/>
                <w:color w:val="000000"/>
                <w:kern w:val="0"/>
                <w:sz w:val="24"/>
              </w:rPr>
            </w:pPr>
          </w:p>
        </w:tc>
        <w:tc>
          <w:tcPr>
            <w:tcW w:w="2233" w:type="dxa"/>
            <w:tcMar>
              <w:top w:w="0" w:type="dxa"/>
              <w:left w:w="108" w:type="dxa"/>
              <w:bottom w:w="0" w:type="dxa"/>
              <w:right w:w="108" w:type="dxa"/>
            </w:tcMar>
            <w:vAlign w:val="center"/>
          </w:tcPr>
          <w:p w14:paraId="6BEC4635">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其他副高级专业技术职务人员</w:t>
            </w:r>
          </w:p>
        </w:tc>
        <w:tc>
          <w:tcPr>
            <w:tcW w:w="2410" w:type="dxa"/>
            <w:tcMar>
              <w:top w:w="0" w:type="dxa"/>
              <w:left w:w="108" w:type="dxa"/>
              <w:bottom w:w="0" w:type="dxa"/>
              <w:right w:w="108" w:type="dxa"/>
            </w:tcMar>
            <w:vAlign w:val="center"/>
          </w:tcPr>
          <w:p w14:paraId="3C5E9270">
            <w:pPr>
              <w:spacing w:line="360" w:lineRule="exact"/>
              <w:jc w:val="left"/>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火车软席（软座、软卧），高铁/动车一等座，全列软席列车一等软座及以下等级</w:t>
            </w:r>
          </w:p>
        </w:tc>
        <w:tc>
          <w:tcPr>
            <w:tcW w:w="1418" w:type="dxa"/>
            <w:tcMar>
              <w:top w:w="0" w:type="dxa"/>
              <w:left w:w="108" w:type="dxa"/>
              <w:bottom w:w="0" w:type="dxa"/>
              <w:right w:w="108" w:type="dxa"/>
            </w:tcMar>
            <w:vAlign w:val="center"/>
          </w:tcPr>
          <w:p w14:paraId="39C87090">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二等舱及以下等级</w:t>
            </w:r>
          </w:p>
        </w:tc>
        <w:tc>
          <w:tcPr>
            <w:tcW w:w="1449" w:type="dxa"/>
            <w:tcMar>
              <w:top w:w="0" w:type="dxa"/>
              <w:left w:w="108" w:type="dxa"/>
              <w:bottom w:w="0" w:type="dxa"/>
              <w:right w:w="108" w:type="dxa"/>
            </w:tcMar>
            <w:vAlign w:val="center"/>
          </w:tcPr>
          <w:p w14:paraId="2EC5A5EC">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超级经济舱</w:t>
            </w:r>
          </w:p>
          <w:p w14:paraId="602B9689">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经济舱</w:t>
            </w:r>
          </w:p>
        </w:tc>
        <w:tc>
          <w:tcPr>
            <w:tcW w:w="1605" w:type="dxa"/>
            <w:tcMar>
              <w:top w:w="0" w:type="dxa"/>
              <w:left w:w="108" w:type="dxa"/>
              <w:bottom w:w="0" w:type="dxa"/>
              <w:right w:w="108" w:type="dxa"/>
            </w:tcMar>
            <w:vAlign w:val="center"/>
          </w:tcPr>
          <w:p w14:paraId="79E2AB1A">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凭据报销</w:t>
            </w:r>
          </w:p>
        </w:tc>
      </w:tr>
      <w:tr w14:paraId="6F46D8C8">
        <w:trPr>
          <w:jc w:val="center"/>
        </w:trPr>
        <w:tc>
          <w:tcPr>
            <w:tcW w:w="653" w:type="dxa"/>
            <w:vMerge w:val="continue"/>
            <w:vAlign w:val="center"/>
          </w:tcPr>
          <w:p w14:paraId="2605D357">
            <w:pPr>
              <w:spacing w:line="360" w:lineRule="exact"/>
              <w:jc w:val="center"/>
              <w:rPr>
                <w:rFonts w:ascii="仿宋_GB2312" w:eastAsia="仿宋_GB2312" w:cs="宋体" w:hAnsiTheme="minorEastAsia"/>
                <w:color w:val="000000"/>
                <w:kern w:val="0"/>
                <w:sz w:val="24"/>
              </w:rPr>
            </w:pPr>
          </w:p>
        </w:tc>
        <w:tc>
          <w:tcPr>
            <w:tcW w:w="2233" w:type="dxa"/>
            <w:tcMar>
              <w:top w:w="0" w:type="dxa"/>
              <w:left w:w="108" w:type="dxa"/>
              <w:bottom w:w="0" w:type="dxa"/>
              <w:right w:w="108" w:type="dxa"/>
            </w:tcMar>
            <w:vAlign w:val="center"/>
          </w:tcPr>
          <w:p w14:paraId="248B7A21">
            <w:pPr>
              <w:spacing w:line="360" w:lineRule="exac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其余人员</w:t>
            </w:r>
          </w:p>
        </w:tc>
        <w:tc>
          <w:tcPr>
            <w:tcW w:w="2410" w:type="dxa"/>
            <w:tcMar>
              <w:top w:w="0" w:type="dxa"/>
              <w:left w:w="108" w:type="dxa"/>
              <w:bottom w:w="0" w:type="dxa"/>
              <w:right w:w="108" w:type="dxa"/>
            </w:tcMar>
            <w:vAlign w:val="center"/>
          </w:tcPr>
          <w:p w14:paraId="7AEEBC52">
            <w:pPr>
              <w:spacing w:line="360" w:lineRule="exact"/>
              <w:jc w:val="left"/>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火车硬席（硬座和硬卧），高铁/动车</w:t>
            </w:r>
            <w:r>
              <w:rPr>
                <w:rFonts w:ascii="仿宋" w:hAnsi="仿宋"/>
                <w:color w:val="000000" w:themeColor="text1"/>
                <w:szCs w:val="21"/>
                <w14:textFill>
                  <w14:solidFill>
                    <w14:schemeClr w14:val="tx1"/>
                  </w14:solidFill>
                </w14:textFill>
              </w:rPr>
              <w:t>多功能座、</w:t>
            </w:r>
            <w:r>
              <w:rPr>
                <w:rFonts w:hint="eastAsia" w:ascii="仿宋_GB2312" w:eastAsia="仿宋_GB2312" w:cs="宋体" w:hAnsiTheme="minorEastAsia"/>
                <w:color w:val="000000" w:themeColor="text1"/>
                <w:kern w:val="0"/>
                <w:sz w:val="24"/>
                <w14:textFill>
                  <w14:solidFill>
                    <w14:schemeClr w14:val="tx1"/>
                  </w14:solidFill>
                </w14:textFill>
              </w:rPr>
              <w:t>二等座，全列软席列车二等软座</w:t>
            </w:r>
          </w:p>
        </w:tc>
        <w:tc>
          <w:tcPr>
            <w:tcW w:w="1418" w:type="dxa"/>
            <w:tcMar>
              <w:top w:w="0" w:type="dxa"/>
              <w:left w:w="108" w:type="dxa"/>
              <w:bottom w:w="0" w:type="dxa"/>
              <w:right w:w="108" w:type="dxa"/>
            </w:tcMar>
            <w:vAlign w:val="center"/>
          </w:tcPr>
          <w:p w14:paraId="2AE517DB">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三等舱</w:t>
            </w:r>
          </w:p>
        </w:tc>
        <w:tc>
          <w:tcPr>
            <w:tcW w:w="1449" w:type="dxa"/>
            <w:tcMar>
              <w:top w:w="0" w:type="dxa"/>
              <w:left w:w="108" w:type="dxa"/>
              <w:bottom w:w="0" w:type="dxa"/>
              <w:right w:w="108" w:type="dxa"/>
            </w:tcMar>
            <w:vAlign w:val="center"/>
          </w:tcPr>
          <w:p w14:paraId="0516A9A8">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超级经济舱</w:t>
            </w:r>
          </w:p>
          <w:p w14:paraId="3EE562A0">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经济舱</w:t>
            </w:r>
          </w:p>
        </w:tc>
        <w:tc>
          <w:tcPr>
            <w:tcW w:w="1605" w:type="dxa"/>
            <w:tcMar>
              <w:top w:w="0" w:type="dxa"/>
              <w:left w:w="108" w:type="dxa"/>
              <w:bottom w:w="0" w:type="dxa"/>
              <w:right w:w="108" w:type="dxa"/>
            </w:tcMar>
            <w:vAlign w:val="center"/>
          </w:tcPr>
          <w:p w14:paraId="5BDDC624">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凭据报销</w:t>
            </w:r>
          </w:p>
        </w:tc>
      </w:tr>
      <w:tr w14:paraId="40F74BEB">
        <w:trPr>
          <w:jc w:val="center"/>
        </w:trPr>
        <w:tc>
          <w:tcPr>
            <w:tcW w:w="653" w:type="dxa"/>
            <w:vMerge w:val="restart"/>
            <w:tcMar>
              <w:top w:w="0" w:type="dxa"/>
              <w:left w:w="108" w:type="dxa"/>
              <w:bottom w:w="0" w:type="dxa"/>
              <w:right w:w="108" w:type="dxa"/>
            </w:tcMar>
            <w:vAlign w:val="center"/>
          </w:tcPr>
          <w:p w14:paraId="2F7B8EBF">
            <w:pPr>
              <w:spacing w:line="360" w:lineRule="exact"/>
              <w:ind w:firstLine="227"/>
              <w:jc w:val="center"/>
              <w:rPr>
                <w:rFonts w:ascii="仿宋_GB2312" w:eastAsia="仿宋_GB2312" w:cs="宋体" w:hAnsiTheme="minorEastAsia"/>
                <w:color w:val="000000"/>
                <w:kern w:val="0"/>
                <w:sz w:val="24"/>
              </w:rPr>
            </w:pPr>
          </w:p>
          <w:p w14:paraId="1A7CB3F6">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w:t>
            </w:r>
          </w:p>
          <w:p w14:paraId="08872D30">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出差</w:t>
            </w:r>
          </w:p>
        </w:tc>
        <w:tc>
          <w:tcPr>
            <w:tcW w:w="2233" w:type="dxa"/>
            <w:tcMar>
              <w:top w:w="0" w:type="dxa"/>
              <w:left w:w="108" w:type="dxa"/>
              <w:bottom w:w="0" w:type="dxa"/>
              <w:right w:w="108" w:type="dxa"/>
            </w:tcMar>
            <w:vAlign w:val="center"/>
          </w:tcPr>
          <w:p w14:paraId="5EF0A1DD">
            <w:pPr>
              <w:spacing w:line="360" w:lineRule="exac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院士、文科资深教授及相当人员；二级及以上管理岗位人员及相当人员</w:t>
            </w:r>
          </w:p>
        </w:tc>
        <w:tc>
          <w:tcPr>
            <w:tcW w:w="2410" w:type="dxa"/>
            <w:tcMar>
              <w:top w:w="0" w:type="dxa"/>
              <w:left w:w="108" w:type="dxa"/>
              <w:bottom w:w="0" w:type="dxa"/>
              <w:right w:w="108" w:type="dxa"/>
            </w:tcMar>
            <w:vAlign w:val="center"/>
          </w:tcPr>
          <w:p w14:paraId="3938E09B">
            <w:pPr>
              <w:spacing w:line="360" w:lineRule="exact"/>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火车软席（软座、软卧），高铁/动车商务座，全列软席列车一等软座及以下等级</w:t>
            </w:r>
          </w:p>
        </w:tc>
        <w:tc>
          <w:tcPr>
            <w:tcW w:w="1418" w:type="dxa"/>
            <w:tcMar>
              <w:top w:w="0" w:type="dxa"/>
              <w:left w:w="108" w:type="dxa"/>
              <w:bottom w:w="0" w:type="dxa"/>
              <w:right w:w="108" w:type="dxa"/>
            </w:tcMar>
            <w:vAlign w:val="center"/>
          </w:tcPr>
          <w:p w14:paraId="6EC5ED07">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一等舱及以下等级</w:t>
            </w:r>
          </w:p>
        </w:tc>
        <w:tc>
          <w:tcPr>
            <w:tcW w:w="1449" w:type="dxa"/>
            <w:tcMar>
              <w:top w:w="0" w:type="dxa"/>
              <w:left w:w="108" w:type="dxa"/>
              <w:bottom w:w="0" w:type="dxa"/>
              <w:right w:w="108" w:type="dxa"/>
            </w:tcMar>
            <w:vAlign w:val="center"/>
          </w:tcPr>
          <w:p w14:paraId="2567E92F">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头等舱</w:t>
            </w:r>
          </w:p>
          <w:p w14:paraId="480CE765">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公务舱及以下等级</w:t>
            </w:r>
          </w:p>
        </w:tc>
        <w:tc>
          <w:tcPr>
            <w:tcW w:w="1605" w:type="dxa"/>
            <w:tcMar>
              <w:top w:w="0" w:type="dxa"/>
              <w:left w:w="108" w:type="dxa"/>
              <w:bottom w:w="0" w:type="dxa"/>
              <w:right w:w="108" w:type="dxa"/>
            </w:tcMar>
            <w:vAlign w:val="center"/>
          </w:tcPr>
          <w:p w14:paraId="7CE0ED7A">
            <w:pPr>
              <w:spacing w:line="360" w:lineRule="exact"/>
              <w:jc w:val="center"/>
              <w:rPr>
                <w:rFonts w:ascii="仿宋_GB2312" w:eastAsia="仿宋_GB2312" w:cs="宋体" w:hAnsiTheme="minorEastAsia"/>
                <w:color w:val="000000" w:themeColor="text1"/>
                <w:kern w:val="0"/>
                <w:sz w:val="24"/>
                <w14:textFill>
                  <w14:solidFill>
                    <w14:schemeClr w14:val="tx1"/>
                  </w14:solidFill>
                </w14:textFill>
              </w:rPr>
            </w:pPr>
            <w:r>
              <w:rPr>
                <w:rFonts w:hint="eastAsia" w:ascii="仿宋_GB2312" w:eastAsia="仿宋_GB2312" w:cs="宋体" w:hAnsiTheme="minorEastAsia"/>
                <w:color w:val="000000" w:themeColor="text1"/>
                <w:kern w:val="0"/>
                <w:sz w:val="24"/>
                <w14:textFill>
                  <w14:solidFill>
                    <w14:schemeClr w14:val="tx1"/>
                  </w14:solidFill>
                </w14:textFill>
              </w:rPr>
              <w:t>凭据报销</w:t>
            </w:r>
          </w:p>
        </w:tc>
      </w:tr>
      <w:tr w14:paraId="1D0FC16D">
        <w:trPr>
          <w:jc w:val="center"/>
        </w:trPr>
        <w:tc>
          <w:tcPr>
            <w:tcW w:w="653" w:type="dxa"/>
            <w:vMerge w:val="continue"/>
            <w:vAlign w:val="center"/>
          </w:tcPr>
          <w:p w14:paraId="4BB51D67">
            <w:pPr>
              <w:spacing w:line="360" w:lineRule="exact"/>
              <w:jc w:val="left"/>
              <w:rPr>
                <w:rFonts w:ascii="仿宋_GB2312" w:eastAsia="仿宋_GB2312" w:cs="宋体" w:hAnsiTheme="minorEastAsia"/>
                <w:color w:val="000000"/>
                <w:kern w:val="0"/>
                <w:sz w:val="24"/>
              </w:rPr>
            </w:pPr>
          </w:p>
        </w:tc>
        <w:tc>
          <w:tcPr>
            <w:tcW w:w="2233" w:type="dxa"/>
            <w:tcMar>
              <w:top w:w="0" w:type="dxa"/>
              <w:left w:w="108" w:type="dxa"/>
              <w:bottom w:w="0" w:type="dxa"/>
              <w:right w:w="108" w:type="dxa"/>
            </w:tcMar>
          </w:tcPr>
          <w:p w14:paraId="4F2162A2">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正高级专业技术职务人员、专业技术五级岗位人员；三级或四级管理岗位人员及相当人员</w:t>
            </w:r>
          </w:p>
        </w:tc>
        <w:tc>
          <w:tcPr>
            <w:tcW w:w="2410" w:type="dxa"/>
            <w:tcMar>
              <w:top w:w="0" w:type="dxa"/>
              <w:left w:w="108" w:type="dxa"/>
              <w:bottom w:w="0" w:type="dxa"/>
              <w:right w:w="108" w:type="dxa"/>
            </w:tcMar>
            <w:vAlign w:val="center"/>
          </w:tcPr>
          <w:p w14:paraId="32719ADB">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火车软席（软座、软卧），高铁/动车一等座，全列软席列车一等软座及以下等级</w:t>
            </w:r>
          </w:p>
        </w:tc>
        <w:tc>
          <w:tcPr>
            <w:tcW w:w="1418" w:type="dxa"/>
            <w:tcMar>
              <w:top w:w="0" w:type="dxa"/>
              <w:left w:w="108" w:type="dxa"/>
              <w:bottom w:w="0" w:type="dxa"/>
              <w:right w:w="108" w:type="dxa"/>
            </w:tcMar>
            <w:vAlign w:val="center"/>
          </w:tcPr>
          <w:p w14:paraId="5E998337">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二等舱及以下等级</w:t>
            </w:r>
          </w:p>
        </w:tc>
        <w:tc>
          <w:tcPr>
            <w:tcW w:w="1449" w:type="dxa"/>
            <w:tcMar>
              <w:top w:w="0" w:type="dxa"/>
              <w:left w:w="108" w:type="dxa"/>
              <w:bottom w:w="0" w:type="dxa"/>
              <w:right w:w="108" w:type="dxa"/>
            </w:tcMar>
            <w:vAlign w:val="center"/>
          </w:tcPr>
          <w:p w14:paraId="6C650B85">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605" w:type="dxa"/>
            <w:tcMar>
              <w:top w:w="0" w:type="dxa"/>
              <w:left w:w="108" w:type="dxa"/>
              <w:bottom w:w="0" w:type="dxa"/>
              <w:right w:w="108" w:type="dxa"/>
            </w:tcMar>
            <w:vAlign w:val="center"/>
          </w:tcPr>
          <w:p w14:paraId="0DCE1359">
            <w:pPr>
              <w:spacing w:line="360" w:lineRule="exact"/>
              <w:jc w:val="center"/>
              <w:rPr>
                <w:rFonts w:ascii="仿宋_GB2312" w:eastAsia="仿宋_GB2312" w:cs="宋体" w:hAnsiTheme="minorEastAsia"/>
                <w:sz w:val="24"/>
              </w:rPr>
            </w:pPr>
            <w:r>
              <w:rPr>
                <w:rFonts w:hint="eastAsia" w:ascii="仿宋_GB2312" w:eastAsia="仿宋_GB2312" w:cs="宋体" w:hAnsiTheme="minorEastAsia"/>
                <w:color w:val="000000"/>
                <w:kern w:val="0"/>
                <w:sz w:val="24"/>
              </w:rPr>
              <w:t>凭据报销</w:t>
            </w:r>
          </w:p>
        </w:tc>
      </w:tr>
      <w:tr w14:paraId="338FDDBA">
        <w:trPr>
          <w:jc w:val="center"/>
        </w:trPr>
        <w:tc>
          <w:tcPr>
            <w:tcW w:w="653" w:type="dxa"/>
            <w:vMerge w:val="continue"/>
            <w:vAlign w:val="center"/>
          </w:tcPr>
          <w:p w14:paraId="24711CA0">
            <w:pPr>
              <w:spacing w:line="360" w:lineRule="exact"/>
              <w:jc w:val="left"/>
              <w:rPr>
                <w:rFonts w:ascii="仿宋_GB2312" w:eastAsia="仿宋_GB2312" w:cs="宋体" w:hAnsiTheme="minorEastAsia"/>
                <w:color w:val="000000"/>
                <w:kern w:val="0"/>
                <w:sz w:val="24"/>
              </w:rPr>
            </w:pPr>
          </w:p>
        </w:tc>
        <w:tc>
          <w:tcPr>
            <w:tcW w:w="2233" w:type="dxa"/>
            <w:tcMar>
              <w:top w:w="0" w:type="dxa"/>
              <w:left w:w="108" w:type="dxa"/>
              <w:bottom w:w="0" w:type="dxa"/>
              <w:right w:w="108" w:type="dxa"/>
            </w:tcMar>
            <w:vAlign w:val="center"/>
          </w:tcPr>
          <w:p w14:paraId="210D6BD5">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其余人员</w:t>
            </w:r>
          </w:p>
        </w:tc>
        <w:tc>
          <w:tcPr>
            <w:tcW w:w="2410" w:type="dxa"/>
            <w:tcMar>
              <w:top w:w="0" w:type="dxa"/>
              <w:left w:w="108" w:type="dxa"/>
              <w:bottom w:w="0" w:type="dxa"/>
              <w:right w:w="108" w:type="dxa"/>
            </w:tcMar>
            <w:vAlign w:val="center"/>
          </w:tcPr>
          <w:p w14:paraId="34A8DCB5">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火车硬席（硬座和硬卧），高铁/动车二等座，全列软席列车二等软座</w:t>
            </w:r>
          </w:p>
        </w:tc>
        <w:tc>
          <w:tcPr>
            <w:tcW w:w="1418" w:type="dxa"/>
            <w:tcMar>
              <w:top w:w="0" w:type="dxa"/>
              <w:left w:w="108" w:type="dxa"/>
              <w:bottom w:w="0" w:type="dxa"/>
              <w:right w:w="108" w:type="dxa"/>
            </w:tcMar>
            <w:vAlign w:val="center"/>
          </w:tcPr>
          <w:p w14:paraId="24DA5987">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三等舱</w:t>
            </w:r>
          </w:p>
        </w:tc>
        <w:tc>
          <w:tcPr>
            <w:tcW w:w="1449" w:type="dxa"/>
            <w:tcMar>
              <w:top w:w="0" w:type="dxa"/>
              <w:left w:w="108" w:type="dxa"/>
              <w:bottom w:w="0" w:type="dxa"/>
              <w:right w:w="108" w:type="dxa"/>
            </w:tcMar>
            <w:vAlign w:val="center"/>
          </w:tcPr>
          <w:p w14:paraId="7B9825AD">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605" w:type="dxa"/>
            <w:tcMar>
              <w:top w:w="0" w:type="dxa"/>
              <w:left w:w="108" w:type="dxa"/>
              <w:bottom w:w="0" w:type="dxa"/>
              <w:right w:w="108" w:type="dxa"/>
            </w:tcMar>
            <w:vAlign w:val="center"/>
          </w:tcPr>
          <w:p w14:paraId="0F455D3B">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凭据报销</w:t>
            </w:r>
          </w:p>
        </w:tc>
      </w:tr>
    </w:tbl>
    <w:p w14:paraId="1BC12390">
      <w:pPr>
        <w:spacing w:line="560" w:lineRule="exact"/>
        <w:ind w:firstLine="640" w:firstLineChars="200"/>
        <w:jc w:val="left"/>
        <w:rPr>
          <w:rFonts w:hint="eastAsia" w:ascii="仿宋_GB2312" w:eastAsia="仿宋_GB2312" w:hAnsiTheme="minorEastAsia"/>
          <w:sz w:val="32"/>
          <w:szCs w:val="32"/>
        </w:rPr>
      </w:pPr>
    </w:p>
    <w:p w14:paraId="3A185417">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交通工具舱位及座位无法明确对应上述等级标准的，原则上应当按照就低的原则乘坐。</w:t>
      </w:r>
      <w:r>
        <w:rPr>
          <w:rFonts w:ascii="仿宋_GB2312" w:eastAsia="仿宋_GB2312" w:hAnsiTheme="minorEastAsia"/>
          <w:sz w:val="32"/>
          <w:szCs w:val="32"/>
        </w:rPr>
        <w:t>学术交流出差因特殊原因</w:t>
      </w:r>
      <w:r>
        <w:rPr>
          <w:rFonts w:hint="eastAsia" w:ascii="仿宋_GB2312" w:eastAsia="仿宋_GB2312" w:hAnsiTheme="minorEastAsia"/>
          <w:sz w:val="32"/>
          <w:szCs w:val="32"/>
        </w:rPr>
        <w:t>未按规定等级乘坐交通工具的，超支部分由个人自理。</w:t>
      </w:r>
    </w:p>
    <w:p w14:paraId="1ED17AB3">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第十二条</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出差人员乘坐夕发朝至全列软席列车普通软席，不受出差人员级别限制。</w:t>
      </w:r>
    </w:p>
    <w:p w14:paraId="5EA28C7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第十三条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到出差目的地有多种交通工具可选择时，出差人员在不影响公务、确保安全的前提下，尽量选乘经济便捷的交通工具；乘坐飞机的，民航发展基金、燃油附加费、航空旅客人身意外伤害保险费（限每人每次一份）可以凭据报销，已在学院统一购买交通意外保险的出差人员，不再报销航空旅客人身意外伤害保险费。订票服务费、经批准发生的签转或退票费等凭据报销。</w:t>
      </w:r>
    </w:p>
    <w:p w14:paraId="2BCD395E">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第十四条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一般情况下，使用自驾车公务出行的，发生的费用不能报销（如加油费、过路过桥通行费、停车费、保养维修费）。根据教学科研实际需要开展考察、调研和测试监测工作，受地理环境和当地条件限制必须自驾车或者租车前往的，经相关负责人批准后，租车费可以据实报销，发生的汽油费和过路过桥费凭据报销。自驾车或者租车出差的，不发放市内交通费。</w:t>
      </w:r>
    </w:p>
    <w:p w14:paraId="0129972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第十五条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出差人员应当在职务级别对应的住宿费标准限额内，选择安全、经济、便捷的宾馆住宿，不要求必须入住定点饭店。</w:t>
      </w:r>
    </w:p>
    <w:p w14:paraId="36903C5E">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（一）因学术交流出差，住宿费在深圳市党政机关和事业单位工作人员差旅住宿费标准上浮80%范围内凭票据实报销；</w:t>
      </w:r>
    </w:p>
    <w:p w14:paraId="57DF8172">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（二）因公务出差，住宿费标准按照《深圳市党政机关和事业单位工作人员差旅住宿费标准明细表》执行。如深圳市对标准进行调整，则按新标准予以执行。</w:t>
      </w:r>
    </w:p>
    <w:p w14:paraId="005955D6">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（三）住宿费在限额标准之内凭发票据实报销,无特殊情况超支部分由个人自理，限额标准详见《</w:t>
      </w:r>
      <w:r>
        <w:rPr>
          <w:rFonts w:ascii="仿宋_GB2312" w:eastAsia="仿宋_GB2312" w:hAnsiTheme="minorEastAsia"/>
          <w:sz w:val="32"/>
          <w:szCs w:val="32"/>
        </w:rPr>
        <w:t>清华大学深圳国际研究生院差旅住宿费标准明细表》（</w:t>
      </w:r>
      <w:r>
        <w:rPr>
          <w:rFonts w:hint="eastAsia" w:ascii="仿宋_GB2312" w:eastAsia="仿宋_GB2312" w:hAnsiTheme="minorEastAsia"/>
          <w:sz w:val="32"/>
          <w:szCs w:val="32"/>
        </w:rPr>
        <w:t>附件</w:t>
      </w:r>
      <w:r>
        <w:rPr>
          <w:rFonts w:ascii="仿宋_GB2312" w:eastAsia="仿宋_GB2312" w:hAnsiTheme="minorEastAsia"/>
          <w:sz w:val="32"/>
          <w:szCs w:val="32"/>
        </w:rPr>
        <w:t>1）</w:t>
      </w:r>
      <w:r>
        <w:rPr>
          <w:rFonts w:hint="eastAsia" w:ascii="仿宋_GB2312" w:eastAsia="仿宋_GB2312" w:hAnsiTheme="minorEastAsia"/>
          <w:sz w:val="32"/>
          <w:szCs w:val="32"/>
        </w:rPr>
        <w:t>。</w:t>
      </w:r>
    </w:p>
    <w:p w14:paraId="0E80EBC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第十六条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无特殊情况，清华大学合同且北京有住房的人员到北京出差不能报销住宿费。如到北京参加会议等活动，要求统一住宿的，住宿费可按规定报销。</w:t>
      </w:r>
    </w:p>
    <w:p w14:paraId="21E258B8">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第十七条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实际发生住宿而无住宿费发票的，原则上不能报销住宿费、城市间交通费，不发放伙食补助费和市内交通费。但以下情况可以据实报销城市间交通费，并按规定标准发放伙食补助费和市内交通费：</w:t>
      </w:r>
    </w:p>
    <w:p w14:paraId="684A4878">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（一）受邀参加学术会议、研讨会、评审会、座谈会等，邀请方提供负担住宿费有效证明的。</w:t>
      </w:r>
    </w:p>
    <w:p w14:paraId="0297B937">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（二）实际发生住宿对方不收取住宿费的，由出差人提供住宿情况说明或对方证明，并由相关负责人签字确认情况属实的。</w:t>
      </w:r>
    </w:p>
    <w:p w14:paraId="6AC46C2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第十八条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实际发生住宿对方收取住宿费但不能取得住宿费正式发票的，由出差人提供住宿费收款证明、情况说明等资料并由相关负责人签字确认情况属实后，可以分别据实报销城市间交通费和住宿费，并按规定标准发放伙食补助费和市内交通费。</w:t>
      </w:r>
    </w:p>
    <w:p w14:paraId="5ECD277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第十九条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对于参加其他单位举办的会议和培训，由举办方统一安排住宿且费用自理的，凭举办方出具的有效证明，据实报销住宿费。</w:t>
      </w:r>
    </w:p>
    <w:p w14:paraId="78EAB882">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境内出差，伙食补助费按出差自然天数实行定额包干，包干标准为每人每天100元（出差目的地是西藏自治区、新疆维吾尔自治区或青海省的，按每人每天120元补助），出差人员应当自行用餐。</w:t>
      </w:r>
    </w:p>
    <w:p w14:paraId="108BAC76">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除由相关单位按“一函一餐”相关规定安排的一次用餐外，公务出差期间其他用餐费全部自理。公务出差确由相关单位协助安排用餐的，应当提前告知标准并缴纳伙食费。</w:t>
      </w:r>
    </w:p>
    <w:p w14:paraId="2F3B1BFD">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第二十一条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境内出差，市内交通费按出差自然天数实行定额包干，每人每天补助80元。往返驻地和机场（火车站、码头）的市内交通费可凭票实报实销，不再领取当天的包干费用。</w:t>
      </w:r>
    </w:p>
    <w:p w14:paraId="6BC347D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第二十二条</w:t>
      </w:r>
      <w:r>
        <w:rPr>
          <w:rFonts w:hint="eastAsia" w:ascii="仿宋" w:hAnsi="仿宋" w:eastAsia="仿宋" w:cs="宋体"/>
          <w:color w:val="000000"/>
          <w:kern w:val="0"/>
          <w:sz w:val="32"/>
          <w:szCs w:val="32"/>
        </w:rPr>
        <w:t xml:space="preserve"> </w:t>
      </w:r>
      <w:r>
        <w:rPr>
          <w:rFonts w:ascii="仿宋" w:hAnsi="仿宋" w:eastAsia="仿宋" w:cs="宋体"/>
          <w:color w:val="000000"/>
          <w:kern w:val="0"/>
          <w:sz w:val="32"/>
          <w:szCs w:val="32"/>
        </w:rPr>
        <w:t xml:space="preserve"> </w:t>
      </w:r>
      <w:r>
        <w:rPr>
          <w:rFonts w:hint="eastAsia" w:ascii="仿宋_GB2312" w:eastAsia="仿宋_GB2312" w:hAnsiTheme="minorEastAsia"/>
          <w:sz w:val="32"/>
          <w:szCs w:val="32"/>
        </w:rPr>
        <w:t>出差期间逢法定节假日，计发伙食补助费及市内交通费需</w:t>
      </w:r>
      <w:r>
        <w:rPr>
          <w:rFonts w:ascii="仿宋_GB2312" w:eastAsia="仿宋_GB2312" w:hAnsiTheme="minorEastAsia"/>
          <w:sz w:val="32"/>
          <w:szCs w:val="32"/>
        </w:rPr>
        <w:t>提供</w:t>
      </w:r>
      <w:r>
        <w:rPr>
          <w:rFonts w:hint="eastAsia" w:ascii="仿宋_GB2312" w:eastAsia="仿宋_GB2312" w:hAnsiTheme="minorEastAsia"/>
          <w:sz w:val="32"/>
          <w:szCs w:val="32"/>
        </w:rPr>
        <w:t>相关</w:t>
      </w:r>
      <w:r>
        <w:rPr>
          <w:rFonts w:ascii="仿宋_GB2312" w:eastAsia="仿宋_GB2312" w:hAnsiTheme="minorEastAsia"/>
          <w:sz w:val="32"/>
          <w:szCs w:val="32"/>
        </w:rPr>
        <w:t>说明</w:t>
      </w:r>
      <w:r>
        <w:rPr>
          <w:rFonts w:hint="eastAsia" w:ascii="仿宋_GB2312" w:eastAsia="仿宋_GB2312" w:hAnsiTheme="minorEastAsia"/>
          <w:sz w:val="32"/>
          <w:szCs w:val="32"/>
        </w:rPr>
        <w:t>。出差期间由其他单位负担城市间交通费和住宿费的，不发放伙食补助费和市内交通费。出差期间由其他单位负担伙食的，不发放伙食补助费。</w:t>
      </w:r>
    </w:p>
    <w:p w14:paraId="52565777">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第二十三条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因工作需要驻场实验等出差时间超过30天的，自第31天起减半发放伙食补助费及市内交通费。</w:t>
      </w:r>
    </w:p>
    <w:p w14:paraId="645F1BE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第二十四条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人员外出参加会议，会议统一安排食宿的，会议期间的住宿费、伙食补助费由会议主办单位按会议费规定统一开支的，在途期间的住宿费、伙食补助费、市内交通费按照差旅费规定报销。会议不统一安排食宿的，会议期间和在途期间的住宿费、伙食补助费和市内交通费均按照差旅费规定报销。</w:t>
      </w:r>
    </w:p>
    <w:p w14:paraId="531EFB8E">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第二十五条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对于由接待单位负担部分差旅费用的，由出差人员提供情况说明并由项目负责人签字确认情况属实后，可以报销余下应报未报的费用。</w:t>
      </w:r>
    </w:p>
    <w:p w14:paraId="15AD38F8">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第二十六条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出差期间，确因开展公务发生的打印、复印、传真、寄送、打包等费用，由出差人员说明情况并经相关负责人批准，凭合法票据报销，列差旅费科目。</w:t>
      </w:r>
    </w:p>
    <w:p w14:paraId="644BDD8A">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第二十七条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在深圳市内联系工作但未能在接洽单位解决午餐或晚餐（不包括早餐），且不能及时回家或学院就餐，而必须在外就餐者，由工作人员说明情况并经相关负责人批准，每餐在标准内凭票据实报销</w:t>
      </w:r>
      <w:r>
        <w:rPr>
          <w:rFonts w:ascii="仿宋_GB2312" w:eastAsia="仿宋_GB2312" w:hAnsiTheme="minorEastAsia"/>
          <w:sz w:val="32"/>
          <w:szCs w:val="32"/>
        </w:rPr>
        <w:t>。</w:t>
      </w:r>
    </w:p>
    <w:p w14:paraId="5CCFFB2B">
      <w:pPr>
        <w:spacing w:line="560" w:lineRule="exact"/>
        <w:ind w:firstLine="643" w:firstLineChars="200"/>
        <w:jc w:val="left"/>
        <w:rPr>
          <w:rFonts w:ascii="仿宋_GB2312" w:eastAsia="仿宋_GB2312" w:hAnsiTheme="minorEastAsia"/>
          <w:sz w:val="32"/>
          <w:szCs w:val="32"/>
          <w:lang w:val="zh-CN"/>
        </w:rPr>
      </w:pPr>
      <w:r>
        <w:rPr>
          <w:rFonts w:hint="eastAsia" w:ascii="仿宋_GB2312" w:eastAsia="仿宋_GB2312" w:hAnsiTheme="minorEastAsia"/>
          <w:b/>
          <w:bCs/>
          <w:sz w:val="32"/>
          <w:szCs w:val="32"/>
        </w:rPr>
        <w:t xml:space="preserve">第二十八条 </w:t>
      </w:r>
      <w:r>
        <w:rPr>
          <w:rFonts w:ascii="仿宋_GB2312" w:eastAsia="仿宋_GB2312" w:hAnsiTheme="minorEastAsia"/>
          <w:b/>
          <w:bCs/>
          <w:sz w:val="32"/>
          <w:szCs w:val="32"/>
        </w:rPr>
        <w:t xml:space="preserve"> </w:t>
      </w:r>
      <w:r>
        <w:rPr>
          <w:rFonts w:hint="eastAsia" w:ascii="仿宋_GB2312" w:eastAsia="仿宋_GB2312" w:hAnsiTheme="minorEastAsia"/>
          <w:sz w:val="32"/>
          <w:szCs w:val="32"/>
        </w:rPr>
        <w:t>清华大学合同人员因学院工作到北京、深圳以外地区出差可发放伙食补助和市内交通费，未在学院发薪的清华大学合同人员来学院出差可发放伙食补助和市内交通费。因学院工作需要邀请校外人员来院及安排校外人员国内出差，可按规定报销校外人员的城市间交通费及住宿费，不发放伙食补助和市内交通费。因学术交流等事项邀请来的各领域重要专家，如确有需要，由邀请部门提供邀请函等相关证明或书面说明情况，经相关负责人签字确认后，境内交通费及住宿费可据实报销。</w:t>
      </w:r>
    </w:p>
    <w:p w14:paraId="108C7610">
      <w:pPr>
        <w:spacing w:line="560" w:lineRule="exact"/>
        <w:ind w:firstLine="643" w:firstLineChars="200"/>
        <w:jc w:val="left"/>
        <w:rPr>
          <w:rFonts w:hint="eastAsia" w:ascii="仿宋_GB2312" w:eastAsia="仿宋_GB2312" w:hAnsiTheme="minorEastAsia"/>
          <w:sz w:val="32"/>
          <w:szCs w:val="32"/>
        </w:rPr>
      </w:pPr>
      <w:r>
        <w:rPr>
          <w:rFonts w:hint="eastAsia" w:ascii="仿宋_GB2312" w:eastAsia="仿宋_GB2312" w:hAnsiTheme="minorEastAsia"/>
          <w:b/>
          <w:bCs/>
          <w:sz w:val="32"/>
          <w:szCs w:val="32"/>
        </w:rPr>
        <w:t>第二十九条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学生参与教学科研活动、社会实践及调研活动所发生的差旅费，其报销标准不得超过因公出差人员中“其余人员”差旅费报销标准。</w:t>
      </w:r>
    </w:p>
    <w:p w14:paraId="7B2A3137">
      <w:pPr>
        <w:spacing w:line="520" w:lineRule="exact"/>
        <w:jc w:val="center"/>
        <w:rPr>
          <w:rFonts w:ascii="黑体" w:hAnsi="黑体" w:eastAsia="黑体"/>
          <w:sz w:val="32"/>
          <w:szCs w:val="32"/>
        </w:rPr>
      </w:pPr>
      <w:r>
        <w:rPr>
          <w:rFonts w:hint="eastAsia" w:ascii="黑体" w:hAnsi="黑体" w:eastAsia="黑体"/>
          <w:sz w:val="32"/>
          <w:szCs w:val="32"/>
        </w:rPr>
        <w:t>第四章 因公临时出国（境）差旅费报销</w:t>
      </w:r>
    </w:p>
    <w:p w14:paraId="16CCF2E8">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因公临时出国（境）经费包括：国际旅费、国（境）外城市间交通费、住宿费、伙食费、公杂费和其他费用。</w:t>
      </w:r>
    </w:p>
    <w:p w14:paraId="68996022">
      <w:pPr>
        <w:spacing w:line="560" w:lineRule="exact"/>
        <w:ind w:firstLine="420" w:firstLineChars="200"/>
        <w:jc w:val="left"/>
        <w:rPr>
          <w:rFonts w:ascii="仿宋_GB2312" w:eastAsia="仿宋_GB2312" w:hAnsiTheme="minorEastAsia"/>
          <w:sz w:val="32"/>
          <w:szCs w:val="32"/>
        </w:rPr>
      </w:pPr>
      <w:r>
        <w:rPr>
          <w:rStyle w:val="23"/>
          <w:rFonts w:hint="eastAsia" w:ascii="Calibri" w:hAnsi="Calibri" w:eastAsia="宋体" w:cs="Times New Roman"/>
          <w:kern w:val="0"/>
        </w:rPr>
        <w:t xml:space="preserve">  </w:t>
      </w:r>
      <w:r>
        <w:rPr>
          <w:rFonts w:hint="eastAsia" w:ascii="仿宋_GB2312" w:eastAsia="仿宋_GB2312" w:hAnsiTheme="minorEastAsia"/>
          <w:sz w:val="32"/>
          <w:szCs w:val="32"/>
        </w:rPr>
        <w:t>国际旅费，是指出境口岸至入境口岸旅费。</w:t>
      </w:r>
    </w:p>
    <w:p w14:paraId="5B9CF262">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国（境）外城市间交通费，是指为完成工作任务所必须发生的，在出访国家和地区的城市与城市之间的交通费用。　　</w:t>
      </w:r>
    </w:p>
    <w:p w14:paraId="4BF38BAA">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住宿费是指出国（境）人员在国（境）外发生的住宿费用。</w:t>
      </w:r>
    </w:p>
    <w:p w14:paraId="55144C58">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伙食费是指出国（境）人员在国（境）外期间的日常伙食费用。</w:t>
      </w:r>
    </w:p>
    <w:p w14:paraId="4774A646">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公杂费是指出国（境）人员在国（境）外期间的市内交通、邮电、办公用品、必要的小费等费用。</w:t>
      </w:r>
    </w:p>
    <w:p w14:paraId="25218EB3">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其他费用主要是指出国签证费用、必需的保险费用、防疫费用、国际会议注册费用等。</w:t>
      </w:r>
    </w:p>
    <w:p w14:paraId="39BCB6E1">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第三十一条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因公临时出国（境）进行学术交流合作和一般性中外校际工作交流，乘坐交通工具等级及住宿标准见下表：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1"/>
        <w:gridCol w:w="1899"/>
        <w:gridCol w:w="1204"/>
        <w:gridCol w:w="1482"/>
        <w:gridCol w:w="1205"/>
        <w:gridCol w:w="1701"/>
      </w:tblGrid>
      <w:tr w14:paraId="6C41E57D">
        <w:trPr>
          <w:trHeight w:val="346" w:hRule="atLeast"/>
          <w:jc w:val="center"/>
        </w:trPr>
        <w:tc>
          <w:tcPr>
            <w:tcW w:w="1151" w:type="dxa"/>
            <w:vMerge w:val="restart"/>
            <w:tcMar>
              <w:top w:w="0" w:type="dxa"/>
              <w:left w:w="108" w:type="dxa"/>
              <w:bottom w:w="0" w:type="dxa"/>
              <w:right w:w="108" w:type="dxa"/>
            </w:tcMar>
          </w:tcPr>
          <w:p w14:paraId="081052C7">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出访任务类型</w:t>
            </w:r>
          </w:p>
        </w:tc>
        <w:tc>
          <w:tcPr>
            <w:tcW w:w="1899" w:type="dxa"/>
            <w:vMerge w:val="restart"/>
            <w:tcMar>
              <w:top w:w="0" w:type="dxa"/>
              <w:left w:w="108" w:type="dxa"/>
              <w:bottom w:w="0" w:type="dxa"/>
              <w:right w:w="108" w:type="dxa"/>
            </w:tcMar>
            <w:vAlign w:val="center"/>
          </w:tcPr>
          <w:p w14:paraId="075BECF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对应人员</w:t>
            </w:r>
          </w:p>
        </w:tc>
        <w:tc>
          <w:tcPr>
            <w:tcW w:w="3891" w:type="dxa"/>
            <w:gridSpan w:val="3"/>
            <w:tcMar>
              <w:top w:w="0" w:type="dxa"/>
              <w:left w:w="108" w:type="dxa"/>
              <w:bottom w:w="0" w:type="dxa"/>
              <w:right w:w="108" w:type="dxa"/>
            </w:tcMar>
            <w:vAlign w:val="center"/>
          </w:tcPr>
          <w:p w14:paraId="7600E36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交通工具</w:t>
            </w:r>
          </w:p>
        </w:tc>
        <w:tc>
          <w:tcPr>
            <w:tcW w:w="1701" w:type="dxa"/>
            <w:vMerge w:val="restart"/>
            <w:tcMar>
              <w:top w:w="0" w:type="dxa"/>
              <w:left w:w="108" w:type="dxa"/>
              <w:bottom w:w="0" w:type="dxa"/>
              <w:right w:w="108" w:type="dxa"/>
            </w:tcMar>
            <w:vAlign w:val="center"/>
          </w:tcPr>
          <w:p w14:paraId="1FB3EFB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住宿</w:t>
            </w:r>
          </w:p>
        </w:tc>
      </w:tr>
      <w:tr w14:paraId="00B21865">
        <w:trPr>
          <w:trHeight w:val="265" w:hRule="atLeast"/>
          <w:jc w:val="center"/>
        </w:trPr>
        <w:tc>
          <w:tcPr>
            <w:tcW w:w="0" w:type="auto"/>
            <w:vMerge w:val="continue"/>
            <w:vAlign w:val="center"/>
          </w:tcPr>
          <w:p w14:paraId="2115C774">
            <w:pPr>
              <w:spacing w:line="360" w:lineRule="exact"/>
              <w:jc w:val="left"/>
              <w:rPr>
                <w:rFonts w:ascii="仿宋_GB2312" w:eastAsia="仿宋_GB2312" w:cs="宋体" w:hAnsiTheme="minorEastAsia"/>
                <w:color w:val="000000"/>
                <w:kern w:val="0"/>
                <w:sz w:val="24"/>
              </w:rPr>
            </w:pPr>
          </w:p>
        </w:tc>
        <w:tc>
          <w:tcPr>
            <w:tcW w:w="1899" w:type="dxa"/>
            <w:vMerge w:val="continue"/>
            <w:vAlign w:val="center"/>
          </w:tcPr>
          <w:p w14:paraId="31FC3206">
            <w:pPr>
              <w:spacing w:line="360" w:lineRule="exact"/>
              <w:jc w:val="left"/>
              <w:rPr>
                <w:rFonts w:ascii="仿宋_GB2312" w:eastAsia="仿宋_GB2312" w:cs="宋体" w:hAnsiTheme="minorEastAsia"/>
                <w:color w:val="000000"/>
                <w:kern w:val="0"/>
                <w:sz w:val="24"/>
              </w:rPr>
            </w:pPr>
          </w:p>
        </w:tc>
        <w:tc>
          <w:tcPr>
            <w:tcW w:w="1204" w:type="dxa"/>
            <w:tcMar>
              <w:top w:w="0" w:type="dxa"/>
              <w:left w:w="108" w:type="dxa"/>
              <w:bottom w:w="0" w:type="dxa"/>
              <w:right w:w="108" w:type="dxa"/>
            </w:tcMar>
            <w:vAlign w:val="center"/>
          </w:tcPr>
          <w:p w14:paraId="647330C9">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飞机</w:t>
            </w:r>
          </w:p>
        </w:tc>
        <w:tc>
          <w:tcPr>
            <w:tcW w:w="1482" w:type="dxa"/>
            <w:tcMar>
              <w:top w:w="0" w:type="dxa"/>
              <w:left w:w="108" w:type="dxa"/>
              <w:bottom w:w="0" w:type="dxa"/>
              <w:right w:w="108" w:type="dxa"/>
            </w:tcMar>
            <w:vAlign w:val="center"/>
          </w:tcPr>
          <w:p w14:paraId="6B3548F2">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火车</w:t>
            </w:r>
          </w:p>
        </w:tc>
        <w:tc>
          <w:tcPr>
            <w:tcW w:w="1205" w:type="dxa"/>
            <w:tcMar>
              <w:top w:w="0" w:type="dxa"/>
              <w:left w:w="108" w:type="dxa"/>
              <w:bottom w:w="0" w:type="dxa"/>
              <w:right w:w="108" w:type="dxa"/>
            </w:tcMar>
            <w:vAlign w:val="center"/>
          </w:tcPr>
          <w:p w14:paraId="585033EC">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轮船</w:t>
            </w:r>
          </w:p>
        </w:tc>
        <w:tc>
          <w:tcPr>
            <w:tcW w:w="0" w:type="auto"/>
            <w:vMerge w:val="continue"/>
            <w:vAlign w:val="center"/>
          </w:tcPr>
          <w:p w14:paraId="3CE4EF09">
            <w:pPr>
              <w:spacing w:line="360" w:lineRule="exact"/>
              <w:jc w:val="left"/>
              <w:rPr>
                <w:rFonts w:ascii="仿宋_GB2312" w:eastAsia="仿宋_GB2312" w:cs="宋体" w:hAnsiTheme="minorEastAsia"/>
                <w:color w:val="000000"/>
                <w:kern w:val="0"/>
                <w:sz w:val="24"/>
              </w:rPr>
            </w:pPr>
          </w:p>
        </w:tc>
      </w:tr>
      <w:tr w14:paraId="20E80223">
        <w:trPr>
          <w:trHeight w:val="1556" w:hRule="atLeast"/>
          <w:jc w:val="center"/>
        </w:trPr>
        <w:tc>
          <w:tcPr>
            <w:tcW w:w="1151" w:type="dxa"/>
            <w:vMerge w:val="restart"/>
            <w:tcMar>
              <w:top w:w="0" w:type="dxa"/>
              <w:left w:w="108" w:type="dxa"/>
              <w:bottom w:w="0" w:type="dxa"/>
              <w:right w:w="108" w:type="dxa"/>
            </w:tcMar>
            <w:vAlign w:val="center"/>
          </w:tcPr>
          <w:p w14:paraId="4D6A398E">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学术交流合作</w:t>
            </w:r>
          </w:p>
        </w:tc>
        <w:tc>
          <w:tcPr>
            <w:tcW w:w="1899" w:type="dxa"/>
            <w:tcMar>
              <w:top w:w="0" w:type="dxa"/>
              <w:left w:w="108" w:type="dxa"/>
              <w:bottom w:w="0" w:type="dxa"/>
              <w:right w:w="108" w:type="dxa"/>
            </w:tcMar>
            <w:vAlign w:val="center"/>
          </w:tcPr>
          <w:p w14:paraId="33D75C5E">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院士、文科资深教授及相当人员</w:t>
            </w:r>
          </w:p>
        </w:tc>
        <w:tc>
          <w:tcPr>
            <w:tcW w:w="1204" w:type="dxa"/>
            <w:tcMar>
              <w:top w:w="0" w:type="dxa"/>
              <w:left w:w="108" w:type="dxa"/>
              <w:bottom w:w="0" w:type="dxa"/>
              <w:right w:w="108" w:type="dxa"/>
            </w:tcMar>
            <w:vAlign w:val="center"/>
          </w:tcPr>
          <w:p w14:paraId="4A5ABD0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头等舱</w:t>
            </w:r>
          </w:p>
          <w:p w14:paraId="444A1C50">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公务舱</w:t>
            </w:r>
          </w:p>
        </w:tc>
        <w:tc>
          <w:tcPr>
            <w:tcW w:w="1482" w:type="dxa"/>
            <w:tcMar>
              <w:top w:w="0" w:type="dxa"/>
              <w:left w:w="108" w:type="dxa"/>
              <w:bottom w:w="0" w:type="dxa"/>
              <w:right w:w="108" w:type="dxa"/>
            </w:tcMar>
            <w:vAlign w:val="center"/>
          </w:tcPr>
          <w:p w14:paraId="1B1CC427">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高级软卧或全列软席列车商务座或一等座</w:t>
            </w:r>
          </w:p>
        </w:tc>
        <w:tc>
          <w:tcPr>
            <w:tcW w:w="1205" w:type="dxa"/>
            <w:tcMar>
              <w:top w:w="0" w:type="dxa"/>
              <w:left w:w="108" w:type="dxa"/>
              <w:bottom w:w="0" w:type="dxa"/>
              <w:right w:w="108" w:type="dxa"/>
            </w:tcMar>
            <w:vAlign w:val="center"/>
          </w:tcPr>
          <w:p w14:paraId="35F72427">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一等舱</w:t>
            </w:r>
          </w:p>
        </w:tc>
        <w:tc>
          <w:tcPr>
            <w:tcW w:w="1701" w:type="dxa"/>
            <w:tcMar>
              <w:top w:w="0" w:type="dxa"/>
              <w:left w:w="108" w:type="dxa"/>
              <w:bottom w:w="0" w:type="dxa"/>
              <w:right w:w="108" w:type="dxa"/>
            </w:tcMar>
            <w:vAlign w:val="center"/>
          </w:tcPr>
          <w:p w14:paraId="44E8499F">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普通套房,住宿费据实报销。</w:t>
            </w:r>
          </w:p>
        </w:tc>
      </w:tr>
      <w:tr w14:paraId="5EEE3801">
        <w:trPr>
          <w:trHeight w:val="584" w:hRule="atLeast"/>
          <w:jc w:val="center"/>
        </w:trPr>
        <w:tc>
          <w:tcPr>
            <w:tcW w:w="0" w:type="auto"/>
            <w:vMerge w:val="continue"/>
            <w:vAlign w:val="center"/>
          </w:tcPr>
          <w:p w14:paraId="534B98EA">
            <w:pPr>
              <w:spacing w:line="360" w:lineRule="exact"/>
              <w:jc w:val="left"/>
              <w:rPr>
                <w:rFonts w:ascii="仿宋_GB2312" w:eastAsia="仿宋_GB2312" w:cs="宋体" w:hAnsiTheme="minorEastAsia"/>
                <w:color w:val="000000"/>
                <w:kern w:val="0"/>
                <w:sz w:val="24"/>
              </w:rPr>
            </w:pPr>
          </w:p>
        </w:tc>
        <w:tc>
          <w:tcPr>
            <w:tcW w:w="1899" w:type="dxa"/>
            <w:tcMar>
              <w:top w:w="0" w:type="dxa"/>
              <w:left w:w="108" w:type="dxa"/>
              <w:bottom w:w="0" w:type="dxa"/>
              <w:right w:w="108" w:type="dxa"/>
            </w:tcMar>
            <w:vAlign w:val="center"/>
          </w:tcPr>
          <w:p w14:paraId="1F259E94">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正高级专业技术职务人员、教研系列长聘副教授或50岁以上其他副高级专业技术职务人员</w:t>
            </w:r>
          </w:p>
        </w:tc>
        <w:tc>
          <w:tcPr>
            <w:tcW w:w="1204" w:type="dxa"/>
            <w:tcMar>
              <w:top w:w="0" w:type="dxa"/>
              <w:left w:w="108" w:type="dxa"/>
              <w:bottom w:w="0" w:type="dxa"/>
              <w:right w:w="108" w:type="dxa"/>
            </w:tcMar>
            <w:vAlign w:val="center"/>
          </w:tcPr>
          <w:p w14:paraId="40B04F3F">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公务舱</w:t>
            </w:r>
          </w:p>
          <w:p w14:paraId="7D39D8C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482" w:type="dxa"/>
            <w:tcMar>
              <w:top w:w="0" w:type="dxa"/>
              <w:left w:w="108" w:type="dxa"/>
              <w:bottom w:w="0" w:type="dxa"/>
              <w:right w:w="108" w:type="dxa"/>
            </w:tcMar>
            <w:vAlign w:val="center"/>
          </w:tcPr>
          <w:p w14:paraId="4F528DFF">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软卧或全列软席列车一等座</w:t>
            </w:r>
          </w:p>
        </w:tc>
        <w:tc>
          <w:tcPr>
            <w:tcW w:w="1205" w:type="dxa"/>
            <w:tcMar>
              <w:top w:w="0" w:type="dxa"/>
              <w:left w:w="108" w:type="dxa"/>
              <w:bottom w:w="0" w:type="dxa"/>
              <w:right w:w="108" w:type="dxa"/>
            </w:tcMar>
            <w:vAlign w:val="center"/>
          </w:tcPr>
          <w:p w14:paraId="79FAA35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二等舱</w:t>
            </w:r>
          </w:p>
        </w:tc>
        <w:tc>
          <w:tcPr>
            <w:tcW w:w="1701" w:type="dxa"/>
            <w:tcMar>
              <w:top w:w="0" w:type="dxa"/>
              <w:left w:w="108" w:type="dxa"/>
              <w:bottom w:w="0" w:type="dxa"/>
              <w:right w:w="108" w:type="dxa"/>
            </w:tcMar>
            <w:vAlign w:val="center"/>
          </w:tcPr>
          <w:p w14:paraId="2F77166E">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标准间，住宿费在规定的标准内报销。</w:t>
            </w:r>
          </w:p>
        </w:tc>
      </w:tr>
      <w:tr w14:paraId="034AEBAB">
        <w:trPr>
          <w:trHeight w:val="584" w:hRule="atLeast"/>
          <w:jc w:val="center"/>
        </w:trPr>
        <w:tc>
          <w:tcPr>
            <w:tcW w:w="0" w:type="auto"/>
            <w:vMerge w:val="continue"/>
            <w:vAlign w:val="center"/>
          </w:tcPr>
          <w:p w14:paraId="1A733429">
            <w:pPr>
              <w:spacing w:line="360" w:lineRule="exact"/>
              <w:jc w:val="left"/>
              <w:rPr>
                <w:rFonts w:ascii="仿宋_GB2312" w:eastAsia="仿宋_GB2312" w:cs="宋体" w:hAnsiTheme="minorEastAsia"/>
                <w:color w:val="000000"/>
                <w:kern w:val="0"/>
                <w:sz w:val="24"/>
              </w:rPr>
            </w:pPr>
          </w:p>
        </w:tc>
        <w:tc>
          <w:tcPr>
            <w:tcW w:w="1899" w:type="dxa"/>
            <w:tcMar>
              <w:top w:w="0" w:type="dxa"/>
              <w:left w:w="108" w:type="dxa"/>
              <w:bottom w:w="0" w:type="dxa"/>
              <w:right w:w="108" w:type="dxa"/>
            </w:tcMar>
            <w:vAlign w:val="center"/>
          </w:tcPr>
          <w:p w14:paraId="4DE92B6B">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其他副高级专业技术职务人员</w:t>
            </w:r>
          </w:p>
        </w:tc>
        <w:tc>
          <w:tcPr>
            <w:tcW w:w="1204" w:type="dxa"/>
            <w:tcMar>
              <w:top w:w="0" w:type="dxa"/>
              <w:left w:w="108" w:type="dxa"/>
              <w:bottom w:w="0" w:type="dxa"/>
              <w:right w:w="108" w:type="dxa"/>
            </w:tcMar>
            <w:vAlign w:val="center"/>
          </w:tcPr>
          <w:p w14:paraId="715E3C10">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482" w:type="dxa"/>
            <w:tcMar>
              <w:top w:w="0" w:type="dxa"/>
              <w:left w:w="108" w:type="dxa"/>
              <w:bottom w:w="0" w:type="dxa"/>
              <w:right w:w="108" w:type="dxa"/>
            </w:tcMar>
            <w:vAlign w:val="center"/>
          </w:tcPr>
          <w:p w14:paraId="5090EBA8">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软卧或全列软席列车一等座</w:t>
            </w:r>
          </w:p>
        </w:tc>
        <w:tc>
          <w:tcPr>
            <w:tcW w:w="1205" w:type="dxa"/>
            <w:tcMar>
              <w:top w:w="0" w:type="dxa"/>
              <w:left w:w="108" w:type="dxa"/>
              <w:bottom w:w="0" w:type="dxa"/>
              <w:right w:w="108" w:type="dxa"/>
            </w:tcMar>
            <w:vAlign w:val="center"/>
          </w:tcPr>
          <w:p w14:paraId="24365589">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二等舱</w:t>
            </w:r>
          </w:p>
        </w:tc>
        <w:tc>
          <w:tcPr>
            <w:tcW w:w="1701" w:type="dxa"/>
            <w:tcMar>
              <w:top w:w="0" w:type="dxa"/>
              <w:left w:w="108" w:type="dxa"/>
              <w:bottom w:w="0" w:type="dxa"/>
              <w:right w:w="108" w:type="dxa"/>
            </w:tcMar>
            <w:vAlign w:val="center"/>
          </w:tcPr>
          <w:p w14:paraId="01C7778C">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标准间，住宿费在规定的标准内报销。</w:t>
            </w:r>
          </w:p>
        </w:tc>
      </w:tr>
      <w:tr w14:paraId="3F64ADFC">
        <w:trPr>
          <w:trHeight w:val="584" w:hRule="atLeast"/>
          <w:jc w:val="center"/>
        </w:trPr>
        <w:tc>
          <w:tcPr>
            <w:tcW w:w="0" w:type="auto"/>
            <w:vMerge w:val="continue"/>
            <w:vAlign w:val="center"/>
          </w:tcPr>
          <w:p w14:paraId="74EB70A7">
            <w:pPr>
              <w:spacing w:line="360" w:lineRule="exact"/>
              <w:jc w:val="left"/>
              <w:rPr>
                <w:rFonts w:ascii="仿宋_GB2312" w:eastAsia="仿宋_GB2312" w:cs="宋体" w:hAnsiTheme="minorEastAsia"/>
                <w:color w:val="000000"/>
                <w:kern w:val="0"/>
                <w:sz w:val="24"/>
              </w:rPr>
            </w:pPr>
          </w:p>
        </w:tc>
        <w:tc>
          <w:tcPr>
            <w:tcW w:w="1899" w:type="dxa"/>
            <w:tcMar>
              <w:top w:w="0" w:type="dxa"/>
              <w:left w:w="108" w:type="dxa"/>
              <w:bottom w:w="0" w:type="dxa"/>
              <w:right w:w="108" w:type="dxa"/>
            </w:tcMar>
            <w:vAlign w:val="center"/>
          </w:tcPr>
          <w:p w14:paraId="14315C43">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其余人员</w:t>
            </w:r>
          </w:p>
        </w:tc>
        <w:tc>
          <w:tcPr>
            <w:tcW w:w="1204" w:type="dxa"/>
            <w:tcMar>
              <w:top w:w="0" w:type="dxa"/>
              <w:left w:w="108" w:type="dxa"/>
              <w:bottom w:w="0" w:type="dxa"/>
              <w:right w:w="108" w:type="dxa"/>
            </w:tcMar>
            <w:vAlign w:val="center"/>
          </w:tcPr>
          <w:p w14:paraId="60537950">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482" w:type="dxa"/>
            <w:tcMar>
              <w:top w:w="0" w:type="dxa"/>
              <w:left w:w="108" w:type="dxa"/>
              <w:bottom w:w="0" w:type="dxa"/>
              <w:right w:w="108" w:type="dxa"/>
            </w:tcMar>
            <w:vAlign w:val="center"/>
          </w:tcPr>
          <w:p w14:paraId="24532D93">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硬卧或全列软席列车二等座</w:t>
            </w:r>
          </w:p>
        </w:tc>
        <w:tc>
          <w:tcPr>
            <w:tcW w:w="1205" w:type="dxa"/>
            <w:tcMar>
              <w:top w:w="0" w:type="dxa"/>
              <w:left w:w="108" w:type="dxa"/>
              <w:bottom w:w="0" w:type="dxa"/>
              <w:right w:w="108" w:type="dxa"/>
            </w:tcMar>
            <w:vAlign w:val="center"/>
          </w:tcPr>
          <w:p w14:paraId="567BD2B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三等舱</w:t>
            </w:r>
          </w:p>
        </w:tc>
        <w:tc>
          <w:tcPr>
            <w:tcW w:w="1701" w:type="dxa"/>
            <w:tcMar>
              <w:top w:w="0" w:type="dxa"/>
              <w:left w:w="108" w:type="dxa"/>
              <w:bottom w:w="0" w:type="dxa"/>
              <w:right w:w="108" w:type="dxa"/>
            </w:tcMar>
            <w:vAlign w:val="center"/>
          </w:tcPr>
          <w:p w14:paraId="7A5E1A6A">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标准间，住宿费在规定的标准内报销。</w:t>
            </w:r>
          </w:p>
        </w:tc>
      </w:tr>
      <w:tr w14:paraId="48029B1D">
        <w:trPr>
          <w:trHeight w:val="584" w:hRule="atLeast"/>
          <w:jc w:val="center"/>
        </w:trPr>
        <w:tc>
          <w:tcPr>
            <w:tcW w:w="1151" w:type="dxa"/>
            <w:vMerge w:val="restart"/>
            <w:tcMar>
              <w:top w:w="0" w:type="dxa"/>
              <w:left w:w="108" w:type="dxa"/>
              <w:bottom w:w="0" w:type="dxa"/>
              <w:right w:w="108" w:type="dxa"/>
            </w:tcMar>
            <w:vAlign w:val="center"/>
          </w:tcPr>
          <w:p w14:paraId="5856CB1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一般性中外校际工作交流</w:t>
            </w:r>
          </w:p>
        </w:tc>
        <w:tc>
          <w:tcPr>
            <w:tcW w:w="1899" w:type="dxa"/>
            <w:tcMar>
              <w:top w:w="0" w:type="dxa"/>
              <w:left w:w="108" w:type="dxa"/>
              <w:bottom w:w="0" w:type="dxa"/>
              <w:right w:w="108" w:type="dxa"/>
            </w:tcMar>
            <w:vAlign w:val="center"/>
          </w:tcPr>
          <w:p w14:paraId="3EC7EA71">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省部级及相当人员</w:t>
            </w:r>
          </w:p>
        </w:tc>
        <w:tc>
          <w:tcPr>
            <w:tcW w:w="1204" w:type="dxa"/>
            <w:tcMar>
              <w:top w:w="0" w:type="dxa"/>
              <w:left w:w="108" w:type="dxa"/>
              <w:bottom w:w="0" w:type="dxa"/>
              <w:right w:w="108" w:type="dxa"/>
            </w:tcMar>
            <w:vAlign w:val="center"/>
          </w:tcPr>
          <w:p w14:paraId="1EA83327">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头等舱</w:t>
            </w:r>
          </w:p>
          <w:p w14:paraId="20D2276F">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公务舱</w:t>
            </w:r>
          </w:p>
        </w:tc>
        <w:tc>
          <w:tcPr>
            <w:tcW w:w="1482" w:type="dxa"/>
            <w:tcMar>
              <w:top w:w="0" w:type="dxa"/>
              <w:left w:w="108" w:type="dxa"/>
              <w:bottom w:w="0" w:type="dxa"/>
              <w:right w:w="108" w:type="dxa"/>
            </w:tcMar>
            <w:vAlign w:val="center"/>
          </w:tcPr>
          <w:p w14:paraId="0C1A8344">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高级软卧或全列软席列车商务座或一等座</w:t>
            </w:r>
          </w:p>
        </w:tc>
        <w:tc>
          <w:tcPr>
            <w:tcW w:w="1205" w:type="dxa"/>
            <w:tcMar>
              <w:top w:w="0" w:type="dxa"/>
              <w:left w:w="108" w:type="dxa"/>
              <w:bottom w:w="0" w:type="dxa"/>
              <w:right w:w="108" w:type="dxa"/>
            </w:tcMar>
            <w:vAlign w:val="center"/>
          </w:tcPr>
          <w:p w14:paraId="55A4F5F4">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一等舱</w:t>
            </w:r>
          </w:p>
        </w:tc>
        <w:tc>
          <w:tcPr>
            <w:tcW w:w="1701" w:type="dxa"/>
            <w:tcMar>
              <w:top w:w="0" w:type="dxa"/>
              <w:left w:w="108" w:type="dxa"/>
              <w:bottom w:w="0" w:type="dxa"/>
              <w:right w:w="108" w:type="dxa"/>
            </w:tcMar>
            <w:vAlign w:val="center"/>
          </w:tcPr>
          <w:p w14:paraId="42C75245">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普通套房,住宿费据实报销。</w:t>
            </w:r>
          </w:p>
        </w:tc>
      </w:tr>
      <w:tr w14:paraId="2E4BDB4E">
        <w:trPr>
          <w:trHeight w:val="584" w:hRule="atLeast"/>
          <w:jc w:val="center"/>
        </w:trPr>
        <w:tc>
          <w:tcPr>
            <w:tcW w:w="0" w:type="auto"/>
            <w:vMerge w:val="continue"/>
            <w:vAlign w:val="center"/>
          </w:tcPr>
          <w:p w14:paraId="3ADE5545">
            <w:pPr>
              <w:spacing w:line="360" w:lineRule="exact"/>
              <w:jc w:val="left"/>
              <w:rPr>
                <w:rFonts w:ascii="仿宋_GB2312" w:eastAsia="仿宋_GB2312" w:cs="宋体" w:hAnsiTheme="minorEastAsia"/>
                <w:color w:val="000000"/>
                <w:kern w:val="0"/>
                <w:sz w:val="24"/>
              </w:rPr>
            </w:pPr>
          </w:p>
        </w:tc>
        <w:tc>
          <w:tcPr>
            <w:tcW w:w="1899" w:type="dxa"/>
            <w:tcMar>
              <w:top w:w="0" w:type="dxa"/>
              <w:left w:w="108" w:type="dxa"/>
              <w:bottom w:w="0" w:type="dxa"/>
              <w:right w:w="108" w:type="dxa"/>
            </w:tcMar>
            <w:vAlign w:val="center"/>
          </w:tcPr>
          <w:p w14:paraId="2EA758B3">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司局级及相当人员</w:t>
            </w:r>
          </w:p>
        </w:tc>
        <w:tc>
          <w:tcPr>
            <w:tcW w:w="1204" w:type="dxa"/>
            <w:tcMar>
              <w:top w:w="0" w:type="dxa"/>
              <w:left w:w="108" w:type="dxa"/>
              <w:bottom w:w="0" w:type="dxa"/>
              <w:right w:w="108" w:type="dxa"/>
            </w:tcMar>
            <w:vAlign w:val="center"/>
          </w:tcPr>
          <w:p w14:paraId="761EED33">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公务舱</w:t>
            </w:r>
          </w:p>
          <w:p w14:paraId="30D17186">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482" w:type="dxa"/>
            <w:tcMar>
              <w:top w:w="0" w:type="dxa"/>
              <w:left w:w="108" w:type="dxa"/>
              <w:bottom w:w="0" w:type="dxa"/>
              <w:right w:w="108" w:type="dxa"/>
            </w:tcMar>
            <w:vAlign w:val="center"/>
          </w:tcPr>
          <w:p w14:paraId="6376B0FB">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软卧或全列软席列车一等座</w:t>
            </w:r>
          </w:p>
        </w:tc>
        <w:tc>
          <w:tcPr>
            <w:tcW w:w="1205" w:type="dxa"/>
            <w:tcMar>
              <w:top w:w="0" w:type="dxa"/>
              <w:left w:w="108" w:type="dxa"/>
              <w:bottom w:w="0" w:type="dxa"/>
              <w:right w:w="108" w:type="dxa"/>
            </w:tcMar>
            <w:vAlign w:val="center"/>
          </w:tcPr>
          <w:p w14:paraId="593A367A">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二等舱</w:t>
            </w:r>
          </w:p>
        </w:tc>
        <w:tc>
          <w:tcPr>
            <w:tcW w:w="1701" w:type="dxa"/>
            <w:tcMar>
              <w:top w:w="0" w:type="dxa"/>
              <w:left w:w="108" w:type="dxa"/>
              <w:bottom w:w="0" w:type="dxa"/>
              <w:right w:w="108" w:type="dxa"/>
            </w:tcMar>
            <w:vAlign w:val="center"/>
          </w:tcPr>
          <w:p w14:paraId="41250C9F">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标准间，住宿费在规定的标准内报销。</w:t>
            </w:r>
          </w:p>
        </w:tc>
      </w:tr>
      <w:tr w14:paraId="7379868D">
        <w:trPr>
          <w:trHeight w:val="1086" w:hRule="atLeast"/>
          <w:jc w:val="center"/>
        </w:trPr>
        <w:tc>
          <w:tcPr>
            <w:tcW w:w="0" w:type="auto"/>
            <w:vMerge w:val="continue"/>
            <w:vAlign w:val="center"/>
          </w:tcPr>
          <w:p w14:paraId="596EC058">
            <w:pPr>
              <w:spacing w:line="360" w:lineRule="exact"/>
              <w:jc w:val="left"/>
              <w:rPr>
                <w:rFonts w:ascii="仿宋_GB2312" w:eastAsia="仿宋_GB2312" w:cs="宋体" w:hAnsiTheme="minorEastAsia"/>
                <w:color w:val="000000"/>
                <w:kern w:val="0"/>
                <w:sz w:val="24"/>
              </w:rPr>
            </w:pPr>
          </w:p>
        </w:tc>
        <w:tc>
          <w:tcPr>
            <w:tcW w:w="1899" w:type="dxa"/>
            <w:tcMar>
              <w:top w:w="0" w:type="dxa"/>
              <w:left w:w="108" w:type="dxa"/>
              <w:bottom w:w="0" w:type="dxa"/>
              <w:right w:w="108" w:type="dxa"/>
            </w:tcMar>
            <w:vAlign w:val="center"/>
          </w:tcPr>
          <w:p w14:paraId="641B4448">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其余人员</w:t>
            </w:r>
          </w:p>
        </w:tc>
        <w:tc>
          <w:tcPr>
            <w:tcW w:w="1204" w:type="dxa"/>
            <w:tcMar>
              <w:top w:w="0" w:type="dxa"/>
              <w:left w:w="108" w:type="dxa"/>
              <w:bottom w:w="0" w:type="dxa"/>
              <w:right w:w="108" w:type="dxa"/>
            </w:tcMar>
            <w:vAlign w:val="center"/>
          </w:tcPr>
          <w:p w14:paraId="08FC3448">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经济舱</w:t>
            </w:r>
          </w:p>
        </w:tc>
        <w:tc>
          <w:tcPr>
            <w:tcW w:w="1482" w:type="dxa"/>
            <w:tcMar>
              <w:top w:w="0" w:type="dxa"/>
              <w:left w:w="108" w:type="dxa"/>
              <w:bottom w:w="0" w:type="dxa"/>
              <w:right w:w="108" w:type="dxa"/>
            </w:tcMar>
            <w:vAlign w:val="center"/>
          </w:tcPr>
          <w:p w14:paraId="6D2D76B4">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硬卧或全列软席列车二等座</w:t>
            </w:r>
          </w:p>
        </w:tc>
        <w:tc>
          <w:tcPr>
            <w:tcW w:w="1205" w:type="dxa"/>
            <w:tcMar>
              <w:top w:w="0" w:type="dxa"/>
              <w:left w:w="108" w:type="dxa"/>
              <w:bottom w:w="0" w:type="dxa"/>
              <w:right w:w="108" w:type="dxa"/>
            </w:tcMar>
            <w:vAlign w:val="center"/>
          </w:tcPr>
          <w:p w14:paraId="1F6D461B">
            <w:pPr>
              <w:spacing w:line="360" w:lineRule="exact"/>
              <w:jc w:val="center"/>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三等舱</w:t>
            </w:r>
          </w:p>
        </w:tc>
        <w:tc>
          <w:tcPr>
            <w:tcW w:w="1701" w:type="dxa"/>
            <w:tcMar>
              <w:top w:w="0" w:type="dxa"/>
              <w:left w:w="108" w:type="dxa"/>
              <w:bottom w:w="0" w:type="dxa"/>
              <w:right w:w="108" w:type="dxa"/>
            </w:tcMar>
            <w:vAlign w:val="center"/>
          </w:tcPr>
          <w:p w14:paraId="70A3C586">
            <w:pPr>
              <w:spacing w:line="360" w:lineRule="exact"/>
              <w:jc w:val="left"/>
              <w:rPr>
                <w:rFonts w:ascii="仿宋_GB2312" w:eastAsia="仿宋_GB2312" w:cs="宋体" w:hAnsiTheme="minorEastAsia"/>
                <w:color w:val="000000"/>
                <w:kern w:val="0"/>
                <w:sz w:val="24"/>
              </w:rPr>
            </w:pPr>
            <w:r>
              <w:rPr>
                <w:rFonts w:hint="eastAsia" w:ascii="仿宋_GB2312" w:eastAsia="仿宋_GB2312" w:cs="宋体" w:hAnsiTheme="minorEastAsia"/>
                <w:color w:val="000000"/>
                <w:kern w:val="0"/>
                <w:sz w:val="24"/>
              </w:rPr>
              <w:t>标准间，住宿费在规定的标准内报销。</w:t>
            </w:r>
          </w:p>
        </w:tc>
      </w:tr>
    </w:tbl>
    <w:p w14:paraId="1C9DBB0B">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其他副高级专业技术职务人员因公临时出国（境）进行学术交流，因身体等特殊原因，由本人提出申请并经相关负责人批准，可以乘坐公务舱。</w:t>
      </w:r>
    </w:p>
    <w:p w14:paraId="0D74E23C">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因公临时出国（境）人员所乘交通工具舱位等级划分与以上不一致的，可乘坐同等水平的舱位。所乘交通工具未设置上述规定中本级别人员可乘坐舱位等级的，应乘坐低一等级舱位。上述人员发生的国际旅费据实报销。</w:t>
      </w:r>
    </w:p>
    <w:p w14:paraId="7E73DEA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 xml:space="preserve">第三十二条 </w:t>
      </w:r>
      <w:r>
        <w:rPr>
          <w:rFonts w:ascii="仿宋_GB2312" w:eastAsia="仿宋_GB2312" w:hAnsiTheme="minorEastAsia"/>
          <w:b/>
          <w:sz w:val="32"/>
          <w:szCs w:val="32"/>
        </w:rPr>
        <w:t xml:space="preserve"> </w:t>
      </w:r>
      <w:r>
        <w:rPr>
          <w:rFonts w:hint="eastAsia" w:ascii="仿宋_GB2312" w:eastAsia="仿宋_GB2312" w:hAnsiTheme="minorEastAsia"/>
          <w:sz w:val="32"/>
          <w:szCs w:val="32"/>
        </w:rPr>
        <w:t>各类人员级别划分以学院人事部门认定结果为准。特殊情况须经学院批准同意由财务部门备案执行。</w:t>
      </w:r>
    </w:p>
    <w:p w14:paraId="09CD74FF">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第三十三条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因公临时出国（境）人员应当严格按照规定安排住宿，具体标准见《各国家和地区住宿费、伙食费、公杂费开支标准表》</w:t>
      </w:r>
      <w:r>
        <w:rPr>
          <w:rFonts w:ascii="仿宋_GB2312" w:eastAsia="仿宋_GB2312" w:hAnsiTheme="minorEastAsia"/>
          <w:sz w:val="32"/>
          <w:szCs w:val="32"/>
        </w:rPr>
        <w:t>（</w:t>
      </w:r>
      <w:r>
        <w:rPr>
          <w:rFonts w:hint="eastAsia" w:ascii="仿宋_GB2312" w:eastAsia="仿宋_GB2312" w:hAnsiTheme="minorEastAsia"/>
          <w:sz w:val="32"/>
          <w:szCs w:val="32"/>
        </w:rPr>
        <w:t>附件2</w:t>
      </w:r>
      <w:r>
        <w:rPr>
          <w:rFonts w:ascii="仿宋_GB2312" w:eastAsia="仿宋_GB2312" w:hAnsiTheme="minorEastAsia"/>
          <w:sz w:val="32"/>
          <w:szCs w:val="32"/>
        </w:rPr>
        <w:t>）</w:t>
      </w:r>
      <w:r>
        <w:rPr>
          <w:rFonts w:hint="eastAsia" w:ascii="仿宋_GB2312" w:eastAsia="仿宋_GB2312" w:hAnsiTheme="minorEastAsia"/>
          <w:sz w:val="32"/>
          <w:szCs w:val="32"/>
        </w:rPr>
        <w:t>。</w:t>
      </w:r>
    </w:p>
    <w:p w14:paraId="342688B4">
      <w:pPr>
        <w:spacing w:line="560" w:lineRule="exact"/>
        <w:ind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外方以现金或实物形式为出访团组仅提供交通接待的，出国人员报销时应当主动说明，并按标准的40%领取公杂费。</w:t>
      </w:r>
    </w:p>
    <w:p w14:paraId="27EDE7D6">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第三十四条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公临时出国（境）人员未按规定等级乘坐交通工具的，超支部分原则上应由个人自理。学术交流合作中因特殊情况乘坐高于规定等级交通工具的，由出国（境）人员书面说明情况，经相关负责人签字确认后，据实报销国际旅费。</w:t>
      </w:r>
    </w:p>
    <w:p w14:paraId="753C05F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第三十五条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公临时出国人员根据出访任务需要在一个国家内的城市间往来，应当事先在出国计划中列明，并按相关规定进行审批。未列入出国计划或未获学校批准的，不予报销。出国人员的行程必须按照批准的计划执行，其在获批准城市间交通费凭有效原始票据据实报销。</w:t>
      </w:r>
    </w:p>
    <w:p w14:paraId="2CAE9B19">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第三十六条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因公临时出国（境）人员往返驻地和机场（火车站、码头）的交通费可凭有效票据据实报销。</w:t>
      </w:r>
    </w:p>
    <w:p w14:paraId="0AEE15A2">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第三十七条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境外（含港澳台）出差按《各国家和地区住宿费、伙食费、公杂费开支标准表》发放伙食费和公杂费，包干使用。补贴天数按离、抵我国国境之日计算。根据工作需要和特点，不宜个人包干的代表团组，其伙食费和公杂费按照标准核定，由代表团组统一掌握，包干使用。</w:t>
      </w:r>
    </w:p>
    <w:p w14:paraId="46E90E90">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第三十八条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食宿活动全部由对方单位接待的人员不再报销住宿费和发放伙食费补助。</w:t>
      </w:r>
    </w:p>
    <w:p w14:paraId="450293F3">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第三十九条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在公共交通不便的国家或者地区开展考察、调研和测试监测工作，受地理环境和当地条件限制必须租车前往的，经学院批准，租车费用（含租车费、汽油费、保险费和停车费等）凭有效票据报销，报销金额上限为每人每天不超过</w:t>
      </w:r>
      <w:r>
        <w:rPr>
          <w:rFonts w:ascii="仿宋_GB2312" w:eastAsia="仿宋_GB2312" w:hAnsiTheme="minorEastAsia"/>
          <w:sz w:val="32"/>
          <w:szCs w:val="32"/>
        </w:rPr>
        <w:t>80美元。租车期间公杂费减半发放。</w:t>
      </w:r>
    </w:p>
    <w:p w14:paraId="594F2B56">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第四十条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参加国际会议等的出国人员，原则上应当按照规定住宿费标准执行。如对方组织单位指定或推荐酒店，应当严格把关，通过询价方式从紧安排，超出费用标准的，经相关负责人签字确认后，住宿费可据实报销。</w:t>
      </w:r>
    </w:p>
    <w:p w14:paraId="3B5008FB">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第四十一条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清华大学合同人员因学院工作需要出国（境）可发放伙食补助和公杂费补助。因学院工作需要邀请校外人员来院及安排校外人员出国（境）的，可按规定报销受邀人员的国际旅费、城市间交通费及住宿费，不发放伙食补助和公杂费补助。因学术交流邀请来的各领域重要专家，如确有需要，由邀请部门书面说明情况，经相关负责人签字确认后，交通费及住宿费可据实报销。</w:t>
      </w:r>
    </w:p>
    <w:p w14:paraId="20A66B9D">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第四十二条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学生参加国际会议等发生的出国（境）差旅费，其报销标准不得超过因公临时出国（境）人员中“其余人员”差旅费报销标准。</w:t>
      </w:r>
    </w:p>
    <w:p w14:paraId="4A2A8117">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第四十三条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长期出访期间经批准又临时前往其他城市或国家(地区)执行公务的老师或学生，按照财政部因公临时出国（境）相关规定支付住宿费、公杂费、注册费、城间交通费等，伙食费减半支付。出国（境）期间如需到访的城市地点与之前的出国审批有变动的，需再次办理出国（境）审批后方可报销。</w:t>
      </w:r>
    </w:p>
    <w:p w14:paraId="378D5231">
      <w:pPr>
        <w:spacing w:line="56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sz w:val="32"/>
          <w:szCs w:val="32"/>
        </w:rPr>
        <w:t>第四十四条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出国（境）人员回国（境）报销费用时，须凭有效票据填报国（境）外费用报销单。各种报销凭证须用中文注明开支内容、日期、地点、数量、金额等，并由出国（境）人员签字。</w:t>
      </w:r>
    </w:p>
    <w:p w14:paraId="6F48BFA9">
      <w:pPr>
        <w:spacing w:line="560" w:lineRule="exact"/>
        <w:ind w:firstLine="643" w:firstLineChars="200"/>
        <w:jc w:val="left"/>
        <w:rPr>
          <w:rFonts w:hint="eastAsia" w:ascii="仿宋_GB2312" w:eastAsia="仿宋_GB2312" w:hAnsiTheme="minorEastAsia"/>
          <w:sz w:val="32"/>
          <w:szCs w:val="32"/>
        </w:rPr>
      </w:pPr>
      <w:r>
        <w:rPr>
          <w:rFonts w:hint="eastAsia" w:ascii="仿宋_GB2312" w:eastAsia="仿宋_GB2312" w:hAnsiTheme="minorEastAsia"/>
          <w:b/>
          <w:sz w:val="32"/>
          <w:szCs w:val="32"/>
        </w:rPr>
        <w:t>第四十五条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财务部门应对因公临时出国（境）人员（或团组）提交的出国（境）任务批件、护照（包括签证和出入境记录）复印件及有效费用明细票据进行认真审核，严格按照批准的出国（境）人员、天数路线、经费预算及开支标准报销经费，不得报销与因公出访任务无关的开支。</w:t>
      </w:r>
    </w:p>
    <w:p w14:paraId="1FFE16DE">
      <w:pPr>
        <w:spacing w:line="520" w:lineRule="exact"/>
        <w:jc w:val="center"/>
        <w:rPr>
          <w:rFonts w:ascii="黑体" w:hAnsi="黑体" w:eastAsia="黑体"/>
          <w:sz w:val="32"/>
          <w:szCs w:val="32"/>
        </w:rPr>
      </w:pPr>
      <w:r>
        <w:rPr>
          <w:rFonts w:hint="eastAsia" w:ascii="黑体" w:hAnsi="黑体" w:eastAsia="黑体"/>
          <w:sz w:val="32"/>
          <w:szCs w:val="32"/>
        </w:rPr>
        <w:t>第五章 汇率折算</w:t>
      </w:r>
    </w:p>
    <w:p w14:paraId="20B4254F">
      <w:pPr>
        <w:spacing w:line="520" w:lineRule="exact"/>
        <w:ind w:firstLine="643" w:firstLineChars="200"/>
        <w:jc w:val="left"/>
        <w:rPr>
          <w:rFonts w:hint="eastAsia" w:ascii="黑体" w:hAnsi="黑体" w:eastAsia="黑体"/>
          <w:sz w:val="32"/>
          <w:szCs w:val="32"/>
        </w:rPr>
      </w:pPr>
      <w:r>
        <w:rPr>
          <w:rFonts w:hint="eastAsia" w:ascii="仿宋_GB2312" w:eastAsia="仿宋_GB2312" w:hAnsiTheme="minorEastAsia"/>
          <w:b/>
          <w:bCs/>
          <w:sz w:val="32"/>
          <w:szCs w:val="32"/>
        </w:rPr>
        <w:t>第四十七条</w:t>
      </w: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出差报销涉及外币时，外币消费以人民币结算的，报销人提供结算单，财务办公室按照结算单上的人民币金额报销；外币消费以外币结算的，按照业务发生当日的即期汇率（通常是指中国人民银行公布的当日人民币外汇牌价的中间价）将外币金额折算为人民币金额报销。</w:t>
      </w:r>
    </w:p>
    <w:p w14:paraId="0FDEC512">
      <w:pPr>
        <w:spacing w:line="520" w:lineRule="exact"/>
        <w:jc w:val="center"/>
        <w:rPr>
          <w:rFonts w:hint="eastAsia" w:ascii="黑体" w:hAnsi="黑体" w:eastAsia="黑体"/>
          <w:sz w:val="32"/>
          <w:szCs w:val="32"/>
        </w:rPr>
      </w:pPr>
      <w:r>
        <w:rPr>
          <w:rFonts w:hint="eastAsia" w:ascii="黑体" w:hAnsi="黑体" w:eastAsia="黑体"/>
          <w:sz w:val="32"/>
          <w:szCs w:val="32"/>
        </w:rPr>
        <w:t>第六章 附则</w:t>
      </w:r>
    </w:p>
    <w:p w14:paraId="7EFCDE31">
      <w:pPr>
        <w:spacing w:line="520" w:lineRule="exact"/>
        <w:ind w:firstLine="643" w:firstLineChars="200"/>
        <w:jc w:val="left"/>
        <w:rPr>
          <w:rFonts w:ascii="仿宋_GB2312" w:eastAsia="仿宋_GB2312" w:hAnsiTheme="minorEastAsia"/>
          <w:sz w:val="32"/>
          <w:szCs w:val="32"/>
        </w:rPr>
      </w:pPr>
      <w:r>
        <w:rPr>
          <w:rFonts w:hint="eastAsia" w:ascii="仿宋_GB2312" w:eastAsia="仿宋_GB2312" w:hAnsiTheme="minorEastAsia"/>
          <w:b/>
          <w:bCs/>
          <w:sz w:val="32"/>
          <w:szCs w:val="32"/>
        </w:rPr>
        <w:t>第四十八条</w:t>
      </w:r>
      <w:r>
        <w:rPr>
          <w:rFonts w:hint="eastAsia" w:ascii="仿宋_GB2312" w:eastAsia="仿宋_GB2312" w:hAnsiTheme="minorEastAsia"/>
          <w:sz w:val="32"/>
          <w:szCs w:val="32"/>
        </w:rPr>
        <w:t xml:space="preserve"> </w:t>
      </w:r>
      <w:r>
        <w:rPr>
          <w:rFonts w:ascii="仿宋_GB2312" w:eastAsia="仿宋_GB2312" w:hAnsiTheme="minorEastAsia"/>
          <w:sz w:val="32"/>
          <w:szCs w:val="32"/>
        </w:rPr>
        <w:t>本办法自</w:t>
      </w:r>
      <w:r>
        <w:rPr>
          <w:rFonts w:hint="eastAsia" w:ascii="仿宋_GB2312" w:eastAsia="仿宋_GB2312" w:hAnsiTheme="minorEastAsia"/>
          <w:sz w:val="32"/>
          <w:szCs w:val="32"/>
        </w:rPr>
        <w:t>公布</w:t>
      </w:r>
      <w:r>
        <w:rPr>
          <w:rFonts w:ascii="仿宋_GB2312" w:eastAsia="仿宋_GB2312" w:hAnsiTheme="minorEastAsia"/>
          <w:sz w:val="32"/>
          <w:szCs w:val="32"/>
        </w:rPr>
        <w:t>之日起施行，由财务办公室负责解释。</w:t>
      </w:r>
    </w:p>
    <w:p w14:paraId="5A7813DB">
      <w:pPr>
        <w:spacing w:line="520" w:lineRule="exact"/>
        <w:jc w:val="left"/>
        <w:rPr>
          <w:rFonts w:cs="宋体" w:asciiTheme="minorEastAsia" w:hAnsiTheme="minorEastAsia"/>
          <w:b/>
          <w:bCs/>
          <w:color w:val="000000"/>
          <w:kern w:val="0"/>
          <w:sz w:val="24"/>
        </w:rPr>
      </w:pPr>
    </w:p>
    <w:p w14:paraId="1D6D10CB">
      <w:pPr>
        <w:spacing w:line="560" w:lineRule="exact"/>
        <w:ind w:right="-227" w:rightChars="-108" w:firstLine="640" w:firstLineChars="200"/>
        <w:jc w:val="left"/>
        <w:rPr>
          <w:rFonts w:ascii="仿宋_GB2312" w:eastAsia="仿宋_GB2312" w:hAnsiTheme="minorEastAsia"/>
          <w:sz w:val="32"/>
          <w:szCs w:val="32"/>
        </w:rPr>
      </w:pPr>
      <w:r>
        <w:rPr>
          <w:rFonts w:hint="eastAsia" w:ascii="仿宋_GB2312" w:eastAsia="仿宋_GB2312" w:hAnsiTheme="minorEastAsia"/>
          <w:sz w:val="32"/>
          <w:szCs w:val="32"/>
        </w:rPr>
        <w:t>附件：1.清华大学深圳国际研究生院差旅住宿费标准明细表</w:t>
      </w:r>
    </w:p>
    <w:p w14:paraId="60A36544">
      <w:pPr>
        <w:spacing w:line="560" w:lineRule="exact"/>
        <w:ind w:right="-227" w:rightChars="-108" w:firstLine="1600" w:firstLineChars="500"/>
        <w:jc w:val="left"/>
        <w:rPr>
          <w:rFonts w:cs="Calibri" w:asciiTheme="minorEastAsia" w:hAnsiTheme="minorEastAsia"/>
          <w:bCs/>
          <w:color w:val="000000"/>
          <w:kern w:val="0"/>
          <w:sz w:val="24"/>
        </w:rPr>
      </w:pPr>
      <w:r>
        <w:rPr>
          <w:rFonts w:ascii="仿宋_GB2312" w:eastAsia="仿宋_GB2312" w:hAnsiTheme="minorEastAsia"/>
          <w:sz w:val="32"/>
          <w:szCs w:val="32"/>
        </w:rPr>
        <w:t>2</w:t>
      </w:r>
      <w:r>
        <w:rPr>
          <w:rFonts w:hint="eastAsia" w:ascii="仿宋_GB2312" w:eastAsia="仿宋_GB2312" w:hAnsiTheme="minorEastAsia"/>
          <w:sz w:val="32"/>
          <w:szCs w:val="32"/>
        </w:rPr>
        <w:t>.各国家和地区住宿费、伙食费、公杂费开支标准表</w:t>
      </w:r>
    </w:p>
    <w:bookmarkEnd w:id="0"/>
    <w:bookmarkEnd w:id="1"/>
    <w:p w14:paraId="71BF7920"/>
    <w:sectPr>
      <w:footerReference r:id="rId3" w:type="default"/>
      <w:pgSz w:w="11906" w:h="16838"/>
      <w:pgMar w:top="1440" w:right="1633" w:bottom="1327" w:left="1633"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2C582">
    <w:pPr>
      <w:pStyle w:val="10"/>
      <w:jc w:val="center"/>
      <w:rPr>
        <w:rFonts w:ascii="Times New Roman Regular" w:hAnsi="Times New Roman Regular" w:cs="Times New Roman Regula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BEF5D">
                          <w:pPr>
                            <w:pStyle w:val="10"/>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13</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80BEF5D">
                    <w:pPr>
                      <w:pStyle w:val="10"/>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13</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dit="readOnly"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165466"/>
    <w:rsid w:val="0002115B"/>
    <w:rsid w:val="0004263F"/>
    <w:rsid w:val="00050E26"/>
    <w:rsid w:val="00050F04"/>
    <w:rsid w:val="00070357"/>
    <w:rsid w:val="00081EA4"/>
    <w:rsid w:val="00084707"/>
    <w:rsid w:val="00085D58"/>
    <w:rsid w:val="00095678"/>
    <w:rsid w:val="000969E4"/>
    <w:rsid w:val="000C3F5F"/>
    <w:rsid w:val="000D419E"/>
    <w:rsid w:val="000F46AE"/>
    <w:rsid w:val="000F5C0D"/>
    <w:rsid w:val="000F6880"/>
    <w:rsid w:val="00100345"/>
    <w:rsid w:val="00103B1B"/>
    <w:rsid w:val="001076FC"/>
    <w:rsid w:val="001105FD"/>
    <w:rsid w:val="00120A8B"/>
    <w:rsid w:val="00122E8F"/>
    <w:rsid w:val="001239F5"/>
    <w:rsid w:val="00165466"/>
    <w:rsid w:val="00167AEE"/>
    <w:rsid w:val="00172E4D"/>
    <w:rsid w:val="00180684"/>
    <w:rsid w:val="00193AC1"/>
    <w:rsid w:val="00193D9C"/>
    <w:rsid w:val="00194AF3"/>
    <w:rsid w:val="001A0FDF"/>
    <w:rsid w:val="001A626D"/>
    <w:rsid w:val="001B0D0B"/>
    <w:rsid w:val="001B2530"/>
    <w:rsid w:val="001C44AC"/>
    <w:rsid w:val="001C7A90"/>
    <w:rsid w:val="001D045A"/>
    <w:rsid w:val="001D16E9"/>
    <w:rsid w:val="001D76C8"/>
    <w:rsid w:val="001D76CD"/>
    <w:rsid w:val="001E0394"/>
    <w:rsid w:val="001E2AFE"/>
    <w:rsid w:val="001E6BBE"/>
    <w:rsid w:val="001F37B8"/>
    <w:rsid w:val="00202789"/>
    <w:rsid w:val="00202C25"/>
    <w:rsid w:val="00210BDA"/>
    <w:rsid w:val="00230032"/>
    <w:rsid w:val="00230043"/>
    <w:rsid w:val="00231269"/>
    <w:rsid w:val="00251D0E"/>
    <w:rsid w:val="00260C1B"/>
    <w:rsid w:val="00275FA2"/>
    <w:rsid w:val="00286D2C"/>
    <w:rsid w:val="00287810"/>
    <w:rsid w:val="00294AF1"/>
    <w:rsid w:val="002A62F2"/>
    <w:rsid w:val="002A7D3B"/>
    <w:rsid w:val="002B67E2"/>
    <w:rsid w:val="002C20CB"/>
    <w:rsid w:val="002C29CE"/>
    <w:rsid w:val="002C71EA"/>
    <w:rsid w:val="002D2514"/>
    <w:rsid w:val="002D34FB"/>
    <w:rsid w:val="002D4F5C"/>
    <w:rsid w:val="002D7C26"/>
    <w:rsid w:val="002D7D9D"/>
    <w:rsid w:val="002E507C"/>
    <w:rsid w:val="00300D54"/>
    <w:rsid w:val="00340064"/>
    <w:rsid w:val="00341694"/>
    <w:rsid w:val="00345F39"/>
    <w:rsid w:val="00353004"/>
    <w:rsid w:val="00355A45"/>
    <w:rsid w:val="00356B8B"/>
    <w:rsid w:val="0036309D"/>
    <w:rsid w:val="00365A98"/>
    <w:rsid w:val="003B6D67"/>
    <w:rsid w:val="003C4D77"/>
    <w:rsid w:val="003E389C"/>
    <w:rsid w:val="003E53AF"/>
    <w:rsid w:val="00401267"/>
    <w:rsid w:val="004029AB"/>
    <w:rsid w:val="00407D12"/>
    <w:rsid w:val="004110A5"/>
    <w:rsid w:val="00413767"/>
    <w:rsid w:val="00415EAF"/>
    <w:rsid w:val="00424C38"/>
    <w:rsid w:val="00431231"/>
    <w:rsid w:val="0044085F"/>
    <w:rsid w:val="00444DE1"/>
    <w:rsid w:val="0044583E"/>
    <w:rsid w:val="00446EE8"/>
    <w:rsid w:val="004569A9"/>
    <w:rsid w:val="00464EB2"/>
    <w:rsid w:val="00466F46"/>
    <w:rsid w:val="00486D18"/>
    <w:rsid w:val="00492104"/>
    <w:rsid w:val="00493D74"/>
    <w:rsid w:val="004A2B29"/>
    <w:rsid w:val="004F7C66"/>
    <w:rsid w:val="0050324E"/>
    <w:rsid w:val="00507953"/>
    <w:rsid w:val="00514133"/>
    <w:rsid w:val="0052180B"/>
    <w:rsid w:val="00524E6A"/>
    <w:rsid w:val="00525664"/>
    <w:rsid w:val="00534FBB"/>
    <w:rsid w:val="005364C6"/>
    <w:rsid w:val="00541C22"/>
    <w:rsid w:val="005459E4"/>
    <w:rsid w:val="00553032"/>
    <w:rsid w:val="00570009"/>
    <w:rsid w:val="005778CD"/>
    <w:rsid w:val="005841A3"/>
    <w:rsid w:val="00584A08"/>
    <w:rsid w:val="00595748"/>
    <w:rsid w:val="00597585"/>
    <w:rsid w:val="005A38EB"/>
    <w:rsid w:val="005C4F5C"/>
    <w:rsid w:val="005D27BD"/>
    <w:rsid w:val="005D285F"/>
    <w:rsid w:val="005D71F2"/>
    <w:rsid w:val="005E4D33"/>
    <w:rsid w:val="005E53A5"/>
    <w:rsid w:val="005F30FF"/>
    <w:rsid w:val="00606B23"/>
    <w:rsid w:val="00611F7F"/>
    <w:rsid w:val="00613A68"/>
    <w:rsid w:val="00621003"/>
    <w:rsid w:val="00627537"/>
    <w:rsid w:val="00633AB7"/>
    <w:rsid w:val="006344B8"/>
    <w:rsid w:val="00637BA0"/>
    <w:rsid w:val="0067463F"/>
    <w:rsid w:val="00676781"/>
    <w:rsid w:val="00683FC6"/>
    <w:rsid w:val="00691954"/>
    <w:rsid w:val="006943AD"/>
    <w:rsid w:val="00697A26"/>
    <w:rsid w:val="006A38B5"/>
    <w:rsid w:val="006A3E79"/>
    <w:rsid w:val="006C014D"/>
    <w:rsid w:val="006C3D4B"/>
    <w:rsid w:val="006C4E1B"/>
    <w:rsid w:val="006C63B0"/>
    <w:rsid w:val="006C6FEE"/>
    <w:rsid w:val="006D0255"/>
    <w:rsid w:val="006E3DF6"/>
    <w:rsid w:val="006E6010"/>
    <w:rsid w:val="006F1E91"/>
    <w:rsid w:val="00703C25"/>
    <w:rsid w:val="00706344"/>
    <w:rsid w:val="00713EA8"/>
    <w:rsid w:val="007149EF"/>
    <w:rsid w:val="00716808"/>
    <w:rsid w:val="00716B6B"/>
    <w:rsid w:val="00724C55"/>
    <w:rsid w:val="00731D81"/>
    <w:rsid w:val="00743F70"/>
    <w:rsid w:val="00751F32"/>
    <w:rsid w:val="00760ED5"/>
    <w:rsid w:val="007637A6"/>
    <w:rsid w:val="00775966"/>
    <w:rsid w:val="0079585D"/>
    <w:rsid w:val="007A3304"/>
    <w:rsid w:val="007A4C38"/>
    <w:rsid w:val="007C544C"/>
    <w:rsid w:val="007D1DCE"/>
    <w:rsid w:val="007E06CA"/>
    <w:rsid w:val="007E625A"/>
    <w:rsid w:val="007F5BEB"/>
    <w:rsid w:val="00811FA1"/>
    <w:rsid w:val="00814FCB"/>
    <w:rsid w:val="00821FF9"/>
    <w:rsid w:val="00826D3F"/>
    <w:rsid w:val="00842370"/>
    <w:rsid w:val="00846BE6"/>
    <w:rsid w:val="008533B9"/>
    <w:rsid w:val="008776C3"/>
    <w:rsid w:val="0088126E"/>
    <w:rsid w:val="00886EE4"/>
    <w:rsid w:val="00893961"/>
    <w:rsid w:val="0089485A"/>
    <w:rsid w:val="00897800"/>
    <w:rsid w:val="008A03EC"/>
    <w:rsid w:val="008B1514"/>
    <w:rsid w:val="008C2A2E"/>
    <w:rsid w:val="008C3652"/>
    <w:rsid w:val="008C6146"/>
    <w:rsid w:val="008C79F3"/>
    <w:rsid w:val="008D24AA"/>
    <w:rsid w:val="008D5FB3"/>
    <w:rsid w:val="008F1824"/>
    <w:rsid w:val="008F6AE3"/>
    <w:rsid w:val="009016A5"/>
    <w:rsid w:val="00902613"/>
    <w:rsid w:val="009137F8"/>
    <w:rsid w:val="0091785C"/>
    <w:rsid w:val="0092068E"/>
    <w:rsid w:val="00924727"/>
    <w:rsid w:val="009442AB"/>
    <w:rsid w:val="0094528D"/>
    <w:rsid w:val="009478D2"/>
    <w:rsid w:val="009501D0"/>
    <w:rsid w:val="009561C0"/>
    <w:rsid w:val="0095640F"/>
    <w:rsid w:val="00961761"/>
    <w:rsid w:val="00971384"/>
    <w:rsid w:val="00980D19"/>
    <w:rsid w:val="00981ECC"/>
    <w:rsid w:val="00983B25"/>
    <w:rsid w:val="009957A6"/>
    <w:rsid w:val="00997B37"/>
    <w:rsid w:val="009A22C1"/>
    <w:rsid w:val="009A797E"/>
    <w:rsid w:val="009B07DA"/>
    <w:rsid w:val="009B1404"/>
    <w:rsid w:val="009D45A8"/>
    <w:rsid w:val="009D63C8"/>
    <w:rsid w:val="009E394D"/>
    <w:rsid w:val="009F1246"/>
    <w:rsid w:val="009F5956"/>
    <w:rsid w:val="009F7C06"/>
    <w:rsid w:val="00A00A5D"/>
    <w:rsid w:val="00A03A2C"/>
    <w:rsid w:val="00A06785"/>
    <w:rsid w:val="00A117CC"/>
    <w:rsid w:val="00A12F81"/>
    <w:rsid w:val="00A161C3"/>
    <w:rsid w:val="00A246B2"/>
    <w:rsid w:val="00A34F16"/>
    <w:rsid w:val="00A35A30"/>
    <w:rsid w:val="00A425D8"/>
    <w:rsid w:val="00A42DC4"/>
    <w:rsid w:val="00A646B8"/>
    <w:rsid w:val="00A716FD"/>
    <w:rsid w:val="00A7636B"/>
    <w:rsid w:val="00A776E6"/>
    <w:rsid w:val="00A846FC"/>
    <w:rsid w:val="00A854B4"/>
    <w:rsid w:val="00A96C96"/>
    <w:rsid w:val="00A96D66"/>
    <w:rsid w:val="00AB0C3E"/>
    <w:rsid w:val="00AB32EB"/>
    <w:rsid w:val="00AB4F43"/>
    <w:rsid w:val="00AB50BD"/>
    <w:rsid w:val="00AC5384"/>
    <w:rsid w:val="00AC6C0D"/>
    <w:rsid w:val="00AD4CF9"/>
    <w:rsid w:val="00AE1CE0"/>
    <w:rsid w:val="00AF40FC"/>
    <w:rsid w:val="00B034F5"/>
    <w:rsid w:val="00B03F97"/>
    <w:rsid w:val="00B145B4"/>
    <w:rsid w:val="00B149CA"/>
    <w:rsid w:val="00B17A1C"/>
    <w:rsid w:val="00B3114B"/>
    <w:rsid w:val="00B44630"/>
    <w:rsid w:val="00B651CC"/>
    <w:rsid w:val="00B675FA"/>
    <w:rsid w:val="00B77E64"/>
    <w:rsid w:val="00B80CA7"/>
    <w:rsid w:val="00B8697A"/>
    <w:rsid w:val="00BA1595"/>
    <w:rsid w:val="00BB48D2"/>
    <w:rsid w:val="00BC22F3"/>
    <w:rsid w:val="00BC7656"/>
    <w:rsid w:val="00BD47B8"/>
    <w:rsid w:val="00BD4FAB"/>
    <w:rsid w:val="00BD6948"/>
    <w:rsid w:val="00BF0F97"/>
    <w:rsid w:val="00BF115F"/>
    <w:rsid w:val="00BF550A"/>
    <w:rsid w:val="00C10F4B"/>
    <w:rsid w:val="00C267E1"/>
    <w:rsid w:val="00C27397"/>
    <w:rsid w:val="00C27ADB"/>
    <w:rsid w:val="00C379FD"/>
    <w:rsid w:val="00C4357D"/>
    <w:rsid w:val="00C54233"/>
    <w:rsid w:val="00C56825"/>
    <w:rsid w:val="00C6073B"/>
    <w:rsid w:val="00C6750A"/>
    <w:rsid w:val="00C856DD"/>
    <w:rsid w:val="00C97608"/>
    <w:rsid w:val="00CA6405"/>
    <w:rsid w:val="00CB2EB7"/>
    <w:rsid w:val="00CD5B7B"/>
    <w:rsid w:val="00CE162B"/>
    <w:rsid w:val="00CE5F0D"/>
    <w:rsid w:val="00CE6A94"/>
    <w:rsid w:val="00CF285B"/>
    <w:rsid w:val="00CF2E61"/>
    <w:rsid w:val="00CF7E69"/>
    <w:rsid w:val="00D01C0A"/>
    <w:rsid w:val="00D12E2C"/>
    <w:rsid w:val="00D13DF9"/>
    <w:rsid w:val="00D147F8"/>
    <w:rsid w:val="00D17D2B"/>
    <w:rsid w:val="00D2681E"/>
    <w:rsid w:val="00D43C9B"/>
    <w:rsid w:val="00D4480E"/>
    <w:rsid w:val="00D560BD"/>
    <w:rsid w:val="00D604D7"/>
    <w:rsid w:val="00D622E4"/>
    <w:rsid w:val="00D647C8"/>
    <w:rsid w:val="00D70A5C"/>
    <w:rsid w:val="00D91008"/>
    <w:rsid w:val="00D923AE"/>
    <w:rsid w:val="00DB2F6C"/>
    <w:rsid w:val="00DB2FFC"/>
    <w:rsid w:val="00DC4D49"/>
    <w:rsid w:val="00DE3AE9"/>
    <w:rsid w:val="00DE4E20"/>
    <w:rsid w:val="00E05002"/>
    <w:rsid w:val="00E31042"/>
    <w:rsid w:val="00E562DF"/>
    <w:rsid w:val="00E63E08"/>
    <w:rsid w:val="00E7097F"/>
    <w:rsid w:val="00E733BF"/>
    <w:rsid w:val="00E91B9D"/>
    <w:rsid w:val="00EB1ECF"/>
    <w:rsid w:val="00EB36D2"/>
    <w:rsid w:val="00EC0516"/>
    <w:rsid w:val="00EC18C2"/>
    <w:rsid w:val="00EC4169"/>
    <w:rsid w:val="00EC75A1"/>
    <w:rsid w:val="00ED6FB4"/>
    <w:rsid w:val="00EE3D39"/>
    <w:rsid w:val="00F31E1D"/>
    <w:rsid w:val="00F3479B"/>
    <w:rsid w:val="00F372F5"/>
    <w:rsid w:val="00F40F00"/>
    <w:rsid w:val="00F51C2E"/>
    <w:rsid w:val="00F769A8"/>
    <w:rsid w:val="00F836BE"/>
    <w:rsid w:val="00F93D2A"/>
    <w:rsid w:val="00F95EFE"/>
    <w:rsid w:val="00FB0577"/>
    <w:rsid w:val="00FB0F3D"/>
    <w:rsid w:val="00FD387D"/>
    <w:rsid w:val="00FD72B7"/>
    <w:rsid w:val="00FD7D72"/>
    <w:rsid w:val="00FE3E9A"/>
    <w:rsid w:val="00FE630A"/>
    <w:rsid w:val="00FF0781"/>
    <w:rsid w:val="00FF4787"/>
    <w:rsid w:val="09B53C61"/>
    <w:rsid w:val="0B763821"/>
    <w:rsid w:val="15DA3D82"/>
    <w:rsid w:val="1EF9024D"/>
    <w:rsid w:val="231154C8"/>
    <w:rsid w:val="31FB42D7"/>
    <w:rsid w:val="3BF6EAC9"/>
    <w:rsid w:val="3EF5D309"/>
    <w:rsid w:val="3F7E9E14"/>
    <w:rsid w:val="3FC9341F"/>
    <w:rsid w:val="3FFF9223"/>
    <w:rsid w:val="53FE6C9F"/>
    <w:rsid w:val="56EF87B0"/>
    <w:rsid w:val="5BFD7856"/>
    <w:rsid w:val="5DFB33B6"/>
    <w:rsid w:val="5FE61C17"/>
    <w:rsid w:val="62850623"/>
    <w:rsid w:val="6AFF8F97"/>
    <w:rsid w:val="6F5FC38B"/>
    <w:rsid w:val="6FB7DBE6"/>
    <w:rsid w:val="6FFC8671"/>
    <w:rsid w:val="73DF4875"/>
    <w:rsid w:val="73ED1700"/>
    <w:rsid w:val="75FB81FD"/>
    <w:rsid w:val="769168C0"/>
    <w:rsid w:val="775820F7"/>
    <w:rsid w:val="797F22CF"/>
    <w:rsid w:val="7A435731"/>
    <w:rsid w:val="7AFA2D37"/>
    <w:rsid w:val="7B6703D0"/>
    <w:rsid w:val="7BC3B602"/>
    <w:rsid w:val="7BDD410F"/>
    <w:rsid w:val="7BFF516E"/>
    <w:rsid w:val="7C5BFFDE"/>
    <w:rsid w:val="7D783356"/>
    <w:rsid w:val="7D7F7F9A"/>
    <w:rsid w:val="7DAF12AA"/>
    <w:rsid w:val="7DDF9E3A"/>
    <w:rsid w:val="7EDBCD30"/>
    <w:rsid w:val="7EDDA24D"/>
    <w:rsid w:val="7EF6D2B0"/>
    <w:rsid w:val="7EFB644D"/>
    <w:rsid w:val="7F77F3B3"/>
    <w:rsid w:val="7FCFD806"/>
    <w:rsid w:val="7FDBD366"/>
    <w:rsid w:val="7FF58C4E"/>
    <w:rsid w:val="7FFFAD6B"/>
    <w:rsid w:val="8EDBDAD0"/>
    <w:rsid w:val="93B7B04D"/>
    <w:rsid w:val="AF87BE50"/>
    <w:rsid w:val="AFFF7F49"/>
    <w:rsid w:val="B7EB4710"/>
    <w:rsid w:val="BF3FF8AF"/>
    <w:rsid w:val="CFFF7C36"/>
    <w:rsid w:val="D5BB98EF"/>
    <w:rsid w:val="D77EC363"/>
    <w:rsid w:val="DF7E7BE0"/>
    <w:rsid w:val="E79775D3"/>
    <w:rsid w:val="E7DC75A2"/>
    <w:rsid w:val="EDDF2B8F"/>
    <w:rsid w:val="EEEDCE09"/>
    <w:rsid w:val="EFED77FD"/>
    <w:rsid w:val="EFFCC2E7"/>
    <w:rsid w:val="F3EF3590"/>
    <w:rsid w:val="F7A773A7"/>
    <w:rsid w:val="F7FB80B7"/>
    <w:rsid w:val="FACF0E4C"/>
    <w:rsid w:val="FAEF510C"/>
    <w:rsid w:val="FB6621DA"/>
    <w:rsid w:val="FDBD22FB"/>
    <w:rsid w:val="FDBFD7C4"/>
    <w:rsid w:val="FDBFDEA8"/>
    <w:rsid w:val="FDF7BB8C"/>
    <w:rsid w:val="FDFB2582"/>
    <w:rsid w:val="FEBE0A40"/>
    <w:rsid w:val="FEFB37C3"/>
    <w:rsid w:val="FF7B6F21"/>
    <w:rsid w:val="FF7B9D11"/>
    <w:rsid w:val="FFD7AD6F"/>
    <w:rsid w:val="FFF58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jc w:val="center"/>
      <w:outlineLvl w:val="1"/>
    </w:pPr>
    <w:rPr>
      <w:rFonts w:eastAsia="黑体" w:asciiTheme="majorHAnsi" w:hAnsiTheme="majorHAnsi" w:cstheme="majorBidi"/>
      <w:b/>
      <w:bCs/>
      <w:sz w:val="36"/>
      <w:szCs w:val="32"/>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3"/>
    <w:unhideWhenUsed/>
    <w:qFormat/>
    <w:uiPriority w:val="99"/>
    <w:pPr>
      <w:ind w:left="400" w:leftChars="400"/>
      <w:jc w:val="left"/>
    </w:pPr>
    <w:rPr>
      <w:rFonts w:ascii="Calibri" w:hAnsi="Calibri" w:eastAsia="宋体" w:cs="Times New Roman"/>
      <w:kern w:val="0"/>
      <w:sz w:val="20"/>
      <w:szCs w:val="20"/>
      <w:lang w:val="zh-CN"/>
    </w:rPr>
  </w:style>
  <w:style w:type="paragraph" w:styleId="5">
    <w:name w:val="Body Text Indent"/>
    <w:basedOn w:val="1"/>
    <w:link w:val="37"/>
    <w:qFormat/>
    <w:uiPriority w:val="0"/>
    <w:pPr>
      <w:spacing w:after="120"/>
      <w:ind w:left="420" w:leftChars="200"/>
    </w:pPr>
    <w:rPr>
      <w:rFonts w:ascii="Times New Roman" w:hAnsi="Times New Roman" w:eastAsia="宋体" w:cs="Times New Roman"/>
      <w:szCs w:val="24"/>
    </w:r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Date"/>
    <w:basedOn w:val="1"/>
    <w:next w:val="1"/>
    <w:link w:val="28"/>
    <w:semiHidden/>
    <w:unhideWhenUsed/>
    <w:qFormat/>
    <w:uiPriority w:val="99"/>
    <w:pPr>
      <w:ind w:left="100" w:leftChars="2500"/>
    </w:pPr>
  </w:style>
  <w:style w:type="paragraph" w:styleId="8">
    <w:name w:val="Body Text Indent 2"/>
    <w:basedOn w:val="1"/>
    <w:link w:val="32"/>
    <w:qFormat/>
    <w:uiPriority w:val="0"/>
    <w:pPr>
      <w:spacing w:line="360" w:lineRule="auto"/>
      <w:ind w:firstLine="480" w:firstLineChars="200"/>
    </w:pPr>
    <w:rPr>
      <w:rFonts w:ascii="宋体" w:hAnsi="宋体" w:eastAsia="宋体" w:cs="Times New Roman"/>
      <w:kern w:val="0"/>
      <w:sz w:val="24"/>
      <w:szCs w:val="24"/>
      <w:lang w:val="zh-CN"/>
    </w:rPr>
  </w:style>
  <w:style w:type="paragraph" w:styleId="9">
    <w:name w:val="Balloon Text"/>
    <w:basedOn w:val="1"/>
    <w:link w:val="29"/>
    <w:semiHidden/>
    <w:unhideWhenUsed/>
    <w:qFormat/>
    <w:uiPriority w:val="99"/>
    <w:rPr>
      <w:sz w:val="18"/>
      <w:szCs w:val="18"/>
    </w:rPr>
  </w:style>
  <w:style w:type="paragraph" w:styleId="10">
    <w:name w:val="footer"/>
    <w:basedOn w:val="1"/>
    <w:link w:val="31"/>
    <w:unhideWhenUsed/>
    <w:qFormat/>
    <w:uiPriority w:val="99"/>
    <w:pPr>
      <w:tabs>
        <w:tab w:val="center" w:pos="4153"/>
        <w:tab w:val="right" w:pos="8306"/>
      </w:tabs>
      <w:snapToGrid w:val="0"/>
      <w:jc w:val="left"/>
    </w:pPr>
    <w:rPr>
      <w:sz w:val="18"/>
      <w:szCs w:val="18"/>
    </w:rPr>
  </w:style>
  <w:style w:type="paragraph" w:styleId="11">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59" w:lineRule="auto"/>
      <w:jc w:val="left"/>
    </w:pPr>
    <w:rPr>
      <w:rFonts w:cs="Times New Roman"/>
      <w:kern w:val="0"/>
      <w:sz w:val="22"/>
    </w:rPr>
  </w:style>
  <w:style w:type="paragraph" w:styleId="13">
    <w:name w:val="footnote text"/>
    <w:basedOn w:val="1"/>
    <w:link w:val="39"/>
    <w:qFormat/>
    <w:uiPriority w:val="0"/>
    <w:pPr>
      <w:snapToGrid w:val="0"/>
      <w:jc w:val="left"/>
    </w:pPr>
    <w:rPr>
      <w:rFonts w:ascii="Times New Roman" w:hAnsi="Times New Roman" w:eastAsia="宋体" w:cs="Times New Roman"/>
      <w:sz w:val="18"/>
      <w:szCs w:val="18"/>
      <w:lang w:val="zh-CN"/>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4"/>
    <w:next w:val="4"/>
    <w:link w:val="36"/>
    <w:semiHidden/>
    <w:qFormat/>
    <w:uiPriority w:val="99"/>
    <w:pPr>
      <w:ind w:left="0" w:leftChars="0"/>
    </w:pPr>
    <w:rPr>
      <w:rFonts w:ascii="Times New Roman" w:hAnsi="Times New Roman"/>
      <w:b/>
      <w:bCs/>
      <w:szCs w:val="24"/>
    </w:rPr>
  </w:style>
  <w:style w:type="table" w:styleId="18">
    <w:name w:val="Table Grid"/>
    <w:basedOn w:val="1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22"/>
    <w:rPr>
      <w:b/>
      <w:bCs/>
    </w:rPr>
  </w:style>
  <w:style w:type="character" w:styleId="21">
    <w:name w:val="FollowedHyperlink"/>
    <w:basedOn w:val="19"/>
    <w:unhideWhenUsed/>
    <w:qFormat/>
    <w:uiPriority w:val="99"/>
    <w:rPr>
      <w:color w:val="800080"/>
      <w:u w:val="single"/>
    </w:rPr>
  </w:style>
  <w:style w:type="character" w:styleId="22">
    <w:name w:val="Hyperlink"/>
    <w:basedOn w:val="19"/>
    <w:unhideWhenUsed/>
    <w:qFormat/>
    <w:uiPriority w:val="99"/>
    <w:rPr>
      <w:color w:val="0563C1" w:themeColor="hyperlink"/>
      <w:u w:val="single"/>
      <w14:textFill>
        <w14:solidFill>
          <w14:schemeClr w14:val="hlink"/>
        </w14:solidFill>
      </w14:textFill>
    </w:rPr>
  </w:style>
  <w:style w:type="character" w:styleId="23">
    <w:name w:val="annotation reference"/>
    <w:semiHidden/>
    <w:unhideWhenUsed/>
    <w:qFormat/>
    <w:uiPriority w:val="99"/>
    <w:rPr>
      <w:sz w:val="21"/>
      <w:szCs w:val="21"/>
    </w:rPr>
  </w:style>
  <w:style w:type="character" w:styleId="24">
    <w:name w:val="footnote reference"/>
    <w:qFormat/>
    <w:uiPriority w:val="0"/>
    <w:rPr>
      <w:vertAlign w:val="superscript"/>
    </w:rPr>
  </w:style>
  <w:style w:type="character" w:customStyle="1" w:styleId="25">
    <w:name w:val="标题 1 字符"/>
    <w:basedOn w:val="19"/>
    <w:link w:val="2"/>
    <w:qFormat/>
    <w:uiPriority w:val="0"/>
    <w:rPr>
      <w:b/>
      <w:bCs/>
      <w:kern w:val="44"/>
      <w:sz w:val="44"/>
      <w:szCs w:val="44"/>
    </w:rPr>
  </w:style>
  <w:style w:type="character" w:customStyle="1" w:styleId="26">
    <w:name w:val="标题 2 字符"/>
    <w:basedOn w:val="19"/>
    <w:link w:val="3"/>
    <w:qFormat/>
    <w:uiPriority w:val="9"/>
    <w:rPr>
      <w:rFonts w:eastAsia="黑体" w:asciiTheme="majorHAnsi" w:hAnsiTheme="majorHAnsi" w:cstheme="majorBidi"/>
      <w:b/>
      <w:bCs/>
      <w:sz w:val="36"/>
      <w:szCs w:val="32"/>
    </w:rPr>
  </w:style>
  <w:style w:type="paragraph" w:customStyle="1" w:styleId="2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
    <w:name w:val="日期 字符"/>
    <w:basedOn w:val="19"/>
    <w:link w:val="7"/>
    <w:semiHidden/>
    <w:qFormat/>
    <w:uiPriority w:val="99"/>
  </w:style>
  <w:style w:type="character" w:customStyle="1" w:styleId="29">
    <w:name w:val="批注框文本 字符"/>
    <w:basedOn w:val="19"/>
    <w:link w:val="9"/>
    <w:semiHidden/>
    <w:qFormat/>
    <w:uiPriority w:val="99"/>
    <w:rPr>
      <w:sz w:val="18"/>
      <w:szCs w:val="18"/>
    </w:rPr>
  </w:style>
  <w:style w:type="character" w:customStyle="1" w:styleId="30">
    <w:name w:val="页眉 字符"/>
    <w:basedOn w:val="19"/>
    <w:link w:val="11"/>
    <w:qFormat/>
    <w:uiPriority w:val="99"/>
    <w:rPr>
      <w:sz w:val="18"/>
      <w:szCs w:val="18"/>
    </w:rPr>
  </w:style>
  <w:style w:type="character" w:customStyle="1" w:styleId="31">
    <w:name w:val="页脚 字符"/>
    <w:basedOn w:val="19"/>
    <w:link w:val="10"/>
    <w:qFormat/>
    <w:uiPriority w:val="99"/>
    <w:rPr>
      <w:sz w:val="18"/>
      <w:szCs w:val="18"/>
    </w:rPr>
  </w:style>
  <w:style w:type="character" w:customStyle="1" w:styleId="32">
    <w:name w:val="正文文本缩进 2 字符"/>
    <w:basedOn w:val="19"/>
    <w:link w:val="8"/>
    <w:qFormat/>
    <w:uiPriority w:val="0"/>
    <w:rPr>
      <w:rFonts w:ascii="宋体" w:hAnsi="宋体" w:eastAsia="宋体" w:cs="Times New Roman"/>
      <w:kern w:val="0"/>
      <w:sz w:val="24"/>
      <w:szCs w:val="24"/>
      <w:lang w:val="zh-CN" w:eastAsia="zh-CN"/>
    </w:rPr>
  </w:style>
  <w:style w:type="character" w:customStyle="1" w:styleId="33">
    <w:name w:val="批注文字 字符"/>
    <w:basedOn w:val="19"/>
    <w:link w:val="4"/>
    <w:qFormat/>
    <w:uiPriority w:val="99"/>
    <w:rPr>
      <w:rFonts w:ascii="Calibri" w:hAnsi="Calibri" w:eastAsia="宋体" w:cs="Times New Roman"/>
      <w:kern w:val="0"/>
      <w:sz w:val="20"/>
      <w:szCs w:val="20"/>
      <w:lang w:val="zh-CN" w:eastAsia="zh-CN"/>
    </w:rPr>
  </w:style>
  <w:style w:type="paragraph" w:customStyle="1" w:styleId="34">
    <w:name w:val="正文n"/>
    <w:basedOn w:val="1"/>
    <w:qFormat/>
    <w:uiPriority w:val="0"/>
    <w:pPr>
      <w:topLinePunct/>
      <w:adjustRightInd w:val="0"/>
      <w:snapToGrid w:val="0"/>
      <w:spacing w:line="366" w:lineRule="exact"/>
      <w:ind w:firstLine="200" w:firstLineChars="200"/>
    </w:pPr>
    <w:rPr>
      <w:rFonts w:ascii="Times New Roman" w:hAnsi="Times New Roman" w:eastAsia="宋体" w:cs="Times New Roman"/>
      <w:kern w:val="0"/>
      <w:szCs w:val="24"/>
    </w:rPr>
  </w:style>
  <w:style w:type="paragraph" w:customStyle="1" w:styleId="35">
    <w:name w:val="修订1"/>
    <w:hidden/>
    <w:semiHidden/>
    <w:qFormat/>
    <w:uiPriority w:val="0"/>
    <w:rPr>
      <w:rFonts w:ascii="Times New Roman" w:hAnsi="Times New Roman" w:eastAsia="宋体" w:cs="Times New Roman"/>
      <w:kern w:val="2"/>
      <w:sz w:val="21"/>
      <w:szCs w:val="24"/>
      <w:lang w:val="en-US" w:eastAsia="zh-CN" w:bidi="ar-SA"/>
    </w:rPr>
  </w:style>
  <w:style w:type="character" w:customStyle="1" w:styleId="36">
    <w:name w:val="批注主题 字符"/>
    <w:basedOn w:val="33"/>
    <w:link w:val="16"/>
    <w:semiHidden/>
    <w:qFormat/>
    <w:uiPriority w:val="99"/>
    <w:rPr>
      <w:rFonts w:ascii="Times New Roman" w:hAnsi="Times New Roman" w:eastAsia="宋体" w:cs="Times New Roman"/>
      <w:b/>
      <w:bCs/>
      <w:kern w:val="0"/>
      <w:sz w:val="20"/>
      <w:szCs w:val="24"/>
      <w:lang w:val="zh-CN" w:eastAsia="zh-CN"/>
    </w:rPr>
  </w:style>
  <w:style w:type="character" w:customStyle="1" w:styleId="37">
    <w:name w:val="正文文本缩进 字符"/>
    <w:basedOn w:val="19"/>
    <w:link w:val="5"/>
    <w:qFormat/>
    <w:uiPriority w:val="0"/>
    <w:rPr>
      <w:rFonts w:ascii="Times New Roman" w:hAnsi="Times New Roman" w:eastAsia="宋体" w:cs="Times New Roman"/>
      <w:szCs w:val="24"/>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9">
    <w:name w:val="脚注文本 字符"/>
    <w:basedOn w:val="19"/>
    <w:link w:val="13"/>
    <w:qFormat/>
    <w:uiPriority w:val="0"/>
    <w:rPr>
      <w:rFonts w:ascii="Times New Roman" w:hAnsi="Times New Roman" w:eastAsia="宋体" w:cs="Times New Roman"/>
      <w:sz w:val="18"/>
      <w:szCs w:val="18"/>
      <w:lang w:val="zh-CN" w:eastAsia="zh-CN"/>
    </w:rPr>
  </w:style>
  <w:style w:type="paragraph" w:styleId="40">
    <w:name w:val="List Paragraph"/>
    <w:basedOn w:val="1"/>
    <w:qFormat/>
    <w:uiPriority w:val="34"/>
    <w:pPr>
      <w:ind w:firstLine="420" w:firstLineChars="200"/>
    </w:pPr>
    <w:rPr>
      <w:rFonts w:ascii="Calibri" w:hAnsi="Calibri" w:eastAsia="宋体" w:cs="Times New Roman"/>
    </w:rPr>
  </w:style>
  <w:style w:type="paragraph" w:customStyle="1" w:styleId="41">
    <w:name w:val="列出段落1"/>
    <w:basedOn w:val="1"/>
    <w:qFormat/>
    <w:uiPriority w:val="0"/>
    <w:pPr>
      <w:ind w:firstLine="420" w:firstLineChars="200"/>
    </w:pPr>
    <w:rPr>
      <w:rFonts w:ascii="Calibri" w:hAnsi="Calibri" w:eastAsia="宋体" w:cs="Times New Roman"/>
    </w:rPr>
  </w:style>
  <w:style w:type="paragraph" w:customStyle="1" w:styleId="4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65"/>
    <w:basedOn w:val="1"/>
    <w:qFormat/>
    <w:uiPriority w:val="0"/>
    <w:pPr>
      <w:widowControl/>
      <w:pBdr>
        <w:top w:val="single" w:color="auto" w:sz="8"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4">
    <w:name w:val="xl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5">
    <w:name w:val="xl67"/>
    <w:basedOn w:val="1"/>
    <w:qFormat/>
    <w:uiPriority w:val="0"/>
    <w:pPr>
      <w:widowControl/>
      <w:pBdr>
        <w:top w:val="single" w:color="auto" w:sz="4" w:space="0"/>
        <w:left w:val="single" w:color="auto" w:sz="8"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6">
    <w:name w:val="xl68"/>
    <w:basedOn w:val="1"/>
    <w:qFormat/>
    <w:uiPriority w:val="0"/>
    <w:pPr>
      <w:widowControl/>
      <w:pBdr>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7">
    <w:name w:val="xl69"/>
    <w:basedOn w:val="1"/>
    <w:qFormat/>
    <w:uiPriority w:val="0"/>
    <w:pPr>
      <w:widowControl/>
      <w:pBdr>
        <w:left w:val="single" w:color="auto" w:sz="8" w:space="0"/>
        <w:bottom w:val="single" w:color="auto" w:sz="4"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32"/>
      <w:szCs w:val="32"/>
    </w:rPr>
  </w:style>
  <w:style w:type="paragraph" w:customStyle="1" w:styleId="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53">
    <w:name w:val="xl75"/>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54">
    <w:name w:val="xl76"/>
    <w:basedOn w:val="1"/>
    <w:qFormat/>
    <w:uiPriority w:val="0"/>
    <w:pPr>
      <w:widowControl/>
      <w:pBdr>
        <w:lef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55">
    <w:name w:val="xl77"/>
    <w:basedOn w:val="1"/>
    <w:qFormat/>
    <w:uiPriority w:val="0"/>
    <w:pPr>
      <w:widowControl/>
      <w:pBdr>
        <w:left w:val="single" w:color="auto" w:sz="8" w:space="0"/>
        <w:bottom w:val="single" w:color="auto" w:sz="4" w:space="0"/>
      </w:pBdr>
      <w:spacing w:before="100" w:beforeAutospacing="1" w:after="100" w:afterAutospacing="1"/>
      <w:jc w:val="center"/>
    </w:pPr>
    <w:rPr>
      <w:rFonts w:ascii="宋体" w:hAnsi="宋体" w:eastAsia="宋体" w:cs="宋体"/>
      <w:b/>
      <w:bCs/>
      <w:kern w:val="0"/>
      <w:szCs w:val="21"/>
    </w:rPr>
  </w:style>
  <w:style w:type="paragraph" w:customStyle="1" w:styleId="56">
    <w:name w:val="xl78"/>
    <w:basedOn w:val="1"/>
    <w:qFormat/>
    <w:uiPriority w:val="0"/>
    <w:pPr>
      <w:widowControl/>
      <w:pBdr>
        <w:top w:val="single" w:color="auto" w:sz="4" w:space="0"/>
        <w:lef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57">
    <w:name w:val="xl79"/>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58">
    <w:name w:val="xl80"/>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eastAsia="宋体" w:cs="宋体"/>
      <w:b/>
      <w:bCs/>
      <w:kern w:val="0"/>
      <w:szCs w:val="21"/>
    </w:rPr>
  </w:style>
  <w:style w:type="paragraph" w:customStyle="1" w:styleId="59">
    <w:name w:val="xl81"/>
    <w:basedOn w:val="1"/>
    <w:qFormat/>
    <w:uiPriority w:val="0"/>
    <w:pPr>
      <w:widowControl/>
      <w:pBdr>
        <w:top w:val="single" w:color="auto" w:sz="8" w:space="0"/>
        <w:lef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60">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1">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62">
    <w:name w:val="font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3">
    <w:name w:val="font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4">
    <w:name w:val="font10"/>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5">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6">
    <w:name w:val="font12"/>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7">
    <w:name w:val="font13"/>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8">
    <w:name w:val="font14"/>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9">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0">
    <w:name w:val="font16"/>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71">
    <w:name w:val="font1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2">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Courier New" w:hAnsi="Courier New" w:eastAsia="宋体" w:cs="Courier New"/>
      <w:color w:val="000000"/>
      <w:kern w:val="0"/>
      <w:sz w:val="16"/>
      <w:szCs w:val="16"/>
    </w:rPr>
  </w:style>
  <w:style w:type="paragraph" w:customStyle="1" w:styleId="73">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4">
    <w:name w:val="xl84"/>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5">
    <w:name w:val="xl85"/>
    <w:basedOn w:val="1"/>
    <w:qFormat/>
    <w:uiPriority w:val="0"/>
    <w:pPr>
      <w:widowControl/>
      <w:pBdr>
        <w:top w:val="single" w:color="auto" w:sz="4" w:space="0"/>
        <w:left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6">
    <w:name w:val="xl86"/>
    <w:basedOn w:val="1"/>
    <w:qFormat/>
    <w:uiPriority w:val="0"/>
    <w:pPr>
      <w:widowControl/>
      <w:pBdr>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7">
    <w:name w:val="xl87"/>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8">
    <w:name w:val="xl88"/>
    <w:basedOn w:val="1"/>
    <w:qFormat/>
    <w:uiPriority w:val="0"/>
    <w:pPr>
      <w:widowControl/>
      <w:pBdr>
        <w:top w:val="single" w:color="auto" w:sz="4" w:space="0"/>
        <w:left w:val="single" w:color="auto" w:sz="8"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79">
    <w:name w:val="xl89"/>
    <w:basedOn w:val="1"/>
    <w:qFormat/>
    <w:uiPriority w:val="0"/>
    <w:pPr>
      <w:widowControl/>
      <w:pBdr>
        <w:top w:val="single" w:color="auto" w:sz="4" w:space="0"/>
        <w:left w:val="single" w:color="auto" w:sz="4"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80">
    <w:name w:val="xl90"/>
    <w:basedOn w:val="1"/>
    <w:qFormat/>
    <w:uiPriority w:val="0"/>
    <w:pPr>
      <w:widowControl/>
      <w:pBdr>
        <w:top w:val="single" w:color="auto" w:sz="4" w:space="0"/>
        <w:left w:val="single" w:color="auto" w:sz="4"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81">
    <w:name w:val="xl91"/>
    <w:basedOn w:val="1"/>
    <w:qFormat/>
    <w:uiPriority w:val="0"/>
    <w:pPr>
      <w:widowControl/>
      <w:pBdr>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82">
    <w:name w:val="xl92"/>
    <w:basedOn w:val="1"/>
    <w:qFormat/>
    <w:uiPriority w:val="0"/>
    <w:pPr>
      <w:widowControl/>
      <w:pBdr>
        <w:left w:val="single" w:color="auto" w:sz="4"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83">
    <w:name w:val="xl93"/>
    <w:basedOn w:val="1"/>
    <w:qFormat/>
    <w:uiPriority w:val="0"/>
    <w:pPr>
      <w:widowControl/>
      <w:pBdr>
        <w:left w:val="single" w:color="auto" w:sz="4"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84">
    <w:name w:val="xl94"/>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85">
    <w:name w:val="xl95"/>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left"/>
    </w:pPr>
    <w:rPr>
      <w:rFonts w:ascii="Courier New" w:hAnsi="Courier New" w:eastAsia="宋体" w:cs="Courier New"/>
      <w:color w:val="000000"/>
      <w:kern w:val="0"/>
      <w:sz w:val="16"/>
      <w:szCs w:val="16"/>
    </w:rPr>
  </w:style>
  <w:style w:type="paragraph" w:customStyle="1" w:styleId="86">
    <w:name w:val="xl96"/>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87">
    <w:name w:val="xl97"/>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left"/>
    </w:pPr>
    <w:rPr>
      <w:rFonts w:ascii="Courier New" w:hAnsi="Courier New" w:eastAsia="宋体" w:cs="Courier New"/>
      <w:color w:val="000000"/>
      <w:kern w:val="0"/>
      <w:sz w:val="16"/>
      <w:szCs w:val="16"/>
    </w:rPr>
  </w:style>
  <w:style w:type="paragraph" w:customStyle="1" w:styleId="88">
    <w:name w:val="xl98"/>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89">
    <w:name w:val="xl99"/>
    <w:basedOn w:val="1"/>
    <w:qFormat/>
    <w:uiPriority w:val="0"/>
    <w:pPr>
      <w:widowControl/>
      <w:pBdr>
        <w:top w:val="single" w:color="auto" w:sz="4" w:space="0"/>
        <w:left w:val="single" w:color="auto" w:sz="8"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90">
    <w:name w:val="xl100"/>
    <w:basedOn w:val="1"/>
    <w:qFormat/>
    <w:uiPriority w:val="0"/>
    <w:pPr>
      <w:widowControl/>
      <w:pBdr>
        <w:top w:val="single" w:color="auto" w:sz="4" w:space="0"/>
        <w:left w:val="single" w:color="auto" w:sz="8"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91">
    <w:name w:val="xl101"/>
    <w:basedOn w:val="1"/>
    <w:qFormat/>
    <w:uiPriority w:val="0"/>
    <w:pPr>
      <w:widowControl/>
      <w:pBdr>
        <w:top w:val="single" w:color="auto" w:sz="4" w:space="0"/>
        <w:left w:val="single" w:color="auto" w:sz="4"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92">
    <w:name w:val="xl102"/>
    <w:basedOn w:val="1"/>
    <w:qFormat/>
    <w:uiPriority w:val="0"/>
    <w:pPr>
      <w:widowControl/>
      <w:pBdr>
        <w:top w:val="single" w:color="auto" w:sz="4" w:space="0"/>
        <w:left w:val="single" w:color="auto" w:sz="4"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93">
    <w:name w:val="xl103"/>
    <w:basedOn w:val="1"/>
    <w:qFormat/>
    <w:uiPriority w:val="0"/>
    <w:pPr>
      <w:widowControl/>
      <w:pBdr>
        <w:top w:val="single" w:color="auto" w:sz="4"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94">
    <w:name w:val="xl104"/>
    <w:basedOn w:val="1"/>
    <w:qFormat/>
    <w:uiPriority w:val="0"/>
    <w:pPr>
      <w:widowControl/>
      <w:pBdr>
        <w:left w:val="single" w:color="auto" w:sz="8"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95">
    <w:name w:val="xl105"/>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96">
    <w:name w:val="xl106"/>
    <w:basedOn w:val="1"/>
    <w:qFormat/>
    <w:uiPriority w:val="0"/>
    <w:pPr>
      <w:widowControl/>
      <w:pBdr>
        <w:top w:val="single" w:color="auto" w:sz="4" w:space="0"/>
        <w:left w:val="single" w:color="auto" w:sz="8"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97">
    <w:name w:val="xl107"/>
    <w:basedOn w:val="1"/>
    <w:qFormat/>
    <w:uiPriority w:val="0"/>
    <w:pPr>
      <w:widowControl/>
      <w:pBdr>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98">
    <w:name w:val="xl108"/>
    <w:basedOn w:val="1"/>
    <w:qFormat/>
    <w:uiPriority w:val="0"/>
    <w:pPr>
      <w:widowControl/>
      <w:pBdr>
        <w:left w:val="single" w:color="auto" w:sz="8"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99">
    <w:name w:val="xl109"/>
    <w:basedOn w:val="1"/>
    <w:qFormat/>
    <w:uiPriority w:val="0"/>
    <w:pPr>
      <w:widowControl/>
      <w:pBdr>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0">
    <w:name w:val="xl110"/>
    <w:basedOn w:val="1"/>
    <w:qFormat/>
    <w:uiPriority w:val="0"/>
    <w:pPr>
      <w:widowControl/>
      <w:pBdr>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1">
    <w:name w:val="xl11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2">
    <w:name w:val="xl112"/>
    <w:basedOn w:val="1"/>
    <w:qFormat/>
    <w:uiPriority w:val="0"/>
    <w:pPr>
      <w:widowControl/>
      <w:pBdr>
        <w:top w:val="single" w:color="auto" w:sz="4" w:space="0"/>
        <w:left w:val="single" w:color="auto" w:sz="8" w:space="0"/>
        <w:bottom w:val="single" w:color="auto" w:sz="8"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103">
    <w:name w:val="xl113"/>
    <w:basedOn w:val="1"/>
    <w:qFormat/>
    <w:uiPriority w:val="0"/>
    <w:pPr>
      <w:widowControl/>
      <w:pBdr>
        <w:top w:val="single" w:color="auto" w:sz="4" w:space="0"/>
        <w:left w:val="single" w:color="auto" w:sz="4" w:space="0"/>
        <w:bottom w:val="single" w:color="auto" w:sz="8"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104">
    <w:name w:val="xl114"/>
    <w:basedOn w:val="1"/>
    <w:qFormat/>
    <w:uiPriority w:val="0"/>
    <w:pPr>
      <w:widowControl/>
      <w:pBdr>
        <w:top w:val="single" w:color="auto" w:sz="4" w:space="0"/>
        <w:left w:val="single" w:color="auto" w:sz="8" w:space="0"/>
        <w:bottom w:val="single" w:color="auto" w:sz="4" w:space="0"/>
        <w:right w:val="single" w:color="auto" w:sz="8" w:space="0"/>
      </w:pBdr>
      <w:shd w:val="clear" w:color="000000"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105">
    <w:name w:val="xl115"/>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06">
    <w:name w:val="xl116"/>
    <w:basedOn w:val="1"/>
    <w:qFormat/>
    <w:uiPriority w:val="0"/>
    <w:pPr>
      <w:widowControl/>
      <w:pBdr>
        <w:top w:val="single" w:color="auto" w:sz="4" w:space="0"/>
        <w:left w:val="single" w:color="auto" w:sz="8"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07">
    <w:name w:val="xl117"/>
    <w:basedOn w:val="1"/>
    <w:qFormat/>
    <w:uiPriority w:val="0"/>
    <w:pPr>
      <w:widowControl/>
      <w:pBdr>
        <w:top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08">
    <w:name w:val="xl118"/>
    <w:basedOn w:val="1"/>
    <w:qFormat/>
    <w:uiPriority w:val="0"/>
    <w:pPr>
      <w:widowControl/>
      <w:pBdr>
        <w:top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9">
    <w:name w:val="xl119"/>
    <w:basedOn w:val="1"/>
    <w:qFormat/>
    <w:uiPriority w:val="0"/>
    <w:pPr>
      <w:widowControl/>
      <w:pBdr>
        <w:top w:val="single" w:color="auto" w:sz="4" w:space="0"/>
        <w:bottom w:val="single" w:color="auto" w:sz="4" w:space="0"/>
        <w:right w:val="single" w:color="auto" w:sz="8" w:space="0"/>
      </w:pBdr>
      <w:shd w:val="clear" w:color="000000" w:fill="FFFFFF"/>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10">
    <w:name w:val="xl120"/>
    <w:basedOn w:val="1"/>
    <w:qFormat/>
    <w:uiPriority w:val="0"/>
    <w:pPr>
      <w:widowControl/>
      <w:pBdr>
        <w:top w:val="single" w:color="auto" w:sz="4"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11">
    <w:name w:val="xl121"/>
    <w:basedOn w:val="1"/>
    <w:qFormat/>
    <w:uiPriority w:val="0"/>
    <w:pPr>
      <w:widowControl/>
      <w:pBdr>
        <w:top w:val="single" w:color="auto" w:sz="4" w:space="0"/>
        <w:left w:val="single" w:color="auto" w:sz="8"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12">
    <w:name w:val="xl122"/>
    <w:basedOn w:val="1"/>
    <w:qFormat/>
    <w:uiPriority w:val="0"/>
    <w:pPr>
      <w:widowControl/>
      <w:pBdr>
        <w:top w:val="single" w:color="auto" w:sz="4" w:space="0"/>
        <w:left w:val="single" w:color="auto" w:sz="4"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13">
    <w:name w:val="xl123"/>
    <w:basedOn w:val="1"/>
    <w:qFormat/>
    <w:uiPriority w:val="0"/>
    <w:pPr>
      <w:widowControl/>
      <w:pBdr>
        <w:top w:val="single" w:color="auto" w:sz="4" w:space="0"/>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24"/>
    <w:basedOn w:val="1"/>
    <w:qFormat/>
    <w:uiPriority w:val="0"/>
    <w:pPr>
      <w:widowControl/>
      <w:pBdr>
        <w:top w:val="single" w:color="auto" w:sz="4" w:space="0"/>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15">
    <w:name w:val="xl125"/>
    <w:basedOn w:val="1"/>
    <w:qFormat/>
    <w:uiPriority w:val="0"/>
    <w:pPr>
      <w:widowControl/>
      <w:pBdr>
        <w:top w:val="single" w:color="auto" w:sz="4"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16">
    <w:name w:val="xl126"/>
    <w:basedOn w:val="1"/>
    <w:qFormat/>
    <w:uiPriority w:val="0"/>
    <w:pPr>
      <w:widowControl/>
      <w:pBdr>
        <w:top w:val="single" w:color="auto" w:sz="4" w:space="0"/>
        <w:left w:val="single" w:color="auto" w:sz="8" w:space="0"/>
        <w:bottom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17">
    <w:name w:val="xl127"/>
    <w:basedOn w:val="1"/>
    <w:qFormat/>
    <w:uiPriority w:val="0"/>
    <w:pPr>
      <w:widowControl/>
      <w:pBdr>
        <w:top w:val="single" w:color="auto" w:sz="4" w:space="0"/>
        <w:left w:val="single" w:color="auto" w:sz="8" w:space="0"/>
        <w:bottom w:val="single" w:color="auto" w:sz="4" w:space="0"/>
        <w:right w:val="single" w:color="auto" w:sz="8" w:space="0"/>
      </w:pBdr>
      <w:shd w:val="clear" w:color="000000"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118">
    <w:name w:val="xl128"/>
    <w:basedOn w:val="1"/>
    <w:qFormat/>
    <w:uiPriority w:val="0"/>
    <w:pPr>
      <w:widowControl/>
      <w:pBdr>
        <w:top w:val="single" w:color="auto" w:sz="4" w:space="0"/>
        <w:left w:val="single" w:color="auto" w:sz="8" w:space="0"/>
        <w:bottom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19">
    <w:name w:val="xl129"/>
    <w:basedOn w:val="1"/>
    <w:qFormat/>
    <w:uiPriority w:val="0"/>
    <w:pPr>
      <w:widowControl/>
      <w:pBdr>
        <w:top w:val="single" w:color="auto" w:sz="4" w:space="0"/>
        <w:left w:val="single" w:color="auto" w:sz="8" w:space="0"/>
        <w:right w:val="single" w:color="auto" w:sz="8" w:space="0"/>
      </w:pBdr>
      <w:shd w:val="clear" w:color="000000"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120">
    <w:name w:val="xl130"/>
    <w:basedOn w:val="1"/>
    <w:qFormat/>
    <w:uiPriority w:val="0"/>
    <w:pPr>
      <w:widowControl/>
      <w:pBdr>
        <w:left w:val="single" w:color="auto" w:sz="8" w:space="0"/>
        <w:right w:val="single" w:color="auto" w:sz="8" w:space="0"/>
      </w:pBdr>
      <w:shd w:val="clear" w:color="000000"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121">
    <w:name w:val="xl131"/>
    <w:basedOn w:val="1"/>
    <w:qFormat/>
    <w:uiPriority w:val="0"/>
    <w:pPr>
      <w:widowControl/>
      <w:pBdr>
        <w:left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22">
    <w:name w:val="xl13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23">
    <w:name w:val="xl133"/>
    <w:basedOn w:val="1"/>
    <w:qFormat/>
    <w:uiPriority w:val="0"/>
    <w:pPr>
      <w:widowControl/>
      <w:pBdr>
        <w:left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24">
    <w:name w:val="xl134"/>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25">
    <w:name w:val="xl135"/>
    <w:basedOn w:val="1"/>
    <w:qFormat/>
    <w:uiPriority w:val="0"/>
    <w:pPr>
      <w:widowControl/>
      <w:pBdr>
        <w:left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26">
    <w:name w:val="xl136"/>
    <w:basedOn w:val="1"/>
    <w:qFormat/>
    <w:uiPriority w:val="0"/>
    <w:pPr>
      <w:widowControl/>
      <w:pBdr>
        <w:top w:val="single" w:color="auto" w:sz="4" w:space="0"/>
        <w:left w:val="single" w:color="auto" w:sz="4" w:space="0"/>
        <w:bottom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27">
    <w:name w:val="xl137"/>
    <w:basedOn w:val="1"/>
    <w:qFormat/>
    <w:uiPriority w:val="0"/>
    <w:pPr>
      <w:widowControl/>
      <w:pBdr>
        <w:top w:val="single" w:color="auto" w:sz="8" w:space="0"/>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28">
    <w:name w:val="xl138"/>
    <w:basedOn w:val="1"/>
    <w:qFormat/>
    <w:uiPriority w:val="0"/>
    <w:pPr>
      <w:widowControl/>
      <w:pBdr>
        <w:top w:val="single" w:color="auto" w:sz="8"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29">
    <w:name w:val="xl139"/>
    <w:basedOn w:val="1"/>
    <w:qFormat/>
    <w:uiPriority w:val="0"/>
    <w:pPr>
      <w:widowControl/>
      <w:pBdr>
        <w:top w:val="single" w:color="auto" w:sz="8" w:space="0"/>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0">
    <w:name w:val="xl140"/>
    <w:basedOn w:val="1"/>
    <w:qFormat/>
    <w:uiPriority w:val="0"/>
    <w:pPr>
      <w:widowControl/>
      <w:pBdr>
        <w:top w:val="single" w:color="auto" w:sz="4" w:space="0"/>
        <w:left w:val="single" w:color="auto" w:sz="8"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1">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2">
    <w:name w:val="xl142"/>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3">
    <w:name w:val="xl143"/>
    <w:basedOn w:val="1"/>
    <w:qFormat/>
    <w:uiPriority w:val="0"/>
    <w:pPr>
      <w:widowControl/>
      <w:pBdr>
        <w:top w:val="single" w:color="auto" w:sz="8" w:space="0"/>
        <w:lef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4">
    <w:name w:val="xl144"/>
    <w:basedOn w:val="1"/>
    <w:qFormat/>
    <w:uiPriority w:val="0"/>
    <w:pPr>
      <w:widowControl/>
      <w:pBdr>
        <w:top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5">
    <w:name w:val="xl145"/>
    <w:basedOn w:val="1"/>
    <w:qFormat/>
    <w:uiPriority w:val="0"/>
    <w:pPr>
      <w:widowControl/>
      <w:pBdr>
        <w:lef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6">
    <w:name w:val="xl146"/>
    <w:basedOn w:val="1"/>
    <w:qFormat/>
    <w:uiPriority w:val="0"/>
    <w:pPr>
      <w:widowControl/>
      <w:pBdr>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7">
    <w:name w:val="xl147"/>
    <w:basedOn w:val="1"/>
    <w:qFormat/>
    <w:uiPriority w:val="0"/>
    <w:pPr>
      <w:widowControl/>
      <w:pBdr>
        <w:left w:val="single" w:color="auto" w:sz="8" w:space="0"/>
        <w:bottom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8">
    <w:name w:val="xl148"/>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9">
    <w:name w:val="xl149"/>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40">
    <w:name w:val="xl150"/>
    <w:basedOn w:val="1"/>
    <w:qFormat/>
    <w:uiPriority w:val="0"/>
    <w:pPr>
      <w:widowControl/>
      <w:pBdr>
        <w:left w:val="single" w:color="auto" w:sz="8" w:space="0"/>
        <w:bottom w:val="single" w:color="auto" w:sz="4" w:space="0"/>
        <w:right w:val="single" w:color="auto" w:sz="8" w:space="0"/>
      </w:pBdr>
      <w:shd w:val="clear" w:color="000000"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141">
    <w:name w:val="xl151"/>
    <w:basedOn w:val="1"/>
    <w:qFormat/>
    <w:uiPriority w:val="0"/>
    <w:pPr>
      <w:widowControl/>
      <w:shd w:val="clear" w:color="000000" w:fill="FFFFFF"/>
      <w:spacing w:before="100" w:beforeAutospacing="1" w:after="100" w:afterAutospacing="1"/>
      <w:jc w:val="center"/>
      <w:textAlignment w:val="center"/>
    </w:pPr>
    <w:rPr>
      <w:rFonts w:ascii="华文中宋" w:hAnsi="华文中宋" w:eastAsia="华文中宋" w:cs="宋体"/>
      <w:color w:val="000000"/>
      <w:kern w:val="0"/>
      <w:sz w:val="32"/>
      <w:szCs w:val="32"/>
    </w:rPr>
  </w:style>
  <w:style w:type="paragraph" w:customStyle="1" w:styleId="142">
    <w:name w:val="xl152"/>
    <w:basedOn w:val="1"/>
    <w:qFormat/>
    <w:uiPriority w:val="0"/>
    <w:pPr>
      <w:widowControl/>
      <w:shd w:val="clear" w:color="000000" w:fill="FFFFFF"/>
      <w:spacing w:before="100" w:beforeAutospacing="1" w:after="100" w:afterAutospacing="1"/>
      <w:jc w:val="right"/>
    </w:pPr>
    <w:rPr>
      <w:rFonts w:ascii="宋体" w:hAnsi="宋体" w:eastAsia="宋体" w:cs="宋体"/>
      <w:color w:val="000000"/>
      <w:kern w:val="0"/>
      <w:sz w:val="20"/>
      <w:szCs w:val="20"/>
    </w:rPr>
  </w:style>
  <w:style w:type="paragraph" w:customStyle="1" w:styleId="143">
    <w:name w:val="xl153"/>
    <w:basedOn w:val="1"/>
    <w:qFormat/>
    <w:uiPriority w:val="0"/>
    <w:pPr>
      <w:widowControl/>
      <w:pBdr>
        <w:bottom w:val="single" w:color="auto" w:sz="8" w:space="0"/>
      </w:pBdr>
      <w:shd w:val="clear" w:color="000000" w:fill="FFFFFF"/>
      <w:spacing w:before="100" w:beforeAutospacing="1" w:after="100" w:afterAutospacing="1"/>
      <w:jc w:val="right"/>
    </w:pPr>
    <w:rPr>
      <w:rFonts w:ascii="宋体" w:hAnsi="宋体" w:eastAsia="宋体" w:cs="宋体"/>
      <w:color w:val="000000"/>
      <w:kern w:val="0"/>
      <w:sz w:val="20"/>
      <w:szCs w:val="20"/>
    </w:rPr>
  </w:style>
  <w:style w:type="paragraph" w:customStyle="1" w:styleId="144">
    <w:name w:val="xl154"/>
    <w:basedOn w:val="1"/>
    <w:qFormat/>
    <w:uiPriority w:val="0"/>
    <w:pPr>
      <w:widowControl/>
      <w:pBdr>
        <w:top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45">
    <w:name w:val="xl155"/>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46">
    <w:name w:val="xl156"/>
    <w:basedOn w:val="1"/>
    <w:qFormat/>
    <w:uiPriority w:val="0"/>
    <w:pPr>
      <w:widowControl/>
      <w:pBdr>
        <w:bottom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47">
    <w:name w:val="font1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48">
    <w:name w:val="xl157"/>
    <w:basedOn w:val="1"/>
    <w:qFormat/>
    <w:uiPriority w:val="0"/>
    <w:pPr>
      <w:widowControl/>
      <w:pBdr>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49">
    <w:name w:val="xl158"/>
    <w:basedOn w:val="1"/>
    <w:qFormat/>
    <w:uiPriority w:val="0"/>
    <w:pPr>
      <w:widowControl/>
      <w:pBdr>
        <w:left w:val="single" w:color="auto" w:sz="8" w:space="0"/>
        <w:bottom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50">
    <w:name w:val="xl159"/>
    <w:basedOn w:val="1"/>
    <w:qFormat/>
    <w:uiPriority w:val="0"/>
    <w:pPr>
      <w:widowControl/>
      <w:pBdr>
        <w:left w:val="single" w:color="auto" w:sz="8" w:space="0"/>
        <w:bottom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51">
    <w:name w:val="xl160"/>
    <w:basedOn w:val="1"/>
    <w:qFormat/>
    <w:uiPriority w:val="0"/>
    <w:pPr>
      <w:widowControl/>
      <w:pBdr>
        <w:top w:val="single" w:color="auto" w:sz="4"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52">
    <w:name w:val="xl16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53">
    <w:name w:val="xl162"/>
    <w:basedOn w:val="1"/>
    <w:qFormat/>
    <w:uiPriority w:val="0"/>
    <w:pPr>
      <w:widowControl/>
      <w:pBdr>
        <w:top w:val="single" w:color="auto" w:sz="4" w:space="0"/>
        <w:left w:val="single" w:color="auto" w:sz="8" w:space="0"/>
        <w:bottom w:val="single" w:color="auto" w:sz="8"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154">
    <w:name w:val="xl163"/>
    <w:basedOn w:val="1"/>
    <w:qFormat/>
    <w:uiPriority w:val="0"/>
    <w:pPr>
      <w:widowControl/>
      <w:pBdr>
        <w:top w:val="single" w:color="auto" w:sz="4" w:space="0"/>
        <w:right w:val="single" w:color="auto" w:sz="8" w:space="0"/>
      </w:pBdr>
      <w:shd w:val="clear" w:color="000000" w:fill="FFFFFF"/>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5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6">
    <w:name w:val="apple-converted-space"/>
    <w:basedOn w:val="19"/>
    <w:qFormat/>
    <w:uiPriority w:val="0"/>
  </w:style>
  <w:style w:type="character" w:customStyle="1" w:styleId="157">
    <w:name w:val="页眉 Char"/>
    <w:qFormat/>
    <w:uiPriority w:val="99"/>
    <w:rPr>
      <w:kern w:val="2"/>
      <w:sz w:val="18"/>
      <w:szCs w:val="18"/>
    </w:rPr>
  </w:style>
  <w:style w:type="character" w:customStyle="1" w:styleId="158">
    <w:name w:val="页脚 Char"/>
    <w:qFormat/>
    <w:uiPriority w:val="99"/>
    <w:rPr>
      <w:kern w:val="2"/>
      <w:sz w:val="18"/>
      <w:szCs w:val="18"/>
    </w:rPr>
  </w:style>
  <w:style w:type="character" w:customStyle="1" w:styleId="159">
    <w:name w:val="批注框文本 Char"/>
    <w:semiHidden/>
    <w:qFormat/>
    <w:uiPriority w:val="99"/>
    <w:rPr>
      <w:kern w:val="2"/>
      <w:sz w:val="18"/>
      <w:szCs w:val="18"/>
    </w:rPr>
  </w:style>
  <w:style w:type="paragraph" w:customStyle="1" w:styleId="160">
    <w:name w:val="_Style 159"/>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paragraph" w:customStyle="1" w:styleId="16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kern w:val="0"/>
      <w:sz w:val="24"/>
      <w:szCs w:val="24"/>
    </w:rPr>
  </w:style>
  <w:style w:type="paragraph" w:customStyle="1" w:styleId="16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b/>
      <w:bCs/>
      <w:kern w:val="0"/>
      <w:sz w:val="24"/>
      <w:szCs w:val="24"/>
    </w:rPr>
  </w:style>
  <w:style w:type="paragraph" w:customStyle="1" w:styleId="163">
    <w:name w:val="修订2"/>
    <w:hidden/>
    <w:semiHidden/>
    <w:uiPriority w:val="99"/>
    <w:rPr>
      <w:rFonts w:asciiTheme="minorHAnsi" w:hAnsiTheme="minorHAnsi" w:eastAsiaTheme="minorEastAsia" w:cstheme="minorBidi"/>
      <w:kern w:val="2"/>
      <w:sz w:val="21"/>
      <w:szCs w:val="22"/>
      <w:lang w:val="en-US" w:eastAsia="zh-CN" w:bidi="ar-SA"/>
    </w:rPr>
  </w:style>
  <w:style w:type="paragraph" w:customStyle="1" w:styleId="164">
    <w:name w:val="修订3"/>
    <w:hidden/>
    <w:semiHidden/>
    <w:uiPriority w:val="99"/>
    <w:rPr>
      <w:rFonts w:asciiTheme="minorHAnsi" w:hAnsiTheme="minorHAnsi" w:eastAsiaTheme="minorEastAsia" w:cstheme="minorBidi"/>
      <w:kern w:val="2"/>
      <w:sz w:val="21"/>
      <w:szCs w:val="22"/>
      <w:lang w:val="en-US" w:eastAsia="zh-CN" w:bidi="ar-SA"/>
    </w:rPr>
  </w:style>
  <w:style w:type="paragraph" w:customStyle="1" w:styleId="165">
    <w:name w:val="修订4"/>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CEE1F-A627-41E3-A53C-A5A66E3D386A}">
  <ds:schemaRefs/>
</ds:datastoreItem>
</file>

<file path=docProps/app.xml><?xml version="1.0" encoding="utf-8"?>
<Properties xmlns="http://schemas.openxmlformats.org/officeDocument/2006/extended-properties" xmlns:vt="http://schemas.openxmlformats.org/officeDocument/2006/docPropsVTypes">
  <Template>Normal</Template>
  <Pages>12</Pages>
  <Words>6171</Words>
  <Characters>6206</Characters>
  <Lines>46</Lines>
  <Paragraphs>13</Paragraphs>
  <TotalTime>10</TotalTime>
  <ScaleCrop>false</ScaleCrop>
  <LinksUpToDate>false</LinksUpToDate>
  <CharactersWithSpaces>6310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2025-11-25T18:40:00Z</dcterms:created>
  <dc:creator>邓倩</dc:creator>
  <cp:lastModifiedBy>谭沙丽</cp:lastModifiedBy>
  <cp:lastPrinted>2019-08-30T13:52:00Z</cp:lastPrinted>
  <dcterms:modified xsi:type="dcterms:W3CDTF">2025-12-05T09:57:04Z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289404586E7716527261C9687A0E555B_43</vt:lpwstr>
  </property>
  <property fmtid="{D5CDD505-2E9C-101B-9397-08002B2CF9AE}" pid="4" name="KSOTemplateDocerSaveRecord">
    <vt:lpwstr>eyJoZGlkIjoiMWM3MGU3NGJkOWRlNWZiYzYwMmNiZjNlZDY1MjgzNDEiLCJ1c2VySWQiOiI0MzU5MzMxMzAifQ==</vt:lpwstr>
  </property>
</Properties>
</file>