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3F365">
      <w:pPr>
        <w:adjustRightInd/>
        <w:snapToGrid/>
        <w:spacing w:after="0" w:afterLines="-2147483648" w:line="560" w:lineRule="exact"/>
        <w:ind w:firstLine="0" w:firstLineChars="0"/>
        <w:jc w:val="right"/>
        <w:rPr>
          <w:rFonts w:hint="eastAsia" w:ascii="仿宋_GB2312" w:hAnsi="仿宋_GB2312" w:eastAsia="仿宋_GB2312" w:cs="仿宋_GB2312"/>
          <w:color w:val="000000"/>
          <w:sz w:val="32"/>
          <w:szCs w:val="32"/>
        </w:rPr>
      </w:pPr>
    </w:p>
    <w:p w14:paraId="6C30F7A1">
      <w:pPr>
        <w:adjustRightInd/>
        <w:snapToGrid/>
        <w:spacing w:after="0" w:afterLines="-2147483648" w:line="560" w:lineRule="exact"/>
        <w:ind w:firstLine="0" w:firstLineChars="0"/>
        <w:jc w:val="righ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清深国院规〔2026〕4</w:t>
      </w:r>
      <w:r>
        <w:rPr>
          <w:rFonts w:hint="eastAsia" w:ascii="仿宋_GB2312" w:hAnsi="仿宋_GB2312" w:eastAsia="仿宋_GB2312" w:cs="仿宋_GB2312"/>
          <w:color w:val="000000"/>
          <w:sz w:val="32"/>
          <w:szCs w:val="32"/>
          <w:lang w:val="en-US" w:eastAsia="zh-CN"/>
        </w:rPr>
        <w:t>9</w:t>
      </w:r>
      <w:bookmarkStart w:id="1" w:name="_GoBack"/>
      <w:bookmarkEnd w:id="1"/>
      <w:r>
        <w:rPr>
          <w:rFonts w:hint="eastAsia" w:ascii="仿宋_GB2312" w:hAnsi="仿宋_GB2312" w:eastAsia="仿宋_GB2312" w:cs="仿宋_GB2312"/>
          <w:color w:val="000000"/>
          <w:sz w:val="32"/>
          <w:szCs w:val="32"/>
        </w:rPr>
        <w:t>号</w:t>
      </w:r>
    </w:p>
    <w:p w14:paraId="3456DEA4">
      <w:pPr>
        <w:adjustRightInd/>
        <w:snapToGrid/>
        <w:spacing w:after="0" w:afterLines="-2147483648" w:line="560" w:lineRule="exact"/>
        <w:ind w:firstLine="0" w:firstLineChars="0"/>
        <w:jc w:val="right"/>
        <w:rPr>
          <w:rFonts w:hint="eastAsia" w:ascii="方正小标宋简体" w:hAnsi="方正小标宋简体" w:eastAsia="方正小标宋简体" w:cs="Times New Roman"/>
          <w:sz w:val="40"/>
          <w:szCs w:val="40"/>
        </w:rPr>
      </w:pPr>
    </w:p>
    <w:p w14:paraId="3E2DDF6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Times New Roman"/>
          <w:sz w:val="40"/>
          <w:szCs w:val="40"/>
        </w:rPr>
      </w:pPr>
      <w:r>
        <w:rPr>
          <w:rFonts w:hint="eastAsia" w:ascii="方正小标宋简体" w:hAnsi="方正小标宋简体" w:eastAsia="方正小标宋简体" w:cs="Times New Roman"/>
          <w:sz w:val="40"/>
          <w:szCs w:val="40"/>
        </w:rPr>
        <w:t>清华大学深圳国际研究生院</w:t>
      </w:r>
      <w:r>
        <w:rPr>
          <w:rFonts w:hint="eastAsia" w:ascii="方正小标宋简体" w:hAnsi="方正小标宋简体" w:eastAsia="方正小标宋简体" w:cs="Times New Roman"/>
          <w:sz w:val="40"/>
          <w:szCs w:val="40"/>
          <w:lang w:val="en-US" w:eastAsia="zh-CN"/>
        </w:rPr>
        <w:t>党政联席</w:t>
      </w:r>
      <w:r>
        <w:rPr>
          <w:rFonts w:hint="eastAsia" w:ascii="方正小标宋简体" w:hAnsi="方正小标宋简体" w:eastAsia="方正小标宋简体" w:cs="Times New Roman"/>
          <w:sz w:val="40"/>
          <w:szCs w:val="40"/>
        </w:rPr>
        <w:t>会议</w:t>
      </w:r>
    </w:p>
    <w:p w14:paraId="4ECA840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Times New Roman"/>
          <w:sz w:val="40"/>
          <w:szCs w:val="40"/>
          <w:lang w:eastAsia="zh-CN"/>
        </w:rPr>
      </w:pPr>
      <w:r>
        <w:rPr>
          <w:rFonts w:hint="eastAsia" w:ascii="方正小标宋简体" w:hAnsi="方正小标宋简体" w:eastAsia="方正小标宋简体" w:cs="Times New Roman"/>
          <w:sz w:val="40"/>
          <w:szCs w:val="40"/>
        </w:rPr>
        <w:t>议事规则</w:t>
      </w:r>
    </w:p>
    <w:p w14:paraId="7D931A1A">
      <w:pPr>
        <w:autoSpaceDE/>
        <w:autoSpaceDN/>
        <w:spacing w:line="500" w:lineRule="exact"/>
        <w:ind w:firstLine="0" w:firstLineChars="0"/>
        <w:jc w:val="center"/>
        <w:rPr>
          <w:rFonts w:hint="eastAsia" w:ascii="仿宋_GB2312" w:hAnsi="宋体" w:eastAsia="仿宋_GB2312" w:cstheme="minorBidi"/>
          <w:kern w:val="2"/>
          <w:sz w:val="30"/>
          <w:szCs w:val="30"/>
          <w:lang w:val="en-US" w:eastAsia="zh-CN" w:bidi="ar-SA"/>
        </w:rPr>
      </w:pPr>
      <w:r>
        <w:rPr>
          <w:rFonts w:hint="eastAsia" w:ascii="仿宋_GB2312" w:hAnsi="宋体" w:eastAsia="仿宋_GB2312" w:cstheme="minorBidi"/>
          <w:kern w:val="2"/>
          <w:sz w:val="30"/>
          <w:szCs w:val="30"/>
          <w:lang w:val="en-US" w:eastAsia="zh-CN" w:bidi="ar-SA"/>
        </w:rPr>
        <w:t>二〇二四年第二次党政联席会议（2024年7月8日）审议通过，</w:t>
      </w:r>
    </w:p>
    <w:p w14:paraId="269787C1">
      <w:pPr>
        <w:autoSpaceDE/>
        <w:autoSpaceDN/>
        <w:spacing w:line="500" w:lineRule="exact"/>
        <w:ind w:firstLine="0" w:firstLineChars="0"/>
        <w:jc w:val="center"/>
        <w:rPr>
          <w:rFonts w:hint="eastAsia" w:ascii="仿宋_GB2312" w:hAnsi="宋体" w:eastAsia="仿宋_GB2312" w:cstheme="minorBidi"/>
          <w:kern w:val="2"/>
          <w:sz w:val="30"/>
          <w:szCs w:val="30"/>
          <w:lang w:val="en-US" w:eastAsia="zh-CN" w:bidi="ar-SA"/>
        </w:rPr>
      </w:pPr>
      <w:r>
        <w:rPr>
          <w:rFonts w:hint="eastAsia" w:ascii="仿宋_GB2312" w:hAnsi="宋体" w:eastAsia="仿宋_GB2312" w:cstheme="minorBidi"/>
          <w:kern w:val="2"/>
          <w:sz w:val="30"/>
          <w:szCs w:val="30"/>
          <w:lang w:val="en-US" w:eastAsia="zh-CN" w:bidi="ar-SA"/>
        </w:rPr>
        <w:t>二〇二六年第十一次党政联席会议（2026年4月8日）修订</w:t>
      </w:r>
    </w:p>
    <w:p w14:paraId="17F9EE2B">
      <w:pPr>
        <w:pStyle w:val="3"/>
        <w:keepNext w:val="0"/>
        <w:keepLines w:val="0"/>
        <w:pageBreakBefore w:val="0"/>
        <w:widowControl w:val="0"/>
        <w:tabs>
          <w:tab w:val="left" w:pos="1281"/>
        </w:tabs>
        <w:kinsoku/>
        <w:wordWrap/>
        <w:overflowPunct/>
        <w:topLinePunct w:val="0"/>
        <w:autoSpaceDE w:val="0"/>
        <w:autoSpaceDN w:val="0"/>
        <w:bidi w:val="0"/>
        <w:adjustRightInd/>
        <w:snapToGrid/>
        <w:spacing w:line="560" w:lineRule="exact"/>
        <w:ind w:right="125"/>
        <w:jc w:val="center"/>
        <w:textAlignment w:val="auto"/>
        <w:rPr>
          <w:rFonts w:hint="eastAsia" w:ascii="仿宋_GB2312" w:hAnsi="宋体" w:eastAsia="仿宋_GB2312" w:cstheme="minorBidi"/>
          <w:kern w:val="2"/>
          <w:sz w:val="32"/>
          <w:szCs w:val="32"/>
          <w:lang w:val="en-US" w:eastAsia="zh-CN" w:bidi="ar-SA"/>
        </w:rPr>
      </w:pPr>
    </w:p>
    <w:p w14:paraId="1FCDFFC2">
      <w:pPr>
        <w:pStyle w:val="8"/>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kern w:val="0"/>
          <w:sz w:val="32"/>
          <w:szCs w:val="32"/>
          <w:lang w:eastAsia="zh-CN"/>
        </w:rPr>
      </w:pPr>
      <w:r>
        <w:rPr>
          <w:rFonts w:hint="eastAsia" w:cs="黑体"/>
          <w:b w:val="0"/>
          <w:bCs w:val="0"/>
          <w:kern w:val="0"/>
          <w:sz w:val="32"/>
          <w:szCs w:val="32"/>
          <w:lang w:val="en-US" w:eastAsia="zh-CN"/>
        </w:rPr>
        <w:t xml:space="preserve">第一章  </w:t>
      </w:r>
      <w:r>
        <w:rPr>
          <w:rFonts w:hint="eastAsia" w:ascii="黑体" w:hAnsi="黑体" w:eastAsia="黑体" w:cs="黑体"/>
          <w:b w:val="0"/>
          <w:bCs w:val="0"/>
          <w:kern w:val="0"/>
          <w:sz w:val="32"/>
          <w:szCs w:val="32"/>
          <w:lang w:eastAsia="zh-CN"/>
        </w:rPr>
        <w:t>总则</w:t>
      </w:r>
    </w:p>
    <w:p w14:paraId="381063A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第一条</w:t>
      </w:r>
      <w:r>
        <w:rPr>
          <w:rFonts w:hint="eastAsia" w:ascii="仿宋_GB2312" w:hAnsi="仿宋_GB2312" w:eastAsia="仿宋_GB2312" w:cs="仿宋_GB2312"/>
          <w:sz w:val="32"/>
          <w:szCs w:val="32"/>
        </w:rPr>
        <w:t xml:space="preserve"> 为了进一步加强党的全面领导，规范和完善</w:t>
      </w:r>
      <w:bookmarkStart w:id="0" w:name="OLE_LINK1"/>
      <w:r>
        <w:rPr>
          <w:rFonts w:hint="eastAsia" w:ascii="仿宋_GB2312" w:hAnsi="仿宋_GB2312" w:eastAsia="仿宋_GB2312" w:cs="仿宋_GB2312"/>
          <w:sz w:val="32"/>
          <w:szCs w:val="32"/>
          <w:lang w:val="en-US" w:eastAsia="zh-CN"/>
        </w:rPr>
        <w:t>清华大学深圳国际研究生院（以下简称学院）</w:t>
      </w:r>
      <w:r>
        <w:rPr>
          <w:rFonts w:hint="eastAsia" w:ascii="仿宋_GB2312" w:hAnsi="仿宋_GB2312" w:eastAsia="仿宋_GB2312" w:cs="仿宋_GB2312"/>
          <w:sz w:val="32"/>
          <w:szCs w:val="32"/>
        </w:rPr>
        <w:t>党政联席会</w:t>
      </w:r>
      <w:bookmarkEnd w:id="0"/>
      <w:r>
        <w:rPr>
          <w:rFonts w:hint="eastAsia" w:ascii="仿宋_GB2312" w:hAnsi="仿宋_GB2312" w:eastAsia="仿宋_GB2312" w:cs="仿宋_GB2312"/>
          <w:sz w:val="32"/>
          <w:szCs w:val="32"/>
        </w:rPr>
        <w:t>议的议事决策范围和程序，根据《中国共产党章程》《中国共产党普通高等学校基层组织工作条例》《普通高等学校院（系）党委会会议和党政联席会议议事规则示范文本》《清华大学院（系）党政联席会议议事规则》等有关规定和文件精神，结合学院实际，制定本规则。</w:t>
      </w:r>
    </w:p>
    <w:p w14:paraId="7DBD0B1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cs="黑体"/>
          <w:b/>
          <w:sz w:val="32"/>
          <w:szCs w:val="32"/>
        </w:rPr>
        <w:t>第二条</w:t>
      </w:r>
      <w:r>
        <w:rPr>
          <w:rFonts w:hint="eastAsia" w:ascii="仿宋_GB2312" w:hAnsi="宋体" w:eastAsia="仿宋_GB2312"/>
          <w:sz w:val="32"/>
          <w:szCs w:val="32"/>
        </w:rPr>
        <w:t xml:space="preserve"> 党政联席会议讨论和决定学院工作中的重要事项。有关党的建设，包括干部选拔任用、基层党组织和党员队伍建设等工作，由院党委会会议研究决定；涉及办学方向、教师队伍建设、师生员工切身利益等重大事项，由党委会会议先行把关，再提交</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会议决定。要保证</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会议对学院重要事项的决定权，同时不能用</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会议代替党委会会议。</w:t>
      </w:r>
    </w:p>
    <w:p w14:paraId="721F40F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cs="黑体"/>
          <w:b/>
          <w:sz w:val="32"/>
          <w:szCs w:val="32"/>
        </w:rPr>
        <w:t>第三条</w:t>
      </w:r>
      <w:r>
        <w:rPr>
          <w:rFonts w:hint="eastAsia" w:ascii="仿宋_GB2312" w:hAnsi="宋体" w:eastAsia="仿宋_GB2312" w:cs="黑体"/>
          <w:sz w:val="32"/>
          <w:szCs w:val="32"/>
        </w:rPr>
        <w:t xml:space="preserve"> </w:t>
      </w:r>
      <w:r>
        <w:rPr>
          <w:rFonts w:hint="eastAsia" w:ascii="仿宋_GB2312" w:hAnsi="宋体" w:eastAsia="仿宋_GB2312" w:cs="黑体"/>
          <w:sz w:val="32"/>
          <w:szCs w:val="32"/>
          <w:lang w:val="en-US" w:eastAsia="zh-CN"/>
        </w:rPr>
        <w:t>党政联席会议应</w:t>
      </w:r>
      <w:r>
        <w:rPr>
          <w:rFonts w:hint="eastAsia" w:ascii="仿宋_GB2312" w:hAnsi="宋体" w:eastAsia="仿宋_GB2312"/>
          <w:sz w:val="32"/>
          <w:szCs w:val="32"/>
        </w:rPr>
        <w:t>坚持民主集中制，按照集体领导、民主集中、个别酝酿、会议决定的原则，集体讨论决定重大问题，建立健全集体领导、党政分工合作、协调运行的工作机制。</w:t>
      </w:r>
    </w:p>
    <w:p w14:paraId="514A0929">
      <w:pPr>
        <w:pStyle w:val="8"/>
        <w:keepNext w:val="0"/>
        <w:keepLines w:val="0"/>
        <w:pageBreakBefore w:val="0"/>
        <w:widowControl w:val="0"/>
        <w:kinsoku/>
        <w:wordWrap/>
        <w:overflowPunct/>
        <w:topLinePunct w:val="0"/>
        <w:bidi w:val="0"/>
        <w:adjustRightInd/>
        <w:snapToGrid/>
        <w:spacing w:line="560" w:lineRule="exact"/>
        <w:ind w:right="124"/>
        <w:textAlignment w:val="auto"/>
        <w:rPr>
          <w:rFonts w:hint="eastAsia" w:ascii="黑体" w:hAnsi="黑体" w:eastAsia="黑体" w:cs="黑体"/>
          <w:b w:val="0"/>
          <w:bCs w:val="0"/>
          <w:sz w:val="32"/>
          <w:szCs w:val="32"/>
          <w:lang w:eastAsia="zh-CN"/>
        </w:rPr>
      </w:pPr>
      <w:r>
        <w:rPr>
          <w:rFonts w:hint="eastAsia" w:cs="黑体"/>
          <w:b w:val="0"/>
          <w:bCs w:val="0"/>
          <w:sz w:val="32"/>
          <w:szCs w:val="32"/>
          <w:lang w:val="en-US" w:eastAsia="zh-CN"/>
        </w:rPr>
        <w:t xml:space="preserve">第二章  </w:t>
      </w:r>
      <w:r>
        <w:rPr>
          <w:rFonts w:hint="eastAsia" w:ascii="黑体" w:hAnsi="黑体" w:eastAsia="黑体" w:cs="黑体"/>
          <w:b w:val="0"/>
          <w:bCs w:val="0"/>
          <w:sz w:val="32"/>
          <w:szCs w:val="32"/>
          <w:lang w:eastAsia="zh-CN"/>
        </w:rPr>
        <w:t>议事决策范围</w:t>
      </w:r>
    </w:p>
    <w:p w14:paraId="2D4630D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cs="黑体"/>
          <w:b/>
          <w:sz w:val="32"/>
          <w:szCs w:val="32"/>
        </w:rPr>
        <w:t>第四条</w:t>
      </w:r>
      <w:r>
        <w:rPr>
          <w:rFonts w:hint="eastAsia" w:ascii="仿宋_GB2312" w:hAnsi="宋体" w:eastAsia="仿宋_GB2312" w:cs="黑体"/>
          <w:sz w:val="32"/>
          <w:szCs w:val="32"/>
        </w:rPr>
        <w:t xml:space="preserve"> </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会议讨论决定学院工作中的重要事项。主要包括：</w:t>
      </w:r>
    </w:p>
    <w:p w14:paraId="0E46DB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（一）事关</w:t>
      </w:r>
      <w:r>
        <w:rPr>
          <w:rFonts w:hint="eastAsia" w:ascii="仿宋_GB2312" w:hAnsi="宋体" w:eastAsia="仿宋_GB2312"/>
          <w:sz w:val="32"/>
          <w:szCs w:val="32"/>
          <w:lang w:val="en-US" w:eastAsia="zh-CN"/>
        </w:rPr>
        <w:t>学</w:t>
      </w:r>
      <w:r>
        <w:rPr>
          <w:rFonts w:hint="eastAsia" w:ascii="仿宋_GB2312" w:hAnsi="宋体" w:eastAsia="仿宋_GB2312"/>
          <w:sz w:val="32"/>
          <w:szCs w:val="32"/>
        </w:rPr>
        <w:t>院改革发展稳定的事项。</w:t>
      </w:r>
    </w:p>
    <w:p w14:paraId="0EAE82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1.贯彻落实党的教育工作方针政策、上级有关决策部署和学校整体发展规划、教学科研管理各项工作安排等重要事项；</w:t>
      </w:r>
    </w:p>
    <w:p w14:paraId="1897C5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2.院发展规划、学科专业建设规划、年度工作计划和重要改革举措</w:t>
      </w:r>
      <w:r>
        <w:rPr>
          <w:rFonts w:hint="eastAsia" w:ascii="仿宋_GB2312" w:hAnsi="宋体" w:eastAsia="仿宋_GB2312"/>
          <w:sz w:val="32"/>
          <w:szCs w:val="32"/>
          <w:lang w:eastAsia="zh-CN"/>
        </w:rPr>
        <w:t>，以及重要规章制度的制定修订和废止</w:t>
      </w:r>
      <w:r>
        <w:rPr>
          <w:rFonts w:hint="eastAsia" w:ascii="仿宋_GB2312" w:hAnsi="宋体" w:eastAsia="仿宋_GB2312"/>
          <w:sz w:val="32"/>
          <w:szCs w:val="32"/>
        </w:rPr>
        <w:t>等重要事项；</w:t>
      </w:r>
    </w:p>
    <w:p w14:paraId="383D2A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 xml:space="preserve">3.院内设机构、所属单位，以及管理、咨询类组织的设置、调整等重要事项； </w:t>
      </w:r>
    </w:p>
    <w:p w14:paraId="45779A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 xml:space="preserve">4.年度财务预算决算的审定和执行，大额度资金使用以及接受大额捐赠等重要事项； </w:t>
      </w:r>
    </w:p>
    <w:p w14:paraId="6ECF44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cstheme="minorBidi"/>
          <w:kern w:val="2"/>
          <w:sz w:val="32"/>
          <w:szCs w:val="32"/>
          <w:lang w:val="en-US" w:eastAsia="zh-CN"/>
        </w:rPr>
        <w:t>5</w:t>
      </w:r>
      <w:r>
        <w:rPr>
          <w:rFonts w:hint="eastAsia" w:ascii="仿宋_GB2312" w:hAnsi="宋体" w:eastAsia="仿宋_GB2312"/>
          <w:sz w:val="32"/>
          <w:szCs w:val="32"/>
        </w:rPr>
        <w:t>.大型设备和大宗物资采购或购买服务、基本建设和基建修缮等重要事项；</w:t>
      </w:r>
    </w:p>
    <w:p w14:paraId="2B2C47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lang w:val="en-US" w:eastAsia="zh-CN"/>
        </w:rPr>
        <w:t>6</w:t>
      </w:r>
      <w:r>
        <w:rPr>
          <w:rFonts w:hint="eastAsia" w:ascii="仿宋_GB2312" w:hAnsi="宋体" w:eastAsia="仿宋_GB2312"/>
          <w:sz w:val="32"/>
          <w:szCs w:val="32"/>
        </w:rPr>
        <w:t>.办学空间、设备设施等办学资源配置，重要资产处置，无形资产授权使用等重要事项；</w:t>
      </w:r>
    </w:p>
    <w:p w14:paraId="6A3F2E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lang w:val="en-US" w:eastAsia="zh-CN"/>
        </w:rPr>
        <w:t>7</w:t>
      </w:r>
      <w:r>
        <w:rPr>
          <w:rFonts w:hint="eastAsia" w:ascii="仿宋_GB2312" w:hAnsi="宋体" w:eastAsia="仿宋_GB2312"/>
          <w:sz w:val="32"/>
          <w:szCs w:val="32"/>
        </w:rPr>
        <w:t>.服务地方经济和社会发展等重要事项；</w:t>
      </w:r>
    </w:p>
    <w:p w14:paraId="48268D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lang w:val="en-US" w:eastAsia="zh-CN"/>
        </w:rPr>
        <w:t>8</w:t>
      </w:r>
      <w:r>
        <w:rPr>
          <w:rFonts w:hint="eastAsia" w:ascii="仿宋_GB2312" w:hAnsi="宋体" w:eastAsia="仿宋_GB2312"/>
          <w:sz w:val="32"/>
          <w:szCs w:val="32"/>
        </w:rPr>
        <w:t>.各类行政审批及后勤管理工作中的重要事项；</w:t>
      </w:r>
    </w:p>
    <w:p w14:paraId="234ED0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lang w:val="en-US" w:eastAsia="zh-CN"/>
        </w:rPr>
        <w:t>9</w:t>
      </w:r>
      <w:r>
        <w:rPr>
          <w:rFonts w:hint="eastAsia" w:ascii="仿宋_GB2312" w:hAnsi="宋体" w:eastAsia="仿宋_GB2312"/>
          <w:sz w:val="32"/>
          <w:szCs w:val="32"/>
        </w:rPr>
        <w:t>.维护安全稳定、防范和处置突发事件等重要事项。</w:t>
      </w:r>
    </w:p>
    <w:p w14:paraId="33A349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（二）事关教师队伍建设的事项。</w:t>
      </w:r>
    </w:p>
    <w:p w14:paraId="514D13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1.教师引进、培养，教学团队建设，教师兼职、访学、进修、参加各类组织和参与学术交流、社会活动中的重要事项；</w:t>
      </w:r>
    </w:p>
    <w:p w14:paraId="6F5705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 xml:space="preserve">2.教职员工的聘用、调动、晋升、考核、职称职级评定、薪酬、福利分配中的重要事项； </w:t>
      </w:r>
    </w:p>
    <w:p w14:paraId="5E8380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3.人才工作规划制定，人才队伍建设，各级各类人才计划人选推荐申报中的重要事项；</w:t>
      </w:r>
    </w:p>
    <w:p w14:paraId="721043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4.教职员工违规、违纪惩处等重要事项。</w:t>
      </w:r>
    </w:p>
    <w:p w14:paraId="27B613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（三）事关学生培养的事项。</w:t>
      </w:r>
    </w:p>
    <w:p w14:paraId="0CCBC8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1.学科和专业设置、调整，学生培养方案制定、修订，培养项目的设立和终止等重要事项；</w:t>
      </w:r>
    </w:p>
    <w:p w14:paraId="347254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2.课程建设、教学管理、教材编写选用等重要事项；</w:t>
      </w:r>
    </w:p>
    <w:p w14:paraId="714C97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lang w:val="en-US" w:eastAsia="zh-CN"/>
        </w:rPr>
        <w:t>3</w:t>
      </w:r>
      <w:r>
        <w:rPr>
          <w:rFonts w:hint="eastAsia" w:ascii="仿宋_GB2312" w:hAnsi="宋体" w:eastAsia="仿宋_GB2312"/>
          <w:sz w:val="32"/>
          <w:szCs w:val="32"/>
        </w:rPr>
        <w:t>.学生学籍管理，招生、毕业、就业、奖惩、困难学生帮扶，研究生导师遴选等重要事项。</w:t>
      </w:r>
    </w:p>
    <w:p w14:paraId="5DDC4F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（四）科研平台、科研团队建设，科研项目、科研经费管理，科研成果转化、科研奖励中的重要事项。</w:t>
      </w:r>
    </w:p>
    <w:p w14:paraId="475522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lang w:eastAsia="zh-CN"/>
        </w:rPr>
      </w:pPr>
      <w:r>
        <w:rPr>
          <w:rFonts w:hint="eastAsia" w:ascii="仿宋_GB2312" w:hAnsi="宋体" w:eastAsia="仿宋_GB2312"/>
          <w:sz w:val="32"/>
          <w:szCs w:val="32"/>
        </w:rPr>
        <w:t>（五）开展国（境）内外教学、科研</w:t>
      </w:r>
      <w:r>
        <w:rPr>
          <w:rFonts w:hint="eastAsia" w:ascii="仿宋_GB2312" w:hAnsi="宋体" w:eastAsia="仿宋_GB2312"/>
          <w:sz w:val="32"/>
          <w:szCs w:val="32"/>
          <w:lang w:eastAsia="zh-CN"/>
        </w:rPr>
        <w:t>、</w:t>
      </w:r>
      <w:r>
        <w:rPr>
          <w:rFonts w:hint="eastAsia" w:ascii="仿宋_GB2312" w:hAnsi="宋体" w:eastAsia="仿宋_GB2312"/>
          <w:sz w:val="32"/>
          <w:szCs w:val="32"/>
        </w:rPr>
        <w:t>学术交流合作</w:t>
      </w:r>
      <w:r>
        <w:rPr>
          <w:rFonts w:hint="eastAsia" w:ascii="仿宋_GB2312" w:hAnsi="宋体" w:eastAsia="仿宋_GB2312"/>
          <w:sz w:val="32"/>
          <w:szCs w:val="32"/>
          <w:lang w:eastAsia="zh-CN"/>
        </w:rPr>
        <w:t>，以及院级科研机构和依托</w:t>
      </w:r>
      <w:r>
        <w:rPr>
          <w:rFonts w:hint="eastAsia" w:ascii="仿宋_GB2312" w:hAnsi="宋体" w:eastAsia="仿宋_GB2312"/>
          <w:sz w:val="32"/>
          <w:szCs w:val="32"/>
          <w:lang w:val="en-US" w:eastAsia="zh-CN"/>
        </w:rPr>
        <w:t>学院</w:t>
      </w:r>
      <w:r>
        <w:rPr>
          <w:rFonts w:hint="eastAsia" w:ascii="仿宋_GB2312" w:hAnsi="宋体" w:eastAsia="仿宋_GB2312"/>
          <w:sz w:val="32"/>
          <w:szCs w:val="32"/>
          <w:lang w:eastAsia="zh-CN"/>
        </w:rPr>
        <w:t>设立或由</w:t>
      </w:r>
      <w:r>
        <w:rPr>
          <w:rFonts w:hint="eastAsia" w:ascii="仿宋_GB2312" w:hAnsi="宋体" w:eastAsia="仿宋_GB2312"/>
          <w:sz w:val="32"/>
          <w:szCs w:val="32"/>
          <w:lang w:val="en-US" w:eastAsia="zh-CN"/>
        </w:rPr>
        <w:t>学院</w:t>
      </w:r>
      <w:r>
        <w:rPr>
          <w:rFonts w:hint="eastAsia" w:ascii="仿宋_GB2312" w:hAnsi="宋体" w:eastAsia="仿宋_GB2312"/>
          <w:sz w:val="32"/>
          <w:szCs w:val="32"/>
          <w:lang w:eastAsia="zh-CN"/>
        </w:rPr>
        <w:t>承办的校级科研机构、实验教学中心、资质实验室、实践教学基地、派出研究院、社会团体组织等工作中的重要事项。</w:t>
      </w:r>
    </w:p>
    <w:p w14:paraId="6A4415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（六）</w:t>
      </w:r>
      <w:r>
        <w:rPr>
          <w:rFonts w:hint="eastAsia" w:ascii="仿宋_GB2312" w:hAnsi="宋体" w:eastAsia="仿宋_GB2312"/>
          <w:sz w:val="32"/>
          <w:szCs w:val="32"/>
          <w:lang w:val="en-US" w:eastAsia="zh-CN"/>
        </w:rPr>
        <w:t>学术委员会、</w:t>
      </w:r>
      <w:r>
        <w:rPr>
          <w:rFonts w:hint="eastAsia" w:ascii="仿宋_GB2312" w:hAnsi="宋体" w:eastAsia="仿宋_GB2312"/>
          <w:sz w:val="32"/>
          <w:szCs w:val="32"/>
        </w:rPr>
        <w:t>教学委员会、学位评定分委员会</w:t>
      </w:r>
      <w:r>
        <w:rPr>
          <w:rFonts w:hint="eastAsia" w:ascii="仿宋_GB2312" w:hAnsi="宋体" w:eastAsia="仿宋_GB2312"/>
          <w:sz w:val="32"/>
          <w:szCs w:val="32"/>
          <w:lang w:eastAsia="zh-CN"/>
        </w:rPr>
        <w:t>、</w:t>
      </w:r>
      <w:r>
        <w:rPr>
          <w:rFonts w:hint="eastAsia" w:ascii="仿宋_GB2312" w:hAnsi="宋体" w:eastAsia="仿宋_GB2312"/>
          <w:sz w:val="32"/>
          <w:szCs w:val="32"/>
        </w:rPr>
        <w:t>长聘</w:t>
      </w:r>
      <w:r>
        <w:rPr>
          <w:rFonts w:hint="eastAsia" w:ascii="仿宋_GB2312" w:hAnsi="宋体" w:eastAsia="仿宋_GB2312"/>
          <w:sz w:val="32"/>
          <w:szCs w:val="32"/>
          <w:lang w:val="en-US" w:eastAsia="zh-CN"/>
        </w:rPr>
        <w:t>与晋升</w:t>
      </w:r>
      <w:r>
        <w:rPr>
          <w:rFonts w:hint="eastAsia" w:ascii="仿宋_GB2312" w:hAnsi="宋体" w:eastAsia="仿宋_GB2312"/>
          <w:sz w:val="32"/>
          <w:szCs w:val="32"/>
        </w:rPr>
        <w:t>委员会和其他管理、咨询类组织组成人员和负责人选任等重要事项。</w:t>
      </w:r>
    </w:p>
    <w:p w14:paraId="1D6FF4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（七）学院表彰、奖励，上级重要表彰、奖励人选推荐等重要事项。</w:t>
      </w:r>
    </w:p>
    <w:p w14:paraId="26791C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（八）按规定需要</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会议讨论决定的其他事项。</w:t>
      </w:r>
    </w:p>
    <w:p w14:paraId="38CA2BE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cs="黑体"/>
          <w:b/>
          <w:sz w:val="32"/>
          <w:szCs w:val="32"/>
        </w:rPr>
        <w:t>第五条</w:t>
      </w:r>
      <w:r>
        <w:rPr>
          <w:rFonts w:hint="eastAsia" w:ascii="仿宋_GB2312" w:hAnsi="宋体" w:eastAsia="仿宋_GB2312" w:cs="黑体"/>
          <w:sz w:val="32"/>
          <w:szCs w:val="32"/>
        </w:rPr>
        <w:t xml:space="preserve"> </w:t>
      </w:r>
      <w:r>
        <w:rPr>
          <w:rFonts w:hint="eastAsia" w:ascii="仿宋_GB2312" w:hAnsi="宋体" w:eastAsia="仿宋_GB2312"/>
          <w:sz w:val="32"/>
          <w:szCs w:val="32"/>
        </w:rPr>
        <w:t>由院党委会会议研究形成决议或决定，并提交</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会议成员共同研究落实的事项。主要包括：</w:t>
      </w:r>
    </w:p>
    <w:p w14:paraId="5FDA02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（一）贯彻落实学校</w:t>
      </w:r>
      <w:r>
        <w:rPr>
          <w:rFonts w:hint="eastAsia" w:ascii="仿宋_GB2312" w:hAnsi="宋体" w:eastAsia="仿宋_GB2312"/>
          <w:sz w:val="32"/>
          <w:szCs w:val="32"/>
          <w:lang w:val="en-US" w:eastAsia="zh-CN"/>
        </w:rPr>
        <w:t>和学院</w:t>
      </w:r>
      <w:r>
        <w:rPr>
          <w:rFonts w:hint="eastAsia" w:ascii="仿宋_GB2312" w:hAnsi="宋体" w:eastAsia="仿宋_GB2312"/>
          <w:sz w:val="32"/>
          <w:szCs w:val="32"/>
        </w:rPr>
        <w:t>党委关于加强</w:t>
      </w:r>
      <w:r>
        <w:rPr>
          <w:rFonts w:hint="eastAsia" w:ascii="仿宋_GB2312" w:hAnsi="宋体" w:eastAsia="仿宋_GB2312"/>
          <w:color w:val="000000" w:themeColor="text1"/>
          <w:sz w:val="32"/>
          <w:szCs w:val="32"/>
          <w14:textFill>
            <w14:solidFill>
              <w14:schemeClr w14:val="tx1"/>
            </w14:solidFill>
          </w14:textFill>
        </w:rPr>
        <w:t>学</w:t>
      </w:r>
      <w:r>
        <w:rPr>
          <w:rFonts w:hint="eastAsia" w:ascii="仿宋_GB2312" w:hAnsi="宋体" w:eastAsia="仿宋_GB2312"/>
          <w:sz w:val="32"/>
          <w:szCs w:val="32"/>
        </w:rPr>
        <w:t>院党的领导和党的建设有关决策部署的具体措施。</w:t>
      </w:r>
    </w:p>
    <w:p w14:paraId="6ED885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（二）师生思想政治工作、教风学风和师德师风建设有关事项。</w:t>
      </w:r>
    </w:p>
    <w:p w14:paraId="5069B0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（三）意识形态、统一战线</w:t>
      </w:r>
      <w:r>
        <w:rPr>
          <w:rFonts w:hint="eastAsia" w:ascii="仿宋_GB2312" w:hAnsi="宋体" w:eastAsia="仿宋_GB2312"/>
          <w:sz w:val="32"/>
          <w:szCs w:val="32"/>
          <w:lang w:eastAsia="zh-CN"/>
        </w:rPr>
        <w:t>、</w:t>
      </w:r>
      <w:r>
        <w:rPr>
          <w:rFonts w:hint="eastAsia" w:ascii="仿宋_GB2312" w:hAnsi="宋体" w:eastAsia="仿宋_GB2312"/>
          <w:sz w:val="32"/>
          <w:szCs w:val="32"/>
        </w:rPr>
        <w:t>安全稳定</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保密</w:t>
      </w:r>
      <w:r>
        <w:rPr>
          <w:rFonts w:hint="eastAsia" w:ascii="仿宋_GB2312" w:hAnsi="宋体" w:eastAsia="仿宋_GB2312"/>
          <w:sz w:val="32"/>
          <w:szCs w:val="32"/>
        </w:rPr>
        <w:t>工作有关事项。</w:t>
      </w:r>
    </w:p>
    <w:p w14:paraId="6C606E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（四）全面从严治党和巡视整改工作有关事项。</w:t>
      </w:r>
    </w:p>
    <w:p w14:paraId="137FF3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（五）其他需要提请</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会议成员共同研究落实的重要事项。</w:t>
      </w:r>
    </w:p>
    <w:p w14:paraId="051DE444">
      <w:pPr>
        <w:pStyle w:val="8"/>
        <w:keepNext w:val="0"/>
        <w:keepLines w:val="0"/>
        <w:pageBreakBefore w:val="0"/>
        <w:widowControl w:val="0"/>
        <w:kinsoku/>
        <w:wordWrap/>
        <w:overflowPunct/>
        <w:topLinePunct w:val="0"/>
        <w:bidi w:val="0"/>
        <w:adjustRightInd/>
        <w:snapToGrid/>
        <w:spacing w:line="560" w:lineRule="exact"/>
        <w:jc w:val="center"/>
        <w:textAlignment w:val="auto"/>
        <w:rPr>
          <w:rFonts w:hint="eastAsia" w:ascii="黑体" w:hAnsi="黑体" w:eastAsia="黑体" w:cs="黑体"/>
          <w:b w:val="0"/>
          <w:bCs w:val="0"/>
          <w:sz w:val="32"/>
          <w:szCs w:val="32"/>
        </w:rPr>
      </w:pPr>
      <w:r>
        <w:rPr>
          <w:rFonts w:hint="eastAsia" w:cs="黑体"/>
          <w:b w:val="0"/>
          <w:bCs w:val="0"/>
          <w:sz w:val="32"/>
          <w:szCs w:val="32"/>
          <w:lang w:val="en-US" w:eastAsia="zh-CN"/>
        </w:rPr>
        <w:t xml:space="preserve">第三章  </w:t>
      </w:r>
      <w:r>
        <w:rPr>
          <w:rFonts w:hint="eastAsia" w:ascii="黑体" w:hAnsi="黑体" w:eastAsia="黑体" w:cs="黑体"/>
          <w:b w:val="0"/>
          <w:bCs w:val="0"/>
          <w:sz w:val="32"/>
          <w:szCs w:val="32"/>
        </w:rPr>
        <w:t>议事决策原则和程序</w:t>
      </w:r>
    </w:p>
    <w:p w14:paraId="6ADF451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cs="黑体"/>
          <w:b/>
          <w:sz w:val="32"/>
          <w:szCs w:val="32"/>
        </w:rPr>
        <w:t>第六条</w:t>
      </w:r>
      <w:r>
        <w:rPr>
          <w:rFonts w:hint="eastAsia" w:ascii="仿宋_GB2312" w:hAnsi="宋体" w:eastAsia="仿宋_GB2312"/>
          <w:sz w:val="32"/>
          <w:szCs w:val="32"/>
        </w:rPr>
        <w:t xml:space="preserve"> </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会议一般每</w:t>
      </w:r>
      <w:r>
        <w:rPr>
          <w:rFonts w:hint="eastAsia" w:ascii="仿宋_GB2312" w:hAnsi="宋体" w:eastAsia="仿宋_GB2312"/>
          <w:sz w:val="32"/>
          <w:szCs w:val="32"/>
          <w:highlight w:val="none"/>
          <w:lang w:val="en-US" w:eastAsia="zh-CN"/>
        </w:rPr>
        <w:t>1-2</w:t>
      </w:r>
      <w:r>
        <w:rPr>
          <w:rFonts w:hint="eastAsia" w:ascii="仿宋_GB2312" w:hAnsi="宋体" w:eastAsia="仿宋_GB2312"/>
          <w:sz w:val="32"/>
          <w:szCs w:val="32"/>
        </w:rPr>
        <w:t>周召开一次，遇有重要情况经党委书记、院长协商同意可以随时召开。会议</w:t>
      </w:r>
      <w:r>
        <w:rPr>
          <w:rFonts w:hint="eastAsia" w:ascii="仿宋_GB2312" w:hAnsi="宋体" w:eastAsia="仿宋_GB2312"/>
          <w:color w:val="000000" w:themeColor="text1"/>
          <w:sz w:val="32"/>
          <w:szCs w:val="32"/>
          <w14:textFill>
            <w14:solidFill>
              <w14:schemeClr w14:val="tx1"/>
            </w14:solidFill>
          </w14:textFill>
        </w:rPr>
        <w:t>一般</w:t>
      </w:r>
      <w:r>
        <w:rPr>
          <w:rFonts w:hint="eastAsia" w:ascii="仿宋_GB2312" w:hAnsi="宋体" w:eastAsia="仿宋_GB2312"/>
          <w:sz w:val="32"/>
          <w:szCs w:val="32"/>
        </w:rPr>
        <w:t>由党委书记主持。党委书记不能参加会议的，</w:t>
      </w:r>
      <w:r>
        <w:rPr>
          <w:rFonts w:hint="eastAsia" w:ascii="仿宋_GB2312" w:hAnsi="宋体" w:eastAsia="仿宋_GB2312"/>
          <w:sz w:val="32"/>
          <w:szCs w:val="32"/>
          <w:lang w:val="en-US" w:eastAsia="zh-CN"/>
        </w:rPr>
        <w:t>由</w:t>
      </w:r>
      <w:r>
        <w:rPr>
          <w:rFonts w:hint="eastAsia" w:ascii="仿宋_GB2312" w:hAnsi="宋体" w:eastAsia="仿宋_GB2312"/>
          <w:sz w:val="32"/>
          <w:szCs w:val="32"/>
        </w:rPr>
        <w:t>院长召集并主持。</w:t>
      </w:r>
    </w:p>
    <w:p w14:paraId="6F2DF14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sz w:val="32"/>
          <w:szCs w:val="32"/>
        </w:rPr>
      </w:pPr>
      <w:r>
        <w:rPr>
          <w:rFonts w:hint="eastAsia" w:ascii="仿宋_GB2312" w:hAnsi="宋体" w:eastAsia="仿宋_GB2312" w:cs="黑体"/>
          <w:b/>
          <w:sz w:val="32"/>
          <w:szCs w:val="32"/>
        </w:rPr>
        <w:t>第七条</w:t>
      </w:r>
      <w:r>
        <w:rPr>
          <w:rFonts w:hint="eastAsia" w:ascii="仿宋_GB2312" w:hAnsi="宋体" w:eastAsia="仿宋_GB2312"/>
          <w:sz w:val="32"/>
          <w:szCs w:val="32"/>
        </w:rPr>
        <w:t xml:space="preserve"> </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会议成员为院党政领导班子成员。会议必须有半数以上成员到会方可召开</w:t>
      </w:r>
      <w:r>
        <w:rPr>
          <w:rFonts w:hint="eastAsia" w:ascii="仿宋_GB2312" w:hAnsi="宋体" w:eastAsia="仿宋_GB2312"/>
          <w:sz w:val="32"/>
          <w:szCs w:val="32"/>
          <w:lang w:eastAsia="zh-CN"/>
        </w:rPr>
        <w:t>；</w:t>
      </w:r>
      <w:r>
        <w:rPr>
          <w:rFonts w:hint="eastAsia" w:ascii="仿宋_GB2312" w:hAnsi="宋体" w:eastAsia="仿宋_GB2312"/>
          <w:sz w:val="32"/>
          <w:szCs w:val="32"/>
        </w:rPr>
        <w:t>对重大事项进行决策时</w:t>
      </w:r>
      <w:r>
        <w:rPr>
          <w:rFonts w:hint="eastAsia" w:ascii="仿宋_GB2312" w:hAnsi="宋体" w:eastAsia="仿宋_GB2312"/>
          <w:sz w:val="32"/>
          <w:szCs w:val="32"/>
          <w:lang w:eastAsia="zh-CN"/>
        </w:rPr>
        <w:t>，</w:t>
      </w:r>
      <w:r>
        <w:rPr>
          <w:rFonts w:hint="eastAsia" w:ascii="仿宋_GB2312" w:hAnsi="宋体" w:eastAsia="仿宋_GB2312"/>
          <w:sz w:val="32"/>
          <w:szCs w:val="32"/>
        </w:rPr>
        <w:t>必须有三分之二以上成员到会。因故不能参加会议的，须在会前向主持人请假。根据议题需要，由党委书记、院长协商确定列席人员。列席人员有发言权，没有表决权。</w:t>
      </w:r>
    </w:p>
    <w:p w14:paraId="4D56930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sz w:val="32"/>
          <w:szCs w:val="32"/>
        </w:rPr>
      </w:pPr>
      <w:r>
        <w:rPr>
          <w:rFonts w:hint="eastAsia" w:ascii="仿宋_GB2312" w:hAnsi="宋体" w:eastAsia="仿宋_GB2312" w:cs="黑体"/>
          <w:b/>
          <w:sz w:val="32"/>
          <w:szCs w:val="32"/>
        </w:rPr>
        <w:t>第八条</w:t>
      </w:r>
      <w:r>
        <w:rPr>
          <w:rFonts w:hint="eastAsia" w:ascii="仿宋_GB2312" w:hAnsi="宋体" w:eastAsia="仿宋_GB2312"/>
          <w:sz w:val="32"/>
          <w:szCs w:val="32"/>
        </w:rPr>
        <w:t xml:space="preserve"> </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会议议题由党政领导班子成员提出，由党委书记、院长协商确定。对重要议题，党委书记、院长应当在会前互相沟通，意见不一致的应暂缓上会。集体决定重大事项前，党委书记、院长和</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会议有关成员要个别酝酿、充分沟通。</w:t>
      </w:r>
    </w:p>
    <w:p w14:paraId="4C09EF8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cs="黑体"/>
          <w:b/>
          <w:sz w:val="32"/>
          <w:szCs w:val="32"/>
        </w:rPr>
        <w:t>第九条</w:t>
      </w:r>
      <w:r>
        <w:rPr>
          <w:rFonts w:hint="eastAsia" w:ascii="仿宋_GB2312" w:hAnsi="宋体" w:eastAsia="仿宋_GB2312"/>
          <w:sz w:val="32"/>
          <w:szCs w:val="32"/>
        </w:rPr>
        <w:t xml:space="preserve"> </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要坚持科学决策、民主决策、依法决策。对拟研究讨论的重要事项，会前应深入调查研究，充分听取各方面意见，视情况进行合法合规性审查和风险评估。涉及教学科研、人才引进和学科建设中的重要事项，应充分听取</w:t>
      </w:r>
      <w:r>
        <w:rPr>
          <w:rFonts w:hint="eastAsia" w:ascii="仿宋_GB2312" w:hAnsi="宋体" w:eastAsia="仿宋_GB2312"/>
          <w:sz w:val="32"/>
          <w:szCs w:val="32"/>
          <w:lang w:val="en-US" w:eastAsia="zh-CN"/>
        </w:rPr>
        <w:t>学术委员会</w:t>
      </w:r>
      <w:r>
        <w:rPr>
          <w:rFonts w:hint="eastAsia" w:ascii="仿宋_GB2312" w:hAnsi="宋体" w:eastAsia="仿宋_GB2312"/>
          <w:sz w:val="32"/>
          <w:szCs w:val="32"/>
        </w:rPr>
        <w:t>、教学委员会、学位评定分委员会</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长聘与晋升委员会</w:t>
      </w:r>
      <w:r>
        <w:rPr>
          <w:rFonts w:hint="eastAsia" w:ascii="仿宋_GB2312" w:hAnsi="宋体" w:eastAsia="仿宋_GB2312"/>
          <w:sz w:val="32"/>
          <w:szCs w:val="32"/>
        </w:rPr>
        <w:t>等的意见。对事关师生员工切身利益的重要事项，应通过</w:t>
      </w:r>
      <w:r>
        <w:rPr>
          <w:rFonts w:hint="eastAsia" w:ascii="仿宋" w:hAnsi="仿宋" w:eastAsia="仿宋"/>
          <w:sz w:val="32"/>
          <w:szCs w:val="32"/>
        </w:rPr>
        <w:t>教职工代表大会</w:t>
      </w:r>
      <w:r>
        <w:rPr>
          <w:rFonts w:hint="eastAsia" w:ascii="仿宋_GB2312" w:hAnsi="宋体" w:eastAsia="仿宋_GB2312"/>
          <w:sz w:val="32"/>
          <w:szCs w:val="32"/>
        </w:rPr>
        <w:t>或其他方式，广泛听取师生员工的意见。</w:t>
      </w:r>
    </w:p>
    <w:p w14:paraId="0B5BF5D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cs="黑体"/>
          <w:b/>
          <w:sz w:val="32"/>
          <w:szCs w:val="32"/>
        </w:rPr>
        <w:t>第十条</w:t>
      </w:r>
      <w:r>
        <w:rPr>
          <w:rFonts w:hint="eastAsia" w:ascii="仿宋_GB2312" w:hAnsi="宋体" w:eastAsia="仿宋_GB2312"/>
          <w:sz w:val="32"/>
          <w:szCs w:val="32"/>
        </w:rPr>
        <w:t xml:space="preserve"> </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会议议题一事一报，议题相关材料应提前提交党政办公室汇总，党政办公室应提前将会议议题及相关材料送达有关参会人员。</w:t>
      </w:r>
    </w:p>
    <w:p w14:paraId="2C9CE8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会议按既定议程逐项进行，无特殊情况或未经党委书记、院长同意，不临时动议议题。</w:t>
      </w:r>
    </w:p>
    <w:p w14:paraId="288EFA1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cs="黑体"/>
          <w:b/>
          <w:sz w:val="32"/>
          <w:szCs w:val="32"/>
        </w:rPr>
        <w:t>第十一条</w:t>
      </w:r>
      <w:r>
        <w:rPr>
          <w:rFonts w:hint="eastAsia" w:ascii="仿宋_GB2312" w:hAnsi="宋体" w:eastAsia="仿宋_GB2312" w:cs="黑体"/>
          <w:sz w:val="32"/>
          <w:szCs w:val="32"/>
        </w:rPr>
        <w:t xml:space="preserve"> </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会议议事和决策实行民主集中制，在充分讨论的基础上，按照少数服从多数的原则形成决议或决定。如对重要问题发生较大意见分歧，应当暂缓作出决定。党委书记、院长应当最后表态</w:t>
      </w:r>
      <w:r>
        <w:rPr>
          <w:rFonts w:hint="eastAsia" w:ascii="仿宋_GB2312" w:hAnsi="宋体" w:eastAsia="仿宋_GB2312"/>
          <w:sz w:val="32"/>
          <w:szCs w:val="32"/>
          <w:lang w:eastAsia="zh-CN"/>
        </w:rPr>
        <w:t>。</w:t>
      </w:r>
    </w:p>
    <w:p w14:paraId="67C672E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cs="黑体"/>
          <w:b/>
          <w:sz w:val="32"/>
          <w:szCs w:val="32"/>
        </w:rPr>
        <w:t>第十二条</w:t>
      </w:r>
      <w:r>
        <w:rPr>
          <w:rFonts w:hint="eastAsia" w:ascii="仿宋_GB2312" w:hAnsi="宋体" w:eastAsia="仿宋_GB2312"/>
          <w:sz w:val="32"/>
          <w:szCs w:val="32"/>
        </w:rPr>
        <w:t xml:space="preserve"> </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讨论决定重要事项时应当进行表决，表决方式可以根据讨论和决定事项的不同，采用口头、举手、无记名投票或者记名投票等方式进行，赞成票超过应到会正式成员半数为通过。未到会成员的意见可以用书面形式表达，但不得计入票数。会议讨论和决定多个事项，应当逐项表决。</w:t>
      </w:r>
    </w:p>
    <w:p w14:paraId="5D2DE6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紧急情况下不能及时召开</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会议决策的，党委书记、院长或党政领导班子其他成员可以临机处置，事后应当及时向</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会议报告并按程序予以确认。</w:t>
      </w:r>
    </w:p>
    <w:p w14:paraId="15C9056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cs="黑体"/>
          <w:b/>
          <w:sz w:val="32"/>
          <w:szCs w:val="32"/>
        </w:rPr>
        <w:t>第十三条</w:t>
      </w:r>
      <w:r>
        <w:rPr>
          <w:rFonts w:hint="eastAsia" w:ascii="仿宋_GB2312" w:hAnsi="宋体" w:eastAsia="仿宋_GB2312"/>
          <w:sz w:val="32"/>
          <w:szCs w:val="32"/>
        </w:rPr>
        <w:t xml:space="preserve"> </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会议决议分为以下几种：批准或通过；原则批准或原则通过，按要求作相应修改后实施或发布；暂不形成决议，责成相关负责人或相关单位另行提出意见再行研究；不予批准或不予通过。</w:t>
      </w:r>
    </w:p>
    <w:p w14:paraId="28DE6C0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cs="黑体"/>
          <w:b/>
          <w:sz w:val="32"/>
          <w:szCs w:val="32"/>
        </w:rPr>
        <w:t>第十四条</w:t>
      </w:r>
      <w:r>
        <w:rPr>
          <w:rFonts w:hint="eastAsia" w:ascii="仿宋_GB2312" w:hAnsi="宋体" w:eastAsia="仿宋_GB2312"/>
          <w:sz w:val="32"/>
          <w:szCs w:val="32"/>
        </w:rPr>
        <w:t xml:space="preserve"> </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会议议题涉及与会人员本人或者其亲属以及其他可能影响公正决策的情形，本人必须回避。</w:t>
      </w:r>
    </w:p>
    <w:p w14:paraId="0885E02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sz w:val="32"/>
          <w:szCs w:val="32"/>
        </w:rPr>
      </w:pPr>
      <w:r>
        <w:rPr>
          <w:rFonts w:hint="eastAsia" w:ascii="仿宋_GB2312" w:hAnsi="宋体" w:eastAsia="仿宋_GB2312" w:cs="黑体"/>
          <w:b/>
          <w:sz w:val="32"/>
          <w:szCs w:val="32"/>
        </w:rPr>
        <w:t>第十五条</w:t>
      </w:r>
      <w:r>
        <w:rPr>
          <w:rFonts w:hint="eastAsia" w:ascii="仿宋_GB2312" w:hAnsi="宋体" w:eastAsia="仿宋_GB2312"/>
          <w:sz w:val="32"/>
          <w:szCs w:val="32"/>
        </w:rPr>
        <w:t xml:space="preserve"> </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会议作出的决议或决定，适合公开的应当依据有关规定及时公开。对需保密的会议内容和尚未正式公布的会议决定，参会人员应当遵守保密规定。</w:t>
      </w:r>
    </w:p>
    <w:p w14:paraId="1357577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sz w:val="32"/>
          <w:szCs w:val="32"/>
        </w:rPr>
      </w:pPr>
      <w:r>
        <w:rPr>
          <w:rFonts w:hint="eastAsia" w:ascii="仿宋_GB2312" w:hAnsi="宋体" w:eastAsia="仿宋_GB2312" w:cs="黑体"/>
          <w:b/>
          <w:sz w:val="32"/>
          <w:szCs w:val="32"/>
        </w:rPr>
        <w:t>第十六条</w:t>
      </w:r>
      <w:r>
        <w:rPr>
          <w:rFonts w:hint="eastAsia" w:ascii="仿宋_GB2312" w:hAnsi="宋体" w:eastAsia="仿宋_GB2312"/>
          <w:sz w:val="32"/>
          <w:szCs w:val="32"/>
        </w:rPr>
        <w:t xml:space="preserve"> 党政联席会议应由专人负责记录，并形成会议纪要，由党委书记、院长审定后归档。</w:t>
      </w:r>
    </w:p>
    <w:p w14:paraId="3F6E1729">
      <w:pPr>
        <w:pStyle w:val="8"/>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rPr>
      </w:pPr>
      <w:r>
        <w:rPr>
          <w:rFonts w:hint="eastAsia" w:cs="黑体"/>
          <w:b w:val="0"/>
          <w:bCs w:val="0"/>
          <w:sz w:val="32"/>
          <w:szCs w:val="32"/>
          <w:lang w:val="en-US" w:eastAsia="zh-CN"/>
        </w:rPr>
        <w:t xml:space="preserve">第四章  </w:t>
      </w:r>
      <w:r>
        <w:rPr>
          <w:rFonts w:hint="eastAsia" w:ascii="黑体" w:hAnsi="黑体" w:eastAsia="黑体" w:cs="黑体"/>
          <w:b w:val="0"/>
          <w:bCs w:val="0"/>
          <w:sz w:val="32"/>
          <w:szCs w:val="32"/>
        </w:rPr>
        <w:t>议定事项执行与监督</w:t>
      </w:r>
    </w:p>
    <w:p w14:paraId="4193581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cs="黑体"/>
          <w:b/>
          <w:sz w:val="32"/>
          <w:szCs w:val="32"/>
        </w:rPr>
        <w:t>第十</w:t>
      </w:r>
      <w:r>
        <w:rPr>
          <w:rFonts w:hint="eastAsia" w:ascii="仿宋_GB2312" w:hAnsi="宋体" w:eastAsia="仿宋_GB2312" w:cs="黑体"/>
          <w:b/>
          <w:sz w:val="32"/>
          <w:szCs w:val="32"/>
          <w:lang w:val="en-US" w:eastAsia="zh-CN"/>
        </w:rPr>
        <w:t>七</w:t>
      </w:r>
      <w:r>
        <w:rPr>
          <w:rFonts w:hint="eastAsia" w:ascii="仿宋_GB2312" w:hAnsi="宋体" w:eastAsia="仿宋_GB2312" w:cs="黑体"/>
          <w:b/>
          <w:sz w:val="32"/>
          <w:szCs w:val="32"/>
        </w:rPr>
        <w:t>条</w:t>
      </w:r>
      <w:r>
        <w:rPr>
          <w:rFonts w:hint="eastAsia" w:ascii="仿宋_GB2312" w:hAnsi="宋体" w:eastAsia="仿宋_GB2312"/>
          <w:sz w:val="32"/>
          <w:szCs w:val="32"/>
        </w:rPr>
        <w:t xml:space="preserve"> </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会议决定的事项，由分管领导或相关单位负责组织实施，执行情况应当及时向</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会议汇报。明确由相关单位负责的，</w:t>
      </w:r>
      <w:r>
        <w:rPr>
          <w:rFonts w:hint="eastAsia" w:ascii="仿宋_GB2312" w:hAnsi="宋体" w:eastAsia="仿宋_GB2312"/>
          <w:sz w:val="32"/>
          <w:szCs w:val="32"/>
          <w:lang w:val="en-US" w:eastAsia="zh-CN"/>
        </w:rPr>
        <w:t>由院</w:t>
      </w:r>
      <w:r>
        <w:rPr>
          <w:rFonts w:hint="eastAsia" w:ascii="仿宋_GB2312" w:hAnsi="宋体" w:eastAsia="仿宋_GB2312"/>
          <w:sz w:val="32"/>
          <w:szCs w:val="32"/>
        </w:rPr>
        <w:t>党政办公室负责传达和</w:t>
      </w:r>
      <w:r>
        <w:rPr>
          <w:rFonts w:hint="eastAsia" w:ascii="仿宋_GB2312" w:hAnsi="宋体" w:eastAsia="仿宋_GB2312"/>
          <w:sz w:val="32"/>
          <w:szCs w:val="32"/>
          <w:lang w:val="en-US" w:eastAsia="zh-CN"/>
        </w:rPr>
        <w:t>督办。</w:t>
      </w:r>
      <w:r>
        <w:rPr>
          <w:rFonts w:hint="eastAsia" w:ascii="仿宋_GB2312" w:hAnsi="宋体" w:eastAsia="仿宋_GB2312"/>
          <w:sz w:val="32"/>
          <w:szCs w:val="32"/>
        </w:rPr>
        <w:t>学院</w:t>
      </w:r>
      <w:r>
        <w:rPr>
          <w:rFonts w:hint="eastAsia" w:ascii="仿宋_GB2312" w:hAnsi="宋体" w:eastAsia="仿宋_GB2312"/>
          <w:sz w:val="32"/>
          <w:szCs w:val="32"/>
          <w:lang w:val="en-US" w:eastAsia="zh-CN"/>
        </w:rPr>
        <w:t>应</w:t>
      </w:r>
      <w:r>
        <w:rPr>
          <w:rFonts w:hint="eastAsia" w:ascii="仿宋_GB2312" w:hAnsi="宋体" w:eastAsia="仿宋_GB2312"/>
          <w:sz w:val="32"/>
          <w:szCs w:val="32"/>
        </w:rPr>
        <w:t>建立有效的督查、评估和反馈机制，确保决策落实。纪委书记要加强对</w:t>
      </w:r>
      <w:r>
        <w:rPr>
          <w:rFonts w:hint="eastAsia" w:ascii="仿宋_GB2312" w:hAnsi="宋体" w:eastAsia="仿宋_GB2312"/>
          <w:sz w:val="32"/>
          <w:szCs w:val="32"/>
          <w:lang w:val="en-US" w:eastAsia="zh-CN"/>
        </w:rPr>
        <w:t>学院</w:t>
      </w:r>
      <w:r>
        <w:rPr>
          <w:rFonts w:hint="eastAsia" w:ascii="仿宋_GB2312" w:hAnsi="宋体" w:eastAsia="仿宋_GB2312"/>
          <w:sz w:val="32"/>
          <w:szCs w:val="32"/>
        </w:rPr>
        <w:t>党政联席会议议事规则执行情况及会议决定事项落实情况的监督，确保程序规范、执行有力。</w:t>
      </w:r>
    </w:p>
    <w:p w14:paraId="6603887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cs="黑体"/>
          <w:b/>
          <w:sz w:val="32"/>
          <w:szCs w:val="32"/>
        </w:rPr>
        <w:t>第十</w:t>
      </w:r>
      <w:r>
        <w:rPr>
          <w:rFonts w:hint="eastAsia" w:ascii="仿宋_GB2312" w:hAnsi="宋体" w:eastAsia="仿宋_GB2312" w:cs="黑体"/>
          <w:b/>
          <w:sz w:val="32"/>
          <w:szCs w:val="32"/>
          <w:lang w:val="en-US" w:eastAsia="zh-CN"/>
        </w:rPr>
        <w:t>八</w:t>
      </w:r>
      <w:r>
        <w:rPr>
          <w:rFonts w:hint="eastAsia" w:ascii="仿宋_GB2312" w:hAnsi="宋体" w:eastAsia="仿宋_GB2312" w:cs="黑体"/>
          <w:b/>
          <w:sz w:val="32"/>
          <w:szCs w:val="32"/>
        </w:rPr>
        <w:t>条</w:t>
      </w:r>
      <w:r>
        <w:rPr>
          <w:rFonts w:hint="eastAsia" w:ascii="仿宋_GB2312" w:hAnsi="宋体" w:eastAsia="仿宋_GB2312" w:cs="黑体"/>
          <w:sz w:val="32"/>
          <w:szCs w:val="32"/>
        </w:rPr>
        <w:t xml:space="preserve"> </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会议决定的事项，院各单位和个人应当及时执行。对执行不力的，应当依照有关规定问责追责；决策执行过程中需作重大调整的，应当提交</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会议决定；需要复议的，应根据决策程序重新提交议题。</w:t>
      </w:r>
    </w:p>
    <w:p w14:paraId="1FBC12D2">
      <w:pPr>
        <w:pStyle w:val="8"/>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rPr>
      </w:pPr>
      <w:r>
        <w:rPr>
          <w:rFonts w:hint="eastAsia" w:cs="黑体"/>
          <w:b w:val="0"/>
          <w:bCs w:val="0"/>
          <w:sz w:val="32"/>
          <w:szCs w:val="32"/>
          <w:lang w:val="en-US" w:eastAsia="zh-CN"/>
        </w:rPr>
        <w:t xml:space="preserve">第五章  </w:t>
      </w:r>
      <w:r>
        <w:rPr>
          <w:rFonts w:hint="eastAsia" w:ascii="黑体" w:hAnsi="黑体" w:eastAsia="黑体" w:cs="黑体"/>
          <w:b w:val="0"/>
          <w:bCs w:val="0"/>
          <w:sz w:val="32"/>
          <w:szCs w:val="32"/>
        </w:rPr>
        <w:t>附 则</w:t>
      </w:r>
    </w:p>
    <w:p w14:paraId="0C3D781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sz w:val="32"/>
          <w:szCs w:val="32"/>
        </w:rPr>
      </w:pPr>
      <w:r>
        <w:rPr>
          <w:rFonts w:hint="eastAsia" w:ascii="仿宋_GB2312" w:hAnsi="宋体" w:eastAsia="仿宋_GB2312" w:cs="黑体"/>
          <w:b/>
          <w:sz w:val="32"/>
          <w:szCs w:val="32"/>
        </w:rPr>
        <w:t>第十</w:t>
      </w:r>
      <w:r>
        <w:rPr>
          <w:rFonts w:hint="eastAsia" w:ascii="仿宋_GB2312" w:hAnsi="宋体" w:eastAsia="仿宋_GB2312" w:cs="黑体"/>
          <w:b/>
          <w:sz w:val="32"/>
          <w:szCs w:val="32"/>
          <w:lang w:val="en-US" w:eastAsia="zh-CN"/>
        </w:rPr>
        <w:t>九</w:t>
      </w:r>
      <w:r>
        <w:rPr>
          <w:rFonts w:hint="eastAsia" w:ascii="仿宋_GB2312" w:hAnsi="宋体" w:eastAsia="仿宋_GB2312" w:cs="黑体"/>
          <w:b/>
          <w:sz w:val="32"/>
          <w:szCs w:val="32"/>
        </w:rPr>
        <w:t>条</w:t>
      </w:r>
      <w:r>
        <w:rPr>
          <w:rFonts w:hint="eastAsia" w:ascii="仿宋_GB2312" w:hAnsi="宋体" w:eastAsia="仿宋_GB2312"/>
          <w:sz w:val="32"/>
          <w:szCs w:val="32"/>
        </w:rPr>
        <w:t xml:space="preserve"> 党政办公室负责</w:t>
      </w:r>
      <w:r>
        <w:rPr>
          <w:rFonts w:hint="eastAsia" w:ascii="仿宋_GB2312" w:hAnsi="宋体" w:eastAsia="仿宋_GB2312"/>
          <w:sz w:val="32"/>
          <w:szCs w:val="32"/>
          <w:lang w:eastAsia="zh-CN"/>
        </w:rPr>
        <w:t>党政联席</w:t>
      </w:r>
      <w:r>
        <w:rPr>
          <w:rFonts w:hint="eastAsia" w:ascii="仿宋_GB2312" w:hAnsi="宋体" w:eastAsia="仿宋_GB2312"/>
          <w:sz w:val="32"/>
          <w:szCs w:val="32"/>
        </w:rPr>
        <w:t>会议的会务工作。</w:t>
      </w:r>
    </w:p>
    <w:p w14:paraId="679EBC7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cs="黑体"/>
          <w:b/>
          <w:sz w:val="32"/>
          <w:szCs w:val="32"/>
        </w:rPr>
        <w:t>第</w:t>
      </w:r>
      <w:r>
        <w:rPr>
          <w:rFonts w:hint="eastAsia" w:ascii="仿宋_GB2312" w:hAnsi="宋体" w:eastAsia="仿宋_GB2312" w:cs="黑体"/>
          <w:b/>
          <w:sz w:val="32"/>
          <w:szCs w:val="32"/>
          <w:lang w:val="en-US" w:eastAsia="zh-CN"/>
        </w:rPr>
        <w:t>二十</w:t>
      </w:r>
      <w:r>
        <w:rPr>
          <w:rFonts w:hint="eastAsia" w:ascii="仿宋_GB2312" w:hAnsi="宋体" w:eastAsia="仿宋_GB2312" w:cs="黑体"/>
          <w:b/>
          <w:sz w:val="32"/>
          <w:szCs w:val="32"/>
        </w:rPr>
        <w:t>条</w:t>
      </w:r>
      <w:r>
        <w:rPr>
          <w:rFonts w:hint="eastAsia" w:ascii="仿宋_GB2312" w:hAnsi="宋体" w:eastAsia="仿宋_GB2312"/>
          <w:sz w:val="32"/>
          <w:szCs w:val="32"/>
        </w:rPr>
        <w:t xml:space="preserve"> 本规则由学院党政联席会议负责解释，具体工作由学院党政办公室承担。</w:t>
      </w:r>
    </w:p>
    <w:p w14:paraId="4DF68C5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cs="黑体"/>
          <w:b/>
          <w:sz w:val="32"/>
          <w:szCs w:val="32"/>
        </w:rPr>
        <w:t>第二十</w:t>
      </w:r>
      <w:r>
        <w:rPr>
          <w:rFonts w:hint="eastAsia" w:ascii="仿宋_GB2312" w:hAnsi="宋体" w:eastAsia="仿宋_GB2312" w:cs="黑体"/>
          <w:b/>
          <w:sz w:val="32"/>
          <w:szCs w:val="32"/>
          <w:lang w:val="en-US" w:eastAsia="zh-CN"/>
        </w:rPr>
        <w:t>一</w:t>
      </w:r>
      <w:r>
        <w:rPr>
          <w:rFonts w:hint="eastAsia" w:ascii="仿宋_GB2312" w:hAnsi="宋体" w:eastAsia="仿宋_GB2312" w:cs="黑体"/>
          <w:b/>
          <w:sz w:val="32"/>
          <w:szCs w:val="32"/>
        </w:rPr>
        <w:t>条</w:t>
      </w:r>
      <w:r>
        <w:rPr>
          <w:rFonts w:hint="eastAsia" w:ascii="仿宋_GB2312" w:hAnsi="宋体" w:eastAsia="仿宋_GB2312"/>
          <w:sz w:val="32"/>
          <w:szCs w:val="32"/>
        </w:rPr>
        <w:t xml:space="preserve"> 本规则自</w:t>
      </w:r>
      <w:r>
        <w:rPr>
          <w:rFonts w:hint="eastAsia" w:ascii="仿宋_GB2312" w:hAnsi="宋体" w:eastAsia="仿宋_GB2312"/>
          <w:sz w:val="32"/>
          <w:szCs w:val="32"/>
          <w:lang w:val="en-US" w:eastAsia="zh-CN"/>
        </w:rPr>
        <w:t>公布</w:t>
      </w:r>
      <w:r>
        <w:rPr>
          <w:rFonts w:hint="eastAsia" w:ascii="仿宋_GB2312" w:hAnsi="宋体" w:eastAsia="仿宋_GB2312"/>
          <w:sz w:val="32"/>
          <w:szCs w:val="32"/>
        </w:rPr>
        <w:t>之日起施行。</w:t>
      </w:r>
    </w:p>
    <w:p w14:paraId="39937D66">
      <w:pPr>
        <w:keepNext w:val="0"/>
        <w:keepLines w:val="0"/>
        <w:pageBreakBefore w:val="0"/>
        <w:widowControl w:val="0"/>
        <w:kinsoku/>
        <w:wordWrap/>
        <w:overflowPunct/>
        <w:topLinePunct w:val="0"/>
        <w:autoSpaceDE/>
        <w:autoSpaceDN/>
        <w:bidi w:val="0"/>
        <w:adjustRightInd/>
        <w:snapToGrid/>
        <w:spacing w:line="560" w:lineRule="exact"/>
        <w:ind w:firstLine="7360" w:firstLineChars="2300"/>
        <w:textAlignment w:val="auto"/>
        <w:rPr>
          <w:rFonts w:ascii="宋体" w:hAnsi="宋体" w:eastAsia="宋体"/>
          <w:sz w:val="32"/>
          <w:szCs w:val="32"/>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CDD49">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4135" cy="199390"/>
              <wp:effectExtent l="0" t="0" r="5715" b="3810"/>
              <wp:wrapNone/>
              <wp:docPr id="1" name="文本框 1"/>
              <wp:cNvGraphicFramePr/>
              <a:graphic xmlns:a="http://schemas.openxmlformats.org/drawingml/2006/main">
                <a:graphicData uri="http://schemas.microsoft.com/office/word/2010/wordprocessingShape">
                  <wps:wsp>
                    <wps:cNvSpPr txBox="1"/>
                    <wps:spPr>
                      <a:xfrm>
                        <a:off x="0" y="0"/>
                        <a:ext cx="64135" cy="199390"/>
                      </a:xfrm>
                      <a:prstGeom prst="rect">
                        <a:avLst/>
                      </a:prstGeom>
                      <a:noFill/>
                      <a:ln w="6350">
                        <a:noFill/>
                      </a:ln>
                    </wps:spPr>
                    <wps:txbx>
                      <w:txbxContent>
                        <w:p w14:paraId="6458CB9F">
                          <w:pPr>
                            <w:pStyle w:val="6"/>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  \* MERGEFORMAT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1</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5.7pt;width:5.05pt;mso-position-horizontal:center;mso-position-horizontal-relative:margin;mso-wrap-style:none;z-index:251659264;mso-width-relative:page;mso-height-relative:page;" filled="f" stroked="f" coordsize="21600,21600" o:gfxdata="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PAolIdEAAAADAQAADwAAAAAAAAABACAAAAAiAAAAZHJzL2Rvd25yZXYueG1sUEsBAhQAFAAAAAgA&#10;h07iQIHPV2QsAgAAUgQAAA4AAAAAAAAAAQAgAAAAIAEAAGRycy9lMm9Eb2MueG1sUEsFBgAAAAAG&#10;AAYAWQEAAL4FAAAAAA==&#10;">
              <v:fill on="f" focussize="0,0"/>
              <v:stroke on="f" weight="0.5pt"/>
              <v:imagedata o:title=""/>
              <o:lock v:ext="edit" aspectratio="f"/>
              <v:textbox inset="0mm,0mm,0mm,0mm" style="mso-fit-shape-to-text:t;">
                <w:txbxContent>
                  <w:p w14:paraId="6458CB9F">
                    <w:pPr>
                      <w:pStyle w:val="6"/>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  \* MERGEFORMAT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1</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AD99F">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3MGU3NGJkOWRlNWZiYzYwMmNiZjNlZDY1MjgzNDEifQ=="/>
  </w:docVars>
  <w:rsids>
    <w:rsidRoot w:val="002628A4"/>
    <w:rsid w:val="00014289"/>
    <w:rsid w:val="0001725D"/>
    <w:rsid w:val="0002754E"/>
    <w:rsid w:val="00027F47"/>
    <w:rsid w:val="00043EB6"/>
    <w:rsid w:val="00046DB0"/>
    <w:rsid w:val="000538D1"/>
    <w:rsid w:val="00082045"/>
    <w:rsid w:val="00082194"/>
    <w:rsid w:val="000A194B"/>
    <w:rsid w:val="000A45D1"/>
    <w:rsid w:val="000A7C0E"/>
    <w:rsid w:val="000B6231"/>
    <w:rsid w:val="000C3A31"/>
    <w:rsid w:val="000C3ADE"/>
    <w:rsid w:val="000F3630"/>
    <w:rsid w:val="00103E29"/>
    <w:rsid w:val="001048C7"/>
    <w:rsid w:val="00106213"/>
    <w:rsid w:val="00123437"/>
    <w:rsid w:val="00151814"/>
    <w:rsid w:val="00164546"/>
    <w:rsid w:val="00174CAA"/>
    <w:rsid w:val="001C70AC"/>
    <w:rsid w:val="001D1BD1"/>
    <w:rsid w:val="001D2145"/>
    <w:rsid w:val="001D78CF"/>
    <w:rsid w:val="00205CA8"/>
    <w:rsid w:val="00211854"/>
    <w:rsid w:val="002269A4"/>
    <w:rsid w:val="00256C79"/>
    <w:rsid w:val="002628A4"/>
    <w:rsid w:val="00274432"/>
    <w:rsid w:val="0028713B"/>
    <w:rsid w:val="00290FEA"/>
    <w:rsid w:val="0029559B"/>
    <w:rsid w:val="002B5B16"/>
    <w:rsid w:val="002C0502"/>
    <w:rsid w:val="002C55BF"/>
    <w:rsid w:val="002D00E9"/>
    <w:rsid w:val="002D4B2F"/>
    <w:rsid w:val="002E7BCA"/>
    <w:rsid w:val="0031480B"/>
    <w:rsid w:val="00331C02"/>
    <w:rsid w:val="0034012D"/>
    <w:rsid w:val="003710B0"/>
    <w:rsid w:val="003871EA"/>
    <w:rsid w:val="003938D5"/>
    <w:rsid w:val="00393EB2"/>
    <w:rsid w:val="003A568A"/>
    <w:rsid w:val="003A6389"/>
    <w:rsid w:val="003A6BF8"/>
    <w:rsid w:val="003B61BC"/>
    <w:rsid w:val="003B713C"/>
    <w:rsid w:val="003B73AC"/>
    <w:rsid w:val="003D4AA8"/>
    <w:rsid w:val="00435880"/>
    <w:rsid w:val="0043602E"/>
    <w:rsid w:val="004548E5"/>
    <w:rsid w:val="004650B4"/>
    <w:rsid w:val="00467632"/>
    <w:rsid w:val="004911F6"/>
    <w:rsid w:val="0049123C"/>
    <w:rsid w:val="004B17FC"/>
    <w:rsid w:val="004B1C86"/>
    <w:rsid w:val="004B3223"/>
    <w:rsid w:val="004B7340"/>
    <w:rsid w:val="004D1FE5"/>
    <w:rsid w:val="004D7A59"/>
    <w:rsid w:val="004E4C46"/>
    <w:rsid w:val="00505A61"/>
    <w:rsid w:val="00525CB4"/>
    <w:rsid w:val="00541A39"/>
    <w:rsid w:val="00544795"/>
    <w:rsid w:val="005B02D7"/>
    <w:rsid w:val="005D6D8E"/>
    <w:rsid w:val="005E42BB"/>
    <w:rsid w:val="005F03F6"/>
    <w:rsid w:val="005F2F72"/>
    <w:rsid w:val="0060105C"/>
    <w:rsid w:val="0060260B"/>
    <w:rsid w:val="00625381"/>
    <w:rsid w:val="006370A5"/>
    <w:rsid w:val="00661CAA"/>
    <w:rsid w:val="006656CE"/>
    <w:rsid w:val="00670141"/>
    <w:rsid w:val="0067196A"/>
    <w:rsid w:val="006740EA"/>
    <w:rsid w:val="00681D97"/>
    <w:rsid w:val="00686A87"/>
    <w:rsid w:val="006A4CB6"/>
    <w:rsid w:val="006B2004"/>
    <w:rsid w:val="006B6BD7"/>
    <w:rsid w:val="006C1057"/>
    <w:rsid w:val="007055F9"/>
    <w:rsid w:val="007229C6"/>
    <w:rsid w:val="00734501"/>
    <w:rsid w:val="007356DF"/>
    <w:rsid w:val="00736597"/>
    <w:rsid w:val="00740AE3"/>
    <w:rsid w:val="00745974"/>
    <w:rsid w:val="00782132"/>
    <w:rsid w:val="00794887"/>
    <w:rsid w:val="007B2098"/>
    <w:rsid w:val="007C60E8"/>
    <w:rsid w:val="007D2AB5"/>
    <w:rsid w:val="007F1BE0"/>
    <w:rsid w:val="008063A7"/>
    <w:rsid w:val="0081715A"/>
    <w:rsid w:val="00840E59"/>
    <w:rsid w:val="008726EC"/>
    <w:rsid w:val="008949AD"/>
    <w:rsid w:val="00894E02"/>
    <w:rsid w:val="009362CF"/>
    <w:rsid w:val="00940054"/>
    <w:rsid w:val="00944840"/>
    <w:rsid w:val="00956976"/>
    <w:rsid w:val="00975635"/>
    <w:rsid w:val="00981AEC"/>
    <w:rsid w:val="00993DD4"/>
    <w:rsid w:val="00995862"/>
    <w:rsid w:val="009A31EC"/>
    <w:rsid w:val="009E58ED"/>
    <w:rsid w:val="009F6F34"/>
    <w:rsid w:val="00A712C1"/>
    <w:rsid w:val="00A9029F"/>
    <w:rsid w:val="00AA3380"/>
    <w:rsid w:val="00AC436C"/>
    <w:rsid w:val="00AE3796"/>
    <w:rsid w:val="00B24045"/>
    <w:rsid w:val="00B30D23"/>
    <w:rsid w:val="00B37CE2"/>
    <w:rsid w:val="00B47E93"/>
    <w:rsid w:val="00B57914"/>
    <w:rsid w:val="00B7388F"/>
    <w:rsid w:val="00B935AD"/>
    <w:rsid w:val="00BB2C03"/>
    <w:rsid w:val="00BB2DA4"/>
    <w:rsid w:val="00BE0703"/>
    <w:rsid w:val="00BE2E92"/>
    <w:rsid w:val="00C01128"/>
    <w:rsid w:val="00C14F27"/>
    <w:rsid w:val="00C21533"/>
    <w:rsid w:val="00C2319B"/>
    <w:rsid w:val="00C23D5C"/>
    <w:rsid w:val="00C30A78"/>
    <w:rsid w:val="00C418DF"/>
    <w:rsid w:val="00C62595"/>
    <w:rsid w:val="00C7295C"/>
    <w:rsid w:val="00C74FF5"/>
    <w:rsid w:val="00C76E42"/>
    <w:rsid w:val="00C82A24"/>
    <w:rsid w:val="00C87582"/>
    <w:rsid w:val="00C87D98"/>
    <w:rsid w:val="00C90BA4"/>
    <w:rsid w:val="00D259D8"/>
    <w:rsid w:val="00D277F0"/>
    <w:rsid w:val="00D37547"/>
    <w:rsid w:val="00D502D2"/>
    <w:rsid w:val="00D63071"/>
    <w:rsid w:val="00D67E21"/>
    <w:rsid w:val="00D72A5B"/>
    <w:rsid w:val="00D91849"/>
    <w:rsid w:val="00D95234"/>
    <w:rsid w:val="00D9703D"/>
    <w:rsid w:val="00DE6169"/>
    <w:rsid w:val="00E230E9"/>
    <w:rsid w:val="00E25727"/>
    <w:rsid w:val="00E31B17"/>
    <w:rsid w:val="00EA7B7B"/>
    <w:rsid w:val="00EB16B4"/>
    <w:rsid w:val="00EB2CEB"/>
    <w:rsid w:val="00F30139"/>
    <w:rsid w:val="00F5108B"/>
    <w:rsid w:val="00F54A54"/>
    <w:rsid w:val="00F65459"/>
    <w:rsid w:val="00FA0042"/>
    <w:rsid w:val="00FA0DC2"/>
    <w:rsid w:val="00FB747B"/>
    <w:rsid w:val="00FC405B"/>
    <w:rsid w:val="00FE462F"/>
    <w:rsid w:val="00FF50FB"/>
    <w:rsid w:val="013A649B"/>
    <w:rsid w:val="04582C53"/>
    <w:rsid w:val="07752085"/>
    <w:rsid w:val="0C51683C"/>
    <w:rsid w:val="0CCC4FEA"/>
    <w:rsid w:val="0DD3526A"/>
    <w:rsid w:val="0DF37EA3"/>
    <w:rsid w:val="0E766DE7"/>
    <w:rsid w:val="0ECE4C5A"/>
    <w:rsid w:val="0EFF5127"/>
    <w:rsid w:val="0FE2757D"/>
    <w:rsid w:val="12720B20"/>
    <w:rsid w:val="13FF764E"/>
    <w:rsid w:val="154B2178"/>
    <w:rsid w:val="1649669B"/>
    <w:rsid w:val="19013619"/>
    <w:rsid w:val="1D0F3ADC"/>
    <w:rsid w:val="1D8E0E82"/>
    <w:rsid w:val="1EC43D73"/>
    <w:rsid w:val="20B70F8B"/>
    <w:rsid w:val="2142155A"/>
    <w:rsid w:val="24194978"/>
    <w:rsid w:val="25CA778B"/>
    <w:rsid w:val="27146D48"/>
    <w:rsid w:val="2B2A202B"/>
    <w:rsid w:val="2DFA2F7D"/>
    <w:rsid w:val="32631E7A"/>
    <w:rsid w:val="35824C2E"/>
    <w:rsid w:val="372F1B4E"/>
    <w:rsid w:val="37384B10"/>
    <w:rsid w:val="38347A5C"/>
    <w:rsid w:val="39BE5B37"/>
    <w:rsid w:val="3C991F43"/>
    <w:rsid w:val="417D1EB0"/>
    <w:rsid w:val="41C628E9"/>
    <w:rsid w:val="41E62850"/>
    <w:rsid w:val="4335673E"/>
    <w:rsid w:val="4C3E48B5"/>
    <w:rsid w:val="508D1967"/>
    <w:rsid w:val="5202518C"/>
    <w:rsid w:val="52D90A97"/>
    <w:rsid w:val="549D5BFA"/>
    <w:rsid w:val="58225C9E"/>
    <w:rsid w:val="5A132EDD"/>
    <w:rsid w:val="5B1A434A"/>
    <w:rsid w:val="5EDE74B5"/>
    <w:rsid w:val="5F7E2963"/>
    <w:rsid w:val="5FDC4054"/>
    <w:rsid w:val="608E7761"/>
    <w:rsid w:val="66DC43F6"/>
    <w:rsid w:val="67BF9148"/>
    <w:rsid w:val="72FA4732"/>
    <w:rsid w:val="774733D1"/>
    <w:rsid w:val="77C258C3"/>
    <w:rsid w:val="786B41B6"/>
    <w:rsid w:val="7AD70C73"/>
    <w:rsid w:val="7CF82E88"/>
    <w:rsid w:val="7EBDD6DD"/>
    <w:rsid w:val="7F7F18D3"/>
    <w:rsid w:val="7FFCD847"/>
    <w:rsid w:val="BDFFF3B8"/>
    <w:rsid w:val="BEFFA079"/>
    <w:rsid w:val="C3CFF773"/>
    <w:rsid w:val="EF7956D5"/>
    <w:rsid w:val="EF7D0ACB"/>
    <w:rsid w:val="EF7DAFA1"/>
    <w:rsid w:val="EFBF8E81"/>
    <w:rsid w:val="EFDB8DC1"/>
    <w:rsid w:val="FAFF27AC"/>
    <w:rsid w:val="FDDFE0C0"/>
    <w:rsid w:val="FF883C6C"/>
    <w:rsid w:val="FF9FAAF5"/>
    <w:rsid w:val="FFCE00AE"/>
    <w:rsid w:val="FFDDC1E0"/>
    <w:rsid w:val="FFF78262"/>
    <w:rsid w:val="FFF9ED8C"/>
    <w:rsid w:val="FFFBA22E"/>
    <w:rsid w:val="FFFE3E14"/>
    <w:rsid w:val="FFFF73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ody Text"/>
    <w:basedOn w:val="1"/>
    <w:link w:val="20"/>
    <w:qFormat/>
    <w:uiPriority w:val="1"/>
    <w:pPr>
      <w:autoSpaceDE w:val="0"/>
      <w:autoSpaceDN w:val="0"/>
      <w:jc w:val="left"/>
    </w:pPr>
    <w:rPr>
      <w:rFonts w:ascii="仿宋" w:hAnsi="仿宋" w:eastAsia="仿宋" w:cs="仿宋"/>
      <w:kern w:val="0"/>
      <w:sz w:val="32"/>
      <w:szCs w:val="32"/>
      <w:lang w:eastAsia="en-US"/>
    </w:rPr>
  </w:style>
  <w:style w:type="paragraph" w:styleId="4">
    <w:name w:val="Date"/>
    <w:basedOn w:val="1"/>
    <w:next w:val="1"/>
    <w:qFormat/>
    <w:uiPriority w:val="99"/>
    <w:pPr>
      <w:ind w:left="100" w:leftChars="2500"/>
    </w:pPr>
    <w:rPr>
      <w:rFonts w:ascii="Times New Roman" w:hAnsi="Times New Roman" w:eastAsia="宋体"/>
      <w:szCs w:val="24"/>
    </w:rPr>
  </w:style>
  <w:style w:type="paragraph" w:styleId="5">
    <w:name w:val="Balloon Text"/>
    <w:basedOn w:val="1"/>
    <w:link w:val="17"/>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qFormat/>
    <w:uiPriority w:val="0"/>
    <w:pPr>
      <w:ind w:firstLine="0" w:firstLineChars="0"/>
      <w:jc w:val="center"/>
    </w:pPr>
    <w:rPr>
      <w:rFonts w:ascii="黑体" w:hAnsi="黑体" w:eastAsia="黑体" w:cs="黑体"/>
      <w:kern w:val="0"/>
      <w:lang w:val="zh-CN"/>
    </w:rPr>
  </w:style>
  <w:style w:type="paragraph" w:styleId="9">
    <w:name w:val="Normal (Web)"/>
    <w:basedOn w:val="1"/>
    <w:qFormat/>
    <w:uiPriority w:val="0"/>
    <w:pPr>
      <w:spacing w:beforeAutospacing="1" w:afterAutospacing="1"/>
      <w:jc w:val="left"/>
    </w:pPr>
    <w:rPr>
      <w:rFonts w:cs="Times New Roman"/>
      <w:kern w:val="0"/>
      <w:sz w:val="24"/>
      <w:szCs w:val="24"/>
    </w:rPr>
  </w:style>
  <w:style w:type="paragraph" w:styleId="10">
    <w:name w:val="annotation subject"/>
    <w:basedOn w:val="2"/>
    <w:next w:val="2"/>
    <w:link w:val="19"/>
    <w:semiHidden/>
    <w:unhideWhenUsed/>
    <w:qFormat/>
    <w:uiPriority w:val="99"/>
    <w:rPr>
      <w:b/>
      <w:bCs/>
    </w:rPr>
  </w:style>
  <w:style w:type="character" w:styleId="13">
    <w:name w:val="Strong"/>
    <w:basedOn w:val="12"/>
    <w:qFormat/>
    <w:uiPriority w:val="22"/>
    <w:rPr>
      <w:b/>
    </w:rPr>
  </w:style>
  <w:style w:type="character" w:styleId="14">
    <w:name w:val="annotation reference"/>
    <w:basedOn w:val="12"/>
    <w:semiHidden/>
    <w:unhideWhenUsed/>
    <w:qFormat/>
    <w:uiPriority w:val="99"/>
    <w:rPr>
      <w:sz w:val="21"/>
      <w:szCs w:val="21"/>
    </w:rPr>
  </w:style>
  <w:style w:type="character" w:customStyle="1" w:styleId="15">
    <w:name w:val="页眉 字符"/>
    <w:basedOn w:val="12"/>
    <w:link w:val="7"/>
    <w:qFormat/>
    <w:uiPriority w:val="99"/>
    <w:rPr>
      <w:sz w:val="18"/>
      <w:szCs w:val="18"/>
    </w:rPr>
  </w:style>
  <w:style w:type="character" w:customStyle="1" w:styleId="16">
    <w:name w:val="页脚 字符"/>
    <w:basedOn w:val="12"/>
    <w:link w:val="6"/>
    <w:qFormat/>
    <w:uiPriority w:val="99"/>
    <w:rPr>
      <w:sz w:val="18"/>
      <w:szCs w:val="18"/>
    </w:rPr>
  </w:style>
  <w:style w:type="character" w:customStyle="1" w:styleId="17">
    <w:name w:val="批注框文本 字符"/>
    <w:basedOn w:val="12"/>
    <w:link w:val="5"/>
    <w:semiHidden/>
    <w:qFormat/>
    <w:uiPriority w:val="99"/>
    <w:rPr>
      <w:kern w:val="2"/>
      <w:sz w:val="18"/>
      <w:szCs w:val="18"/>
    </w:rPr>
  </w:style>
  <w:style w:type="character" w:customStyle="1" w:styleId="18">
    <w:name w:val="批注文字 字符"/>
    <w:basedOn w:val="12"/>
    <w:link w:val="2"/>
    <w:semiHidden/>
    <w:qFormat/>
    <w:uiPriority w:val="99"/>
    <w:rPr>
      <w:kern w:val="2"/>
      <w:sz w:val="21"/>
      <w:szCs w:val="22"/>
    </w:rPr>
  </w:style>
  <w:style w:type="character" w:customStyle="1" w:styleId="19">
    <w:name w:val="批注主题 字符"/>
    <w:basedOn w:val="18"/>
    <w:link w:val="10"/>
    <w:semiHidden/>
    <w:qFormat/>
    <w:uiPriority w:val="99"/>
    <w:rPr>
      <w:b/>
      <w:bCs/>
      <w:kern w:val="2"/>
      <w:sz w:val="21"/>
      <w:szCs w:val="22"/>
    </w:rPr>
  </w:style>
  <w:style w:type="character" w:customStyle="1" w:styleId="20">
    <w:name w:val="正文文本 字符"/>
    <w:basedOn w:val="12"/>
    <w:link w:val="3"/>
    <w:qFormat/>
    <w:uiPriority w:val="1"/>
    <w:rPr>
      <w:rFonts w:ascii="仿宋" w:hAnsi="仿宋" w:eastAsia="仿宋" w:cs="仿宋"/>
      <w:sz w:val="32"/>
      <w:szCs w:val="32"/>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7</Pages>
  <Words>3084</Words>
  <Characters>3112</Characters>
  <Lines>20</Lines>
  <Paragraphs>5</Paragraphs>
  <TotalTime>0</TotalTime>
  <ScaleCrop>false</ScaleCrop>
  <LinksUpToDate>false</LinksUpToDate>
  <CharactersWithSpaces>3147</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2021-03-31T20:39:00Z</dcterms:created>
  <dc:creator>鲍炯</dc:creator>
  <cp:lastModifiedBy>DZB</cp:lastModifiedBy>
  <cp:lastPrinted>2022-12-18T22:16:00Z</cp:lastPrinted>
  <dcterms:modified xsi:type="dcterms:W3CDTF">2026-04-23T03:12:33Z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E2C5D800D0FF80273690CA69D8B1F36F_43</vt:lpwstr>
  </property>
  <property fmtid="{D5CDD505-2E9C-101B-9397-08002B2CF9AE}" pid="4" name="KSOTemplateDocerSaveRecord">
    <vt:lpwstr>eyJoZGlkIjoiZTQ1YjQ5YTlmNDkzYTA0M2EyZmQxYzhmY2U0NDlkNDUiLCJ1c2VySWQiOiIxNzg2NDU0MzIwIn0=</vt:lpwstr>
  </property>
</Properties>
</file>