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233F4">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方正小标宋简体" w:hAnsi="方正小标宋简体" w:eastAsia="方正小标宋简体" w:cs="方正小标宋简体"/>
          <w:b w:val="0"/>
          <w:bCs/>
          <w:color w:val="auto"/>
          <w:sz w:val="36"/>
          <w:szCs w:val="36"/>
        </w:rPr>
      </w:pPr>
      <w:bookmarkStart w:id="0" w:name="_GoBack"/>
      <w:r>
        <w:rPr>
          <w:rFonts w:hint="eastAsia" w:ascii="仿宋_GB2312" w:hAnsi="Times New Roman" w:eastAsia="仿宋_GB2312" w:cs="Times New Roman"/>
          <w:sz w:val="32"/>
          <w:szCs w:val="32"/>
        </w:rPr>
        <w:t>清深国院规〔2025〕</w:t>
      </w:r>
      <w:r>
        <w:rPr>
          <w:rFonts w:hint="eastAsia" w:ascii="仿宋_GB2312" w:hAnsi="Times New Roman" w:eastAsia="仿宋_GB2312" w:cs="Times New Roman"/>
          <w:sz w:val="32"/>
          <w:szCs w:val="32"/>
          <w:lang w:val="en-US" w:eastAsia="zh-CN"/>
        </w:rPr>
        <w:t>8号</w:t>
      </w:r>
    </w:p>
    <w:bookmarkEnd w:id="0"/>
    <w:p w14:paraId="34B5DD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z w:val="36"/>
          <w:szCs w:val="36"/>
        </w:rPr>
      </w:pPr>
      <w:r>
        <w:rPr>
          <w:rFonts w:hint="eastAsia" w:ascii="方正小标宋简体" w:hAnsi="方正小标宋简体" w:eastAsia="方正小标宋简体" w:cs="方正小标宋简体"/>
          <w:b w:val="0"/>
          <w:bCs/>
          <w:color w:val="auto"/>
          <w:sz w:val="36"/>
          <w:szCs w:val="36"/>
        </w:rPr>
        <w:t>清华大学深圳国际研究生院</w:t>
      </w:r>
    </w:p>
    <w:p w14:paraId="389BE1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z w:val="36"/>
          <w:szCs w:val="36"/>
        </w:rPr>
      </w:pPr>
      <w:r>
        <w:rPr>
          <w:rFonts w:hint="eastAsia" w:ascii="方正小标宋简体" w:hAnsi="方正小标宋简体" w:eastAsia="方正小标宋简体" w:cs="方正小标宋简体"/>
          <w:b w:val="0"/>
          <w:bCs/>
          <w:color w:val="auto"/>
          <w:sz w:val="36"/>
          <w:szCs w:val="36"/>
        </w:rPr>
        <w:t>继续教育授课教师管理实施细则</w:t>
      </w:r>
    </w:p>
    <w:p w14:paraId="2A050D9C">
      <w:pPr>
        <w:spacing w:line="560" w:lineRule="exact"/>
        <w:jc w:val="center"/>
        <w:rPr>
          <w:rFonts w:hint="eastAsia" w:ascii="仿宋_GB2312" w:hAnsi="仿宋_GB2312" w:eastAsia="仿宋_GB2312" w:cs="仿宋_GB2312"/>
          <w:color w:val="auto"/>
          <w:sz w:val="32"/>
          <w:szCs w:val="32"/>
        </w:rPr>
      </w:pPr>
      <w:r>
        <w:rPr>
          <w:rStyle w:val="10"/>
          <w:rFonts w:hint="eastAsia" w:ascii="仿宋_GB2312" w:hAnsi="仿宋_GB2312" w:eastAsia="仿宋_GB2312" w:cs="仿宋_GB2312"/>
          <w:sz w:val="30"/>
          <w:szCs w:val="30"/>
          <w:highlight w:val="none"/>
          <w:lang w:val="en-US" w:eastAsia="zh-CN"/>
        </w:rPr>
        <w:t>经</w:t>
      </w:r>
      <w:r>
        <w:rPr>
          <w:rStyle w:val="10"/>
          <w:rFonts w:hint="eastAsia" w:ascii="仿宋_GB2312" w:hAnsi="仿宋_GB2312" w:eastAsia="仿宋_GB2312" w:cs="仿宋_GB2312"/>
          <w:sz w:val="30"/>
          <w:szCs w:val="30"/>
          <w:highlight w:val="none"/>
        </w:rPr>
        <w:t>二〇二</w:t>
      </w:r>
      <w:r>
        <w:rPr>
          <w:rStyle w:val="10"/>
          <w:rFonts w:hint="eastAsia" w:ascii="仿宋_GB2312" w:hAnsi="仿宋_GB2312" w:eastAsia="仿宋_GB2312" w:cs="仿宋_GB2312"/>
          <w:sz w:val="30"/>
          <w:szCs w:val="30"/>
          <w:highlight w:val="none"/>
          <w:lang w:val="en-US" w:eastAsia="zh-CN"/>
        </w:rPr>
        <w:t>五</w:t>
      </w:r>
      <w:r>
        <w:rPr>
          <w:rStyle w:val="10"/>
          <w:rFonts w:hint="eastAsia" w:ascii="仿宋_GB2312" w:hAnsi="仿宋_GB2312" w:eastAsia="仿宋_GB2312" w:cs="仿宋_GB2312"/>
          <w:sz w:val="30"/>
          <w:szCs w:val="30"/>
          <w:highlight w:val="none"/>
        </w:rPr>
        <w:t>年第</w:t>
      </w:r>
      <w:r>
        <w:rPr>
          <w:rStyle w:val="10"/>
          <w:rFonts w:hint="eastAsia" w:ascii="仿宋_GB2312" w:hAnsi="仿宋_GB2312" w:eastAsia="仿宋_GB2312" w:cs="仿宋_GB2312"/>
          <w:sz w:val="30"/>
          <w:szCs w:val="30"/>
          <w:highlight w:val="none"/>
          <w:lang w:val="en-US" w:eastAsia="zh-CN"/>
        </w:rPr>
        <w:t>四十</w:t>
      </w:r>
      <w:r>
        <w:rPr>
          <w:rStyle w:val="10"/>
          <w:rFonts w:hint="eastAsia" w:ascii="仿宋_GB2312" w:hAnsi="仿宋_GB2312" w:eastAsia="仿宋_GB2312" w:cs="仿宋_GB2312"/>
          <w:sz w:val="30"/>
          <w:szCs w:val="30"/>
          <w:highlight w:val="none"/>
        </w:rPr>
        <w:t>次党政联席会议（</w:t>
      </w:r>
      <w:r>
        <w:rPr>
          <w:rStyle w:val="10"/>
          <w:rFonts w:hint="eastAsia" w:ascii="仿宋_GB2312" w:hAnsi="仿宋_GB2312" w:eastAsia="仿宋_GB2312" w:cs="仿宋_GB2312"/>
          <w:sz w:val="30"/>
          <w:szCs w:val="30"/>
          <w:highlight w:val="none"/>
          <w:lang w:val="en-US" w:eastAsia="zh-CN"/>
        </w:rPr>
        <w:t>2025</w:t>
      </w:r>
      <w:r>
        <w:rPr>
          <w:rStyle w:val="10"/>
          <w:rFonts w:hint="eastAsia" w:ascii="仿宋_GB2312" w:hAnsi="仿宋_GB2312" w:eastAsia="仿宋_GB2312" w:cs="仿宋_GB2312"/>
          <w:sz w:val="30"/>
          <w:szCs w:val="30"/>
          <w:highlight w:val="none"/>
        </w:rPr>
        <w:t>年</w:t>
      </w:r>
      <w:r>
        <w:rPr>
          <w:rStyle w:val="10"/>
          <w:rFonts w:hint="eastAsia" w:ascii="仿宋_GB2312" w:hAnsi="仿宋_GB2312" w:eastAsia="仿宋_GB2312" w:cs="仿宋_GB2312"/>
          <w:sz w:val="30"/>
          <w:szCs w:val="30"/>
          <w:highlight w:val="none"/>
          <w:lang w:val="en-US" w:eastAsia="zh-CN"/>
        </w:rPr>
        <w:t>7</w:t>
      </w:r>
      <w:r>
        <w:rPr>
          <w:rStyle w:val="10"/>
          <w:rFonts w:hint="eastAsia" w:ascii="仿宋_GB2312" w:hAnsi="仿宋_GB2312" w:eastAsia="仿宋_GB2312" w:cs="仿宋_GB2312"/>
          <w:sz w:val="30"/>
          <w:szCs w:val="30"/>
          <w:highlight w:val="none"/>
        </w:rPr>
        <w:t>月</w:t>
      </w:r>
      <w:r>
        <w:rPr>
          <w:rStyle w:val="10"/>
          <w:rFonts w:hint="eastAsia" w:ascii="仿宋_GB2312" w:hAnsi="仿宋_GB2312" w:eastAsia="仿宋_GB2312" w:cs="仿宋_GB2312"/>
          <w:sz w:val="30"/>
          <w:szCs w:val="30"/>
          <w:highlight w:val="none"/>
          <w:lang w:val="en-US" w:eastAsia="zh-CN"/>
        </w:rPr>
        <w:t>21</w:t>
      </w:r>
      <w:r>
        <w:rPr>
          <w:rStyle w:val="10"/>
          <w:rFonts w:hint="eastAsia" w:ascii="仿宋_GB2312" w:hAnsi="仿宋_GB2312" w:eastAsia="仿宋_GB2312" w:cs="仿宋_GB2312"/>
          <w:sz w:val="30"/>
          <w:szCs w:val="30"/>
          <w:highlight w:val="none"/>
        </w:rPr>
        <w:t>日）审议通过</w:t>
      </w:r>
    </w:p>
    <w:p w14:paraId="64B7453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rPr>
        <w:t xml:space="preserve">第一条 </w:t>
      </w:r>
      <w:r>
        <w:rPr>
          <w:rFonts w:hint="eastAsia" w:ascii="仿宋_GB2312" w:hAnsi="仿宋_GB2312" w:eastAsia="仿宋_GB2312" w:cs="仿宋_GB2312"/>
          <w:color w:val="auto"/>
          <w:sz w:val="32"/>
          <w:szCs w:val="32"/>
        </w:rPr>
        <w:t>为了进一步规范</w:t>
      </w:r>
      <w:r>
        <w:rPr>
          <w:rFonts w:hint="eastAsia" w:ascii="仿宋_GB2312" w:hAnsi="仿宋_GB2312" w:eastAsia="仿宋_GB2312" w:cs="仿宋_GB2312"/>
          <w:color w:val="auto"/>
          <w:sz w:val="32"/>
          <w:szCs w:val="32"/>
          <w:lang w:val="en-US" w:eastAsia="zh-CN"/>
        </w:rPr>
        <w:t>清华大学深圳国际研究生院（以下简称</w:t>
      </w:r>
      <w:r>
        <w:rPr>
          <w:rFonts w:hint="eastAsia" w:ascii="仿宋_GB2312" w:hAnsi="仿宋_GB2312" w:eastAsia="仿宋_GB2312" w:cs="仿宋_GB2312"/>
          <w:color w:val="auto"/>
          <w:sz w:val="32"/>
          <w:szCs w:val="32"/>
        </w:rPr>
        <w:t>学院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继续教育授课教师管理工作，根据《清华大学非学历非学位继续教育授课教师管理办法》及学校的相关</w:t>
      </w:r>
      <w:r>
        <w:rPr>
          <w:rFonts w:hint="eastAsia" w:ascii="仿宋_GB2312" w:hAnsi="仿宋_GB2312" w:eastAsia="仿宋_GB2312" w:cs="仿宋_GB2312"/>
          <w:color w:val="auto"/>
          <w:sz w:val="32"/>
          <w:szCs w:val="32"/>
          <w:highlight w:val="none"/>
        </w:rPr>
        <w:t>财务规定，结合学院工作实际，制定本实施细则。</w:t>
      </w:r>
    </w:p>
    <w:p w14:paraId="615037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 xml:space="preserve">第二条 </w:t>
      </w:r>
      <w:r>
        <w:rPr>
          <w:rFonts w:hint="eastAsia" w:ascii="仿宋_GB2312" w:hAnsi="仿宋_GB2312" w:eastAsia="仿宋_GB2312" w:cs="仿宋_GB2312"/>
          <w:color w:val="auto"/>
          <w:sz w:val="32"/>
          <w:szCs w:val="32"/>
          <w:highlight w:val="none"/>
        </w:rPr>
        <w:t>本实施细则适用于承担学院非学历非学位继续教育</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以下简称继续教育</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授课、项目指导、教学指导等教学相关工作的教师（以下简称授课教师）。</w:t>
      </w:r>
    </w:p>
    <w:p w14:paraId="7FA300BF">
      <w:pPr>
        <w:keepNext w:val="0"/>
        <w:keepLines w:val="0"/>
        <w:pageBreakBefore w:val="0"/>
        <w:widowControl w:val="0"/>
        <w:tabs>
          <w:tab w:val="left" w:pos="2100"/>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rPr>
        <w:t xml:space="preserve">第三条 </w:t>
      </w:r>
      <w:r>
        <w:rPr>
          <w:rFonts w:hint="eastAsia" w:ascii="仿宋_GB2312" w:hAnsi="仿宋_GB2312" w:eastAsia="仿宋_GB2312" w:cs="仿宋_GB2312"/>
          <w:color w:val="auto"/>
          <w:sz w:val="32"/>
          <w:szCs w:val="32"/>
        </w:rPr>
        <w:t>培训学院负责统筹协调学院授课教师管理工作，具体承担授课教师信息入库审核</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教师</w:t>
      </w:r>
      <w:r>
        <w:rPr>
          <w:rFonts w:hint="eastAsia" w:ascii="仿宋_GB2312" w:hAnsi="仿宋_GB2312" w:eastAsia="仿宋_GB2312" w:cs="仿宋_GB2312"/>
          <w:color w:val="auto"/>
          <w:sz w:val="32"/>
          <w:szCs w:val="32"/>
          <w:highlight w:val="none"/>
        </w:rPr>
        <w:t>管理、酬金审核等工作。</w:t>
      </w:r>
      <w:r>
        <w:rPr>
          <w:rFonts w:hint="eastAsia" w:ascii="仿宋_GB2312" w:hAnsi="仿宋_GB2312" w:eastAsia="仿宋_GB2312" w:cs="仿宋_GB2312"/>
          <w:color w:val="auto"/>
          <w:sz w:val="32"/>
          <w:szCs w:val="32"/>
          <w:highlight w:val="none"/>
          <w:lang w:val="en-US" w:eastAsia="zh-CN"/>
        </w:rPr>
        <w:t>培训学院</w:t>
      </w:r>
      <w:r>
        <w:rPr>
          <w:rFonts w:hint="eastAsia" w:ascii="仿宋_GB2312" w:hAnsi="仿宋_GB2312" w:eastAsia="仿宋_GB2312" w:cs="仿宋_GB2312"/>
          <w:color w:val="auto"/>
          <w:sz w:val="32"/>
          <w:szCs w:val="32"/>
          <w:highlight w:val="none"/>
        </w:rPr>
        <w:t>负责依照学校和学院的相关管理要求，落实对所选用</w:t>
      </w:r>
      <w:r>
        <w:rPr>
          <w:rFonts w:hint="eastAsia" w:ascii="仿宋_GB2312" w:hAnsi="仿宋_GB2312" w:eastAsia="仿宋_GB2312" w:cs="仿宋_GB2312"/>
          <w:color w:val="auto"/>
          <w:sz w:val="32"/>
          <w:szCs w:val="32"/>
          <w:highlight w:val="none"/>
          <w:lang w:val="en-US" w:eastAsia="zh-CN"/>
        </w:rPr>
        <w:t>教师</w:t>
      </w:r>
      <w:r>
        <w:rPr>
          <w:rFonts w:hint="eastAsia" w:ascii="仿宋_GB2312" w:hAnsi="仿宋_GB2312" w:eastAsia="仿宋_GB2312" w:cs="仿宋_GB2312"/>
          <w:color w:val="auto"/>
          <w:sz w:val="32"/>
          <w:szCs w:val="32"/>
          <w:highlight w:val="none"/>
        </w:rPr>
        <w:t>的日常管理和服务工作。</w:t>
      </w:r>
    </w:p>
    <w:p w14:paraId="268E14E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第四条 </w:t>
      </w:r>
      <w:r>
        <w:rPr>
          <w:rFonts w:hint="eastAsia" w:ascii="仿宋_GB2312" w:hAnsi="仿宋_GB2312" w:eastAsia="仿宋_GB2312" w:cs="仿宋_GB2312"/>
          <w:color w:val="auto"/>
          <w:sz w:val="32"/>
          <w:szCs w:val="32"/>
        </w:rPr>
        <w:t xml:space="preserve">授课教师选用 </w:t>
      </w:r>
    </w:p>
    <w:p w14:paraId="3A9315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继续教育项目的授课教师应按照学校关于继续教育授课教师的选用条件进行选用，首次授课教师或重新选用教师应按照下列流程进行申报及审核：</w:t>
      </w:r>
    </w:p>
    <w:p w14:paraId="240C0D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（一）教师选用条件</w:t>
      </w:r>
    </w:p>
    <w:p w14:paraId="7F61BB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lang w:val="en-US" w:eastAsia="zh-CN"/>
        </w:rPr>
        <w:t>1.参与学院教学的教师，</w:t>
      </w:r>
      <w:r>
        <w:rPr>
          <w:rFonts w:hint="eastAsia" w:ascii="仿宋_GB2312" w:hAnsi="仿宋_GB2312" w:eastAsia="仿宋_GB2312" w:cs="仿宋_GB2312"/>
          <w:color w:val="auto"/>
          <w:sz w:val="32"/>
          <w:szCs w:val="32"/>
          <w:highlight w:val="none"/>
        </w:rPr>
        <w:t>应具有良好的思想政治素质和职业道德，遵守师德规范和教学要求，胜任教学相关工作。</w:t>
      </w:r>
    </w:p>
    <w:p w14:paraId="207282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承担课程教学工作的</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，应严格依照学校对继续教育授课教师的要求进行选用。选用</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前，应充分了解</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的个人简历、教学能力和教学效果。新</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须具备与所授课程要求相关的学术水平或五年以上相关工作经验，或者具有副高级以上职称，来自企业的新</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，原则上须具有研究生学历。</w:t>
      </w:r>
    </w:p>
    <w:p w14:paraId="6224D9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承担项目指导工作的</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，应具备与所指导工作相应的研究背景或实践经验，按工作职责分为学术主任和课程主任两类，学术主任原则上应由高校具有副高级及以上职称的教师，或业界具有相应的专业技术职务及十年以上工作经验</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专家担任。原则上，应以书面形式与</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约定具体项目指导工作事项和知识产权归属。</w:t>
      </w:r>
    </w:p>
    <w:p w14:paraId="4AD140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外籍</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选用前应提前报备。根据学校相关要求，邀请外籍及港澳台</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参与学院教学相关活动，包括需入境和已在境内人员，需要事前与</w:t>
      </w:r>
      <w:r>
        <w:rPr>
          <w:rFonts w:hint="eastAsia" w:ascii="仿宋_GB2312" w:hAnsi="仿宋_GB2312" w:eastAsia="仿宋_GB2312" w:cs="仿宋_GB2312"/>
          <w:color w:val="auto"/>
          <w:sz w:val="32"/>
          <w:szCs w:val="32"/>
          <w:lang w:val="en-US" w:eastAsia="zh-CN"/>
        </w:rPr>
        <w:t>学院</w:t>
      </w:r>
      <w:r>
        <w:rPr>
          <w:rFonts w:hint="eastAsia" w:ascii="仿宋_GB2312" w:hAnsi="仿宋_GB2312" w:eastAsia="仿宋_GB2312" w:cs="仿宋_GB2312"/>
          <w:color w:val="auto"/>
          <w:sz w:val="32"/>
          <w:szCs w:val="32"/>
        </w:rPr>
        <w:t>全球事务</w:t>
      </w:r>
      <w:r>
        <w:rPr>
          <w:rFonts w:hint="eastAsia" w:ascii="仿宋_GB2312" w:hAnsi="仿宋_GB2312" w:eastAsia="仿宋_GB2312" w:cs="仿宋_GB2312"/>
          <w:color w:val="auto"/>
          <w:sz w:val="32"/>
          <w:szCs w:val="32"/>
          <w:lang w:val="en-US" w:eastAsia="zh-CN"/>
        </w:rPr>
        <w:t>办公室</w:t>
      </w:r>
      <w:r>
        <w:rPr>
          <w:rFonts w:hint="eastAsia" w:ascii="仿宋_GB2312" w:hAnsi="仿宋_GB2312" w:eastAsia="仿宋_GB2312" w:cs="仿宋_GB2312"/>
          <w:color w:val="auto"/>
          <w:sz w:val="32"/>
          <w:szCs w:val="32"/>
        </w:rPr>
        <w:t>、学校国际处确认是否需要报备。</w:t>
      </w:r>
    </w:p>
    <w:p w14:paraId="5720A9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培训师类</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应谨慎选用。</w:t>
      </w:r>
    </w:p>
    <w:p w14:paraId="3F2F27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（二）教师选用审核程序</w:t>
      </w:r>
    </w:p>
    <w:p w14:paraId="0E3B3A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1.培训学院</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val="en-US" w:eastAsia="zh-CN"/>
        </w:rPr>
        <w:t>组</w:t>
      </w:r>
      <w:r>
        <w:rPr>
          <w:rFonts w:hint="eastAsia" w:ascii="仿宋_GB2312" w:hAnsi="仿宋_GB2312" w:eastAsia="仿宋_GB2312" w:cs="仿宋_GB2312"/>
          <w:color w:val="auto"/>
          <w:sz w:val="32"/>
          <w:szCs w:val="32"/>
        </w:rPr>
        <w:t>对拟选用</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情况进行初审，审核内容包括但不限于：</w:t>
      </w:r>
    </w:p>
    <w:p w14:paraId="3E10BC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社会背景审核，包括</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个人社会舆情、社会宣传及背景情况、</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所在单位及其担任职务真实性、所在单位社会舆情及背景情况等。</w:t>
      </w:r>
    </w:p>
    <w:p w14:paraId="04DC33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授课</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审核，包括个人简历、最高学历学位证、身份证/护照、专业技术职务任职资格及其他专业资质</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rPr>
        <w:t>在其他机构授课经历等</w:t>
      </w:r>
      <w:r>
        <w:rPr>
          <w:rFonts w:hint="eastAsia" w:ascii="仿宋_GB2312" w:hAnsi="仿宋_GB2312" w:eastAsia="仿宋_GB2312" w:cs="仿宋_GB2312"/>
          <w:color w:val="auto"/>
          <w:sz w:val="32"/>
          <w:szCs w:val="32"/>
          <w:lang w:eastAsia="zh-CN"/>
        </w:rPr>
        <w:t>。</w:t>
      </w:r>
    </w:p>
    <w:p w14:paraId="55AA11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授课效果审核，包括课程现场或视频试听情况、课程大纲</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rPr>
        <w:t>在其他机构授课评估情况等</w:t>
      </w:r>
      <w:r>
        <w:rPr>
          <w:rFonts w:hint="eastAsia" w:ascii="仿宋_GB2312" w:hAnsi="仿宋_GB2312" w:eastAsia="仿宋_GB2312" w:cs="仿宋_GB2312"/>
          <w:color w:val="auto"/>
          <w:sz w:val="32"/>
          <w:szCs w:val="32"/>
          <w:lang w:eastAsia="zh-CN"/>
        </w:rPr>
        <w:t>。</w:t>
      </w:r>
    </w:p>
    <w:p w14:paraId="10F0EA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通过初审的拟选用</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，由培训学院项目</w:t>
      </w:r>
      <w:r>
        <w:rPr>
          <w:rFonts w:hint="eastAsia" w:ascii="仿宋_GB2312" w:hAnsi="仿宋_GB2312" w:eastAsia="仿宋_GB2312" w:cs="仿宋_GB2312"/>
          <w:color w:val="auto"/>
          <w:sz w:val="32"/>
          <w:szCs w:val="32"/>
          <w:lang w:val="en-US" w:eastAsia="zh-CN"/>
        </w:rPr>
        <w:t>组</w:t>
      </w:r>
      <w:r>
        <w:rPr>
          <w:rFonts w:hint="eastAsia" w:ascii="仿宋_GB2312" w:hAnsi="仿宋_GB2312" w:eastAsia="仿宋_GB2312" w:cs="仿宋_GB2312"/>
          <w:color w:val="auto"/>
          <w:sz w:val="32"/>
          <w:szCs w:val="32"/>
        </w:rPr>
        <w:t>填写《</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选用及酬金标准申请表》并附相关</w:t>
      </w:r>
      <w:r>
        <w:rPr>
          <w:rFonts w:hint="eastAsia" w:ascii="仿宋_GB2312" w:hAnsi="仿宋_GB2312" w:eastAsia="仿宋_GB2312" w:cs="仿宋_GB2312"/>
          <w:color w:val="auto"/>
          <w:sz w:val="32"/>
          <w:szCs w:val="32"/>
          <w:highlight w:val="none"/>
        </w:rPr>
        <w:t>证明材料，</w:t>
      </w:r>
      <w:r>
        <w:rPr>
          <w:rFonts w:hint="eastAsia" w:ascii="仿宋_GB2312" w:hAnsi="仿宋_GB2312" w:eastAsia="仿宋_GB2312" w:cs="仿宋_GB2312"/>
          <w:color w:val="auto"/>
          <w:sz w:val="32"/>
          <w:szCs w:val="32"/>
          <w:highlight w:val="none"/>
          <w:lang w:val="en-US" w:eastAsia="zh-CN"/>
        </w:rPr>
        <w:t>分别经培训学院</w:t>
      </w:r>
      <w:r>
        <w:rPr>
          <w:rFonts w:hint="eastAsia" w:ascii="仿宋_GB2312" w:hAnsi="仿宋_GB2312" w:eastAsia="仿宋_GB2312" w:cs="仿宋_GB2312"/>
          <w:color w:val="auto"/>
          <w:sz w:val="32"/>
          <w:szCs w:val="32"/>
          <w:highlight w:val="none"/>
        </w:rPr>
        <w:t>项目负责人、项目主办部门负责人、业务分</w:t>
      </w:r>
      <w:r>
        <w:rPr>
          <w:rFonts w:hint="eastAsia" w:ascii="仿宋_GB2312" w:hAnsi="仿宋_GB2312" w:eastAsia="仿宋_GB2312" w:cs="仿宋_GB2312"/>
          <w:color w:val="auto"/>
          <w:sz w:val="32"/>
          <w:szCs w:val="32"/>
        </w:rPr>
        <w:t>管</w:t>
      </w:r>
      <w:r>
        <w:rPr>
          <w:rFonts w:hint="eastAsia" w:ascii="仿宋_GB2312" w:hAnsi="仿宋_GB2312" w:eastAsia="仿宋_GB2312" w:cs="仿宋_GB2312"/>
          <w:color w:val="auto"/>
          <w:sz w:val="32"/>
          <w:szCs w:val="32"/>
          <w:lang w:val="en-US" w:eastAsia="zh-CN"/>
        </w:rPr>
        <w:t>负责人</w:t>
      </w:r>
      <w:r>
        <w:rPr>
          <w:rFonts w:hint="default" w:ascii="仿宋_GB2312" w:hAnsi="仿宋_GB2312" w:eastAsia="仿宋_GB2312" w:cs="仿宋_GB2312"/>
          <w:color w:val="auto"/>
          <w:sz w:val="32"/>
          <w:szCs w:val="32"/>
          <w:lang w:val="en-US"/>
        </w:rPr>
        <w:t>核查</w:t>
      </w:r>
      <w:r>
        <w:rPr>
          <w:rFonts w:hint="eastAsia" w:ascii="仿宋_GB2312" w:hAnsi="仿宋_GB2312" w:eastAsia="仿宋_GB2312" w:cs="仿宋_GB2312"/>
          <w:color w:val="auto"/>
          <w:sz w:val="32"/>
          <w:szCs w:val="32"/>
        </w:rPr>
        <w:t>后，提交培训学院教学管理</w:t>
      </w:r>
      <w:r>
        <w:rPr>
          <w:rFonts w:hint="eastAsia" w:ascii="仿宋_GB2312" w:hAnsi="仿宋_GB2312" w:eastAsia="仿宋_GB2312" w:cs="仿宋_GB2312"/>
          <w:color w:val="auto"/>
          <w:sz w:val="32"/>
          <w:szCs w:val="32"/>
          <w:lang w:val="en-US" w:eastAsia="zh-CN"/>
        </w:rPr>
        <w:t>办公室（以下简称教学管理办）</w:t>
      </w:r>
      <w:r>
        <w:rPr>
          <w:rFonts w:hint="eastAsia" w:ascii="仿宋_GB2312" w:hAnsi="仿宋_GB2312" w:eastAsia="仿宋_GB2312" w:cs="仿宋_GB2312"/>
          <w:color w:val="auto"/>
          <w:sz w:val="32"/>
          <w:szCs w:val="32"/>
        </w:rPr>
        <w:t>审核。</w:t>
      </w:r>
    </w:p>
    <w:p w14:paraId="0CF589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培训学院教学管理办对</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背景及其酬金标准的合规性、合理性进行审查，并按照规定程序分级报培训学院院长审批，</w:t>
      </w:r>
      <w:r>
        <w:rPr>
          <w:rFonts w:hint="eastAsia" w:ascii="仿宋_GB2312" w:hAnsi="仿宋_GB2312" w:eastAsia="仿宋_GB2312" w:cs="仿宋_GB2312"/>
          <w:color w:val="auto"/>
          <w:sz w:val="32"/>
          <w:szCs w:val="32"/>
          <w:highlight w:val="none"/>
        </w:rPr>
        <w:t>必要时报培训学院院长办公会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核心会</w:t>
      </w:r>
      <w:r>
        <w:rPr>
          <w:rFonts w:hint="eastAsia" w:ascii="仿宋_GB2312" w:hAnsi="仿宋_GB2312" w:eastAsia="仿宋_GB2312" w:cs="仿宋_GB2312"/>
          <w:color w:val="auto"/>
          <w:sz w:val="32"/>
          <w:szCs w:val="32"/>
          <w:highlight w:val="none"/>
        </w:rPr>
        <w:t>审议</w:t>
      </w:r>
      <w:r>
        <w:rPr>
          <w:rFonts w:hint="eastAsia" w:ascii="仿宋_GB2312" w:hAnsi="仿宋_GB2312" w:eastAsia="仿宋_GB2312" w:cs="仿宋_GB2312"/>
          <w:color w:val="auto"/>
          <w:sz w:val="32"/>
          <w:szCs w:val="32"/>
        </w:rPr>
        <w:t>，审批通过后方可选用。审批完成后，培训学院教学管理办及时准确登记授课教师信息，并报</w:t>
      </w:r>
      <w:r>
        <w:rPr>
          <w:rFonts w:hint="eastAsia" w:ascii="仿宋_GB2312" w:hAnsi="仿宋_GB2312" w:eastAsia="仿宋_GB2312" w:cs="仿宋_GB2312"/>
          <w:color w:val="auto"/>
          <w:sz w:val="32"/>
          <w:szCs w:val="32"/>
          <w:lang w:val="en-US" w:eastAsia="zh-CN"/>
        </w:rPr>
        <w:t>学校</w:t>
      </w:r>
      <w:r>
        <w:rPr>
          <w:rFonts w:hint="eastAsia" w:ascii="仿宋_GB2312" w:hAnsi="仿宋_GB2312" w:eastAsia="仿宋_GB2312" w:cs="仿宋_GB2312"/>
          <w:color w:val="auto"/>
          <w:sz w:val="32"/>
          <w:szCs w:val="32"/>
        </w:rPr>
        <w:t>终身教育处备案。</w:t>
      </w:r>
    </w:p>
    <w:p w14:paraId="4D17E5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第五条 </w:t>
      </w:r>
      <w:r>
        <w:rPr>
          <w:rFonts w:hint="eastAsia" w:ascii="仿宋_GB2312" w:hAnsi="仿宋_GB2312" w:eastAsia="仿宋_GB2312" w:cs="仿宋_GB2312"/>
          <w:color w:val="auto"/>
          <w:sz w:val="32"/>
          <w:szCs w:val="32"/>
        </w:rPr>
        <w:t xml:space="preserve">授课教师管理 </w:t>
      </w:r>
    </w:p>
    <w:p w14:paraId="5E9EA0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培训学院应</w:t>
      </w:r>
      <w:r>
        <w:rPr>
          <w:rFonts w:hint="eastAsia" w:ascii="仿宋_GB2312" w:hAnsi="仿宋_GB2312" w:eastAsia="仿宋_GB2312" w:cs="仿宋_GB2312"/>
          <w:color w:val="auto"/>
          <w:sz w:val="32"/>
          <w:szCs w:val="32"/>
        </w:rPr>
        <w:t>加强对授课教师的全过程监督管理，严格落实意识形态工作责任制。</w:t>
      </w:r>
    </w:p>
    <w:p w14:paraId="18F415B9">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（一）培训学院项目组</w:t>
      </w:r>
      <w:r>
        <w:rPr>
          <w:rFonts w:hint="eastAsia" w:ascii="仿宋_GB2312" w:hAnsi="仿宋_GB2312" w:eastAsia="仿宋_GB2312" w:cs="仿宋_GB2312"/>
          <w:color w:val="auto"/>
          <w:sz w:val="32"/>
          <w:szCs w:val="32"/>
        </w:rPr>
        <w:t>在教师授课前应向其明确师德规范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教学要求</w:t>
      </w:r>
      <w:r>
        <w:rPr>
          <w:rFonts w:hint="eastAsia" w:ascii="仿宋_GB2312" w:hAnsi="仿宋_GB2312" w:eastAsia="仿宋_GB2312" w:cs="仿宋_GB2312"/>
          <w:color w:val="auto"/>
          <w:sz w:val="32"/>
          <w:szCs w:val="32"/>
          <w:lang w:val="en-US" w:eastAsia="zh-CN"/>
        </w:rPr>
        <w:t>和授课酬金</w:t>
      </w:r>
      <w:r>
        <w:rPr>
          <w:rFonts w:hint="eastAsia" w:ascii="仿宋_GB2312" w:hAnsi="仿宋_GB2312" w:eastAsia="仿宋_GB2312" w:cs="仿宋_GB2312"/>
          <w:color w:val="auto"/>
          <w:sz w:val="32"/>
          <w:szCs w:val="32"/>
        </w:rPr>
        <w:t>，授课前</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要</w:t>
      </w:r>
      <w:r>
        <w:rPr>
          <w:rFonts w:hint="eastAsia" w:ascii="仿宋_GB2312" w:hAnsi="仿宋_GB2312" w:eastAsia="仿宋_GB2312" w:cs="仿宋_GB2312"/>
          <w:color w:val="auto"/>
          <w:sz w:val="32"/>
          <w:szCs w:val="32"/>
          <w:highlight w:val="none"/>
        </w:rPr>
        <w:t>求校外授课教师签署《授课教师知情承诺书》</w:t>
      </w:r>
      <w:r>
        <w:rPr>
          <w:rFonts w:hint="eastAsia" w:ascii="仿宋_GB2312" w:hAnsi="仿宋_GB2312" w:eastAsia="仿宋_GB2312" w:cs="仿宋_GB2312"/>
          <w:color w:val="auto"/>
          <w:sz w:val="32"/>
          <w:szCs w:val="32"/>
          <w:highlight w:val="none"/>
          <w:lang w:eastAsia="zh-CN"/>
        </w:rPr>
        <w:t>，课后连同班级学员签到表、教学评估资料等一并提交培训学院教学管理办归档保存。</w:t>
      </w:r>
      <w:r>
        <w:rPr>
          <w:rFonts w:hint="eastAsia" w:ascii="仿宋_GB2312" w:hAnsi="仿宋_GB2312" w:eastAsia="仿宋_GB2312" w:cs="仿宋_GB2312"/>
          <w:color w:val="auto"/>
          <w:sz w:val="32"/>
          <w:szCs w:val="32"/>
          <w:highlight w:val="none"/>
        </w:rPr>
        <w:t>项目组应特别提醒校外</w:t>
      </w:r>
      <w:r>
        <w:rPr>
          <w:rFonts w:hint="eastAsia" w:ascii="仿宋_GB2312" w:hAnsi="仿宋_GB2312" w:eastAsia="仿宋_GB2312" w:cs="仿宋_GB2312"/>
          <w:color w:val="auto"/>
          <w:sz w:val="32"/>
          <w:szCs w:val="32"/>
          <w:highlight w:val="none"/>
          <w:lang w:val="en-US" w:eastAsia="zh-CN"/>
        </w:rPr>
        <w:t>授课教师</w:t>
      </w:r>
      <w:r>
        <w:rPr>
          <w:rFonts w:hint="eastAsia" w:ascii="仿宋_GB2312" w:hAnsi="仿宋_GB2312" w:eastAsia="仿宋_GB2312" w:cs="仿宋_GB2312"/>
          <w:color w:val="auto"/>
          <w:sz w:val="32"/>
          <w:szCs w:val="32"/>
          <w:highlight w:val="none"/>
        </w:rPr>
        <w:t>，未经学校同意，不能以冠用学校</w:t>
      </w:r>
      <w:r>
        <w:rPr>
          <w:rFonts w:hint="eastAsia" w:ascii="仿宋_GB2312" w:hAnsi="仿宋_GB2312" w:eastAsia="仿宋_GB2312" w:cs="仿宋_GB2312"/>
          <w:color w:val="auto"/>
          <w:sz w:val="32"/>
          <w:szCs w:val="32"/>
        </w:rPr>
        <w:t>名称的职务（职衔）身份或名义进行个人宣传或开展活动。</w:t>
      </w:r>
    </w:p>
    <w:p w14:paraId="6053A023">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highlight w:val="none"/>
        </w:rPr>
        <w:t>在线录播课程等可重复使用的在线课程形式需与授课教师通过协议或授权书等书面方式，约定课程的内容、使用范围、期限、平台</w:t>
      </w:r>
      <w:r>
        <w:rPr>
          <w:rFonts w:hint="eastAsia" w:ascii="仿宋_GB2312" w:hAnsi="仿宋_GB2312" w:eastAsia="仿宋_GB2312" w:cs="仿宋_GB2312"/>
          <w:color w:val="auto"/>
          <w:sz w:val="32"/>
          <w:szCs w:val="32"/>
          <w:highlight w:val="none"/>
          <w:lang w:eastAsia="zh-CN"/>
        </w:rPr>
        <w:t>。</w:t>
      </w:r>
    </w:p>
    <w:p w14:paraId="544076A3">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rPr>
        <w:t>培训学院设管理专员岗，课前审核授课教师提供的讲义及推荐的教材资料，确保教师授课内容与继续教育项目教学目标一致，如发现意识形态等问题应停止发放。</w:t>
      </w:r>
    </w:p>
    <w:p w14:paraId="317817DF">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通过统一在学员讲义封底印制“监督二维码”、在每次上课班级签到处设置“监督二维码”等多种途径公布学校继续教育师德师风监督平台联系方式，加强对授课教师的监督。通过监督平台接收的反馈或者投诉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由培训学院教学管理办</w:t>
      </w:r>
      <w:r>
        <w:rPr>
          <w:rFonts w:hint="eastAsia" w:ascii="仿宋_GB2312" w:hAnsi="仿宋_GB2312" w:eastAsia="仿宋_GB2312" w:cs="仿宋_GB2312"/>
          <w:color w:val="auto"/>
          <w:sz w:val="32"/>
          <w:szCs w:val="32"/>
          <w:lang w:val="en-US" w:eastAsia="zh-CN"/>
        </w:rPr>
        <w:t>负责</w:t>
      </w:r>
      <w:r>
        <w:rPr>
          <w:rFonts w:hint="eastAsia" w:ascii="仿宋_GB2312" w:hAnsi="仿宋_GB2312" w:eastAsia="仿宋_GB2312" w:cs="仿宋_GB2312"/>
          <w:color w:val="auto"/>
          <w:sz w:val="32"/>
          <w:szCs w:val="32"/>
        </w:rPr>
        <w:t>受理。</w:t>
      </w:r>
    </w:p>
    <w:p w14:paraId="687D316C">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依照学校和学院教学督导与评教要求，安排督导人员，现场监督管理</w:t>
      </w:r>
      <w:r>
        <w:rPr>
          <w:rFonts w:hint="eastAsia" w:ascii="仿宋_GB2312" w:hAnsi="仿宋_GB2312" w:eastAsia="仿宋_GB2312" w:cs="仿宋_GB2312"/>
          <w:color w:val="auto"/>
          <w:sz w:val="32"/>
          <w:szCs w:val="32"/>
          <w:lang w:eastAsia="zh-CN"/>
        </w:rPr>
        <w:t>教师</w:t>
      </w:r>
      <w:r>
        <w:rPr>
          <w:rFonts w:hint="eastAsia" w:ascii="仿宋_GB2312" w:hAnsi="仿宋_GB2312" w:eastAsia="仿宋_GB2312" w:cs="仿宋_GB2312"/>
          <w:color w:val="auto"/>
          <w:sz w:val="32"/>
          <w:szCs w:val="32"/>
        </w:rPr>
        <w:t>教学工作、教学服务工作和学员课堂秩序。每班必须安排专人全程听课，对于授课中出现的问题，应按照学校相关规定和学院教学责任事故处理规定要求，快速响应处理。办学活动中如出现重大应急事件，应按照培训学院继续教育办学活动</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应急预案妥善处理。</w:t>
      </w:r>
    </w:p>
    <w:p w14:paraId="5D1DF834">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六）项目组</w:t>
      </w:r>
      <w:r>
        <w:rPr>
          <w:rFonts w:hint="eastAsia" w:ascii="仿宋_GB2312" w:hAnsi="仿宋_GB2312" w:eastAsia="仿宋_GB2312" w:cs="仿宋_GB2312"/>
          <w:color w:val="auto"/>
          <w:sz w:val="32"/>
          <w:szCs w:val="32"/>
        </w:rPr>
        <w:t>负责对授课教师进行日常教学评估，并将教学评估结果及时向授课</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和培训学院教学管理办反馈。培训学院教学管理办每月定期</w:t>
      </w:r>
      <w:r>
        <w:rPr>
          <w:rFonts w:hint="eastAsia" w:ascii="仿宋_GB2312" w:hAnsi="仿宋_GB2312" w:eastAsia="仿宋_GB2312" w:cs="仿宋_GB2312"/>
          <w:color w:val="auto"/>
          <w:sz w:val="32"/>
          <w:szCs w:val="32"/>
          <w:highlight w:val="none"/>
        </w:rPr>
        <w:t>向项目负责人</w:t>
      </w:r>
      <w:r>
        <w:rPr>
          <w:rFonts w:hint="eastAsia" w:ascii="仿宋_GB2312" w:hAnsi="仿宋_GB2312" w:eastAsia="仿宋_GB2312" w:cs="仿宋_GB2312"/>
          <w:color w:val="auto"/>
          <w:sz w:val="32"/>
          <w:szCs w:val="32"/>
        </w:rPr>
        <w:t>及以上人员发布当月课程教学评估情况，特殊情况及时向</w:t>
      </w:r>
      <w:r>
        <w:rPr>
          <w:rFonts w:hint="eastAsia" w:ascii="仿宋_GB2312" w:hAnsi="仿宋_GB2312" w:eastAsia="仿宋_GB2312" w:cs="仿宋_GB2312"/>
          <w:color w:val="auto"/>
          <w:sz w:val="32"/>
          <w:szCs w:val="32"/>
          <w:lang w:val="en-US" w:eastAsia="zh-CN"/>
        </w:rPr>
        <w:t>学校</w:t>
      </w:r>
      <w:r>
        <w:rPr>
          <w:rFonts w:hint="eastAsia" w:ascii="仿宋_GB2312" w:hAnsi="仿宋_GB2312" w:eastAsia="仿宋_GB2312" w:cs="仿宋_GB2312"/>
          <w:color w:val="auto"/>
          <w:sz w:val="32"/>
          <w:szCs w:val="32"/>
        </w:rPr>
        <w:t>终身教育处报告。</w:t>
      </w:r>
    </w:p>
    <w:p w14:paraId="24E92F53">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七）</w:t>
      </w:r>
      <w:r>
        <w:rPr>
          <w:rFonts w:hint="eastAsia" w:ascii="仿宋_GB2312" w:hAnsi="仿宋_GB2312" w:eastAsia="仿宋_GB2312" w:cs="仿宋_GB2312"/>
          <w:color w:val="auto"/>
          <w:sz w:val="32"/>
          <w:szCs w:val="32"/>
          <w:lang w:eastAsia="zh-CN"/>
        </w:rPr>
        <w:t>院内</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lang w:eastAsia="zh-CN"/>
        </w:rPr>
        <w:t>参与学院继续教育授课次数全年累计不超过22次（每</w:t>
      </w:r>
      <w:r>
        <w:rPr>
          <w:rFonts w:hint="eastAsia" w:ascii="仿宋_GB2312" w:hAnsi="仿宋_GB2312" w:eastAsia="仿宋_GB2312" w:cs="仿宋_GB2312"/>
          <w:color w:val="auto"/>
          <w:sz w:val="32"/>
          <w:szCs w:val="32"/>
          <w:lang w:val="en-US" w:eastAsia="zh-CN"/>
        </w:rPr>
        <w:t>半</w:t>
      </w:r>
      <w:r>
        <w:rPr>
          <w:rFonts w:hint="eastAsia" w:ascii="仿宋_GB2312" w:hAnsi="仿宋_GB2312" w:eastAsia="仿宋_GB2312" w:cs="仿宋_GB2312"/>
          <w:color w:val="auto"/>
          <w:sz w:val="32"/>
          <w:szCs w:val="32"/>
          <w:lang w:eastAsia="zh-CN"/>
        </w:rPr>
        <w:t>天计为1次）。</w:t>
      </w:r>
    </w:p>
    <w:p w14:paraId="3241DC4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第六条 </w:t>
      </w:r>
      <w:r>
        <w:rPr>
          <w:rFonts w:hint="eastAsia" w:ascii="仿宋_GB2312" w:hAnsi="仿宋_GB2312" w:eastAsia="仿宋_GB2312" w:cs="仿宋_GB2312"/>
          <w:color w:val="auto"/>
          <w:sz w:val="32"/>
          <w:szCs w:val="32"/>
          <w:lang w:val="en-US" w:eastAsia="zh-CN"/>
        </w:rPr>
        <w:t>培训学院</w:t>
      </w:r>
      <w:r>
        <w:rPr>
          <w:rFonts w:hint="eastAsia" w:ascii="仿宋_GB2312" w:hAnsi="仿宋_GB2312" w:eastAsia="仿宋_GB2312" w:cs="仿宋_GB2312"/>
          <w:color w:val="auto"/>
          <w:sz w:val="32"/>
          <w:szCs w:val="32"/>
        </w:rPr>
        <w:t>应做好授课教师的管理服务工作，为授课教师提供良好有序的教学环境，课后应依规依约及时支付课酬，保障授课教师的合法权益。</w:t>
      </w:r>
    </w:p>
    <w:p w14:paraId="30DA5A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应加强授课教师信息保护工作，确保信息安全。根据项目如需要使用授课教师的肖像、课件版权等，需事先以书面形式取得授课</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明确授权。</w:t>
      </w:r>
    </w:p>
    <w:p w14:paraId="3B83EA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第七条 </w:t>
      </w:r>
      <w:r>
        <w:rPr>
          <w:rFonts w:hint="eastAsia" w:ascii="仿宋_GB2312" w:hAnsi="仿宋_GB2312" w:eastAsia="仿宋_GB2312" w:cs="仿宋_GB2312"/>
          <w:color w:val="auto"/>
          <w:sz w:val="32"/>
          <w:szCs w:val="32"/>
        </w:rPr>
        <w:t>对于违反学校及</w:t>
      </w:r>
      <w:r>
        <w:rPr>
          <w:rFonts w:hint="eastAsia" w:ascii="仿宋_GB2312" w:hAnsi="仿宋_GB2312" w:eastAsia="仿宋_GB2312" w:cs="仿宋_GB2312"/>
          <w:color w:val="auto"/>
          <w:sz w:val="32"/>
          <w:szCs w:val="32"/>
          <w:highlight w:val="none"/>
          <w:lang w:val="en-US" w:eastAsia="zh-CN"/>
        </w:rPr>
        <w:t>学院</w:t>
      </w:r>
      <w:r>
        <w:rPr>
          <w:rFonts w:hint="eastAsia" w:ascii="仿宋_GB2312" w:hAnsi="仿宋_GB2312" w:eastAsia="仿宋_GB2312" w:cs="仿宋_GB2312"/>
          <w:color w:val="auto"/>
          <w:sz w:val="32"/>
          <w:szCs w:val="32"/>
          <w:highlight w:val="none"/>
        </w:rPr>
        <w:t>授</w:t>
      </w:r>
      <w:r>
        <w:rPr>
          <w:rFonts w:hint="eastAsia" w:ascii="仿宋_GB2312" w:hAnsi="仿宋_GB2312" w:eastAsia="仿宋_GB2312" w:cs="仿宋_GB2312"/>
          <w:color w:val="auto"/>
          <w:sz w:val="32"/>
          <w:szCs w:val="32"/>
        </w:rPr>
        <w:t>课教师相关管理规定的，应按照</w:t>
      </w:r>
      <w:r>
        <w:rPr>
          <w:rFonts w:hint="eastAsia" w:ascii="仿宋_GB2312" w:hAnsi="仿宋_GB2312" w:eastAsia="仿宋_GB2312" w:cs="仿宋_GB2312"/>
          <w:color w:val="auto"/>
          <w:sz w:val="32"/>
          <w:szCs w:val="32"/>
          <w:lang w:val="en-US" w:eastAsia="zh-CN"/>
        </w:rPr>
        <w:t>学院相关</w:t>
      </w:r>
      <w:r>
        <w:rPr>
          <w:rFonts w:hint="eastAsia" w:ascii="仿宋_GB2312" w:hAnsi="仿宋_GB2312" w:eastAsia="仿宋_GB2312" w:cs="仿宋_GB2312"/>
          <w:color w:val="auto"/>
          <w:sz w:val="32"/>
          <w:szCs w:val="32"/>
        </w:rPr>
        <w:t>授课教师违规处理流程处理，并上报</w:t>
      </w:r>
      <w:r>
        <w:rPr>
          <w:rFonts w:hint="eastAsia" w:ascii="仿宋_GB2312" w:hAnsi="仿宋_GB2312" w:eastAsia="仿宋_GB2312" w:cs="仿宋_GB2312"/>
          <w:color w:val="auto"/>
          <w:sz w:val="32"/>
          <w:szCs w:val="32"/>
          <w:lang w:val="en-US" w:eastAsia="zh-CN"/>
        </w:rPr>
        <w:t>学校</w:t>
      </w:r>
      <w:r>
        <w:rPr>
          <w:rFonts w:hint="eastAsia" w:ascii="仿宋_GB2312" w:hAnsi="仿宋_GB2312" w:eastAsia="仿宋_GB2312" w:cs="仿宋_GB2312"/>
          <w:color w:val="auto"/>
          <w:sz w:val="32"/>
          <w:szCs w:val="32"/>
        </w:rPr>
        <w:t>终身教育处。对于违规情节严重的授课教师，应及时停止其授课资格。</w:t>
      </w:r>
    </w:p>
    <w:p w14:paraId="4649AB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第八条 </w:t>
      </w:r>
      <w:r>
        <w:rPr>
          <w:rFonts w:hint="eastAsia" w:ascii="仿宋_GB2312" w:hAnsi="仿宋_GB2312" w:eastAsia="仿宋_GB2312" w:cs="仿宋_GB2312"/>
          <w:b w:val="0"/>
          <w:bCs w:val="0"/>
          <w:color w:val="auto"/>
          <w:sz w:val="32"/>
          <w:szCs w:val="32"/>
        </w:rPr>
        <w:t>学</w:t>
      </w:r>
      <w:r>
        <w:rPr>
          <w:rFonts w:hint="eastAsia" w:ascii="仿宋_GB2312" w:hAnsi="仿宋_GB2312" w:eastAsia="仿宋_GB2312" w:cs="仿宋_GB2312"/>
          <w:color w:val="auto"/>
          <w:sz w:val="32"/>
          <w:szCs w:val="32"/>
        </w:rPr>
        <w:t>院按照国家、学校关于课酬标准制定的相关要求，结合学院的工作实际，分类制定各类授课教师的课酬标准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酬金标准、酬金管理、酬金审核及发放流程等参见《清华大学深圳国际研究生院继续教育师资工作酬金管理实施细则》。授课教师完成授课后，应对照其课酬标准，按照实际授课学时发放酬金。</w:t>
      </w:r>
    </w:p>
    <w:p w14:paraId="6855CC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rPr>
        <w:t xml:space="preserve">第九条 </w:t>
      </w:r>
      <w:r>
        <w:rPr>
          <w:rFonts w:hint="eastAsia" w:ascii="仿宋_GB2312" w:hAnsi="仿宋_GB2312" w:eastAsia="仿宋_GB2312" w:cs="仿宋_GB2312"/>
          <w:b w:val="0"/>
          <w:bCs w:val="0"/>
          <w:color w:val="auto"/>
          <w:sz w:val="32"/>
          <w:szCs w:val="32"/>
          <w:lang w:val="en-US" w:eastAsia="zh-CN"/>
        </w:rPr>
        <w:t>承办</w:t>
      </w:r>
      <w:r>
        <w:rPr>
          <w:rFonts w:hint="eastAsia" w:ascii="仿宋_GB2312" w:hAnsi="仿宋_GB2312" w:eastAsia="仿宋_GB2312" w:cs="仿宋_GB2312"/>
          <w:color w:val="auto"/>
          <w:sz w:val="32"/>
          <w:szCs w:val="32"/>
        </w:rPr>
        <w:t>中央和国家机关及其所属机构</w:t>
      </w:r>
      <w:r>
        <w:rPr>
          <w:rFonts w:hint="eastAsia" w:ascii="仿宋_GB2312" w:hAnsi="仿宋_GB2312" w:eastAsia="仿宋_GB2312" w:cs="仿宋_GB2312"/>
          <w:color w:val="auto"/>
          <w:sz w:val="32"/>
          <w:szCs w:val="32"/>
          <w:lang w:val="en-US" w:eastAsia="zh-CN"/>
        </w:rPr>
        <w:t>举办的培训项目，教师费用须符合《中央和国家机关培训费管理办法》相关要求。</w:t>
      </w:r>
    </w:p>
    <w:p w14:paraId="7EB8BD7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十</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color w:val="auto"/>
          <w:sz w:val="32"/>
          <w:szCs w:val="32"/>
        </w:rPr>
        <w:t>对于未按要求开展上述工作的部门或个人，学院将根据视情节轻重进行问责。</w:t>
      </w:r>
    </w:p>
    <w:p w14:paraId="60FEA2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一</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color w:val="auto"/>
          <w:sz w:val="32"/>
          <w:szCs w:val="32"/>
        </w:rPr>
        <w:t>本实施细则由培训学院负责解释。</w:t>
      </w:r>
    </w:p>
    <w:p w14:paraId="0A23AD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color w:val="auto"/>
          <w:sz w:val="32"/>
          <w:szCs w:val="32"/>
        </w:rPr>
        <w:t>本实施细则自公布之日起实施。</w:t>
      </w:r>
    </w:p>
    <w:p w14:paraId="75B3939B">
      <w:pPr>
        <w:spacing w:line="360" w:lineRule="auto"/>
        <w:ind w:firstLine="560" w:firstLineChars="200"/>
        <w:rPr>
          <w:rFonts w:hint="eastAsia" w:ascii="仿宋" w:hAnsi="仿宋" w:eastAsia="仿宋"/>
          <w:color w:val="auto"/>
          <w:sz w:val="28"/>
          <w:szCs w:val="28"/>
        </w:rPr>
      </w:pPr>
    </w:p>
    <w:p w14:paraId="2306BD21">
      <w:pPr>
        <w:spacing w:line="240" w:lineRule="auto"/>
        <w:ind w:firstLine="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1BA451EB">
      <w:pPr>
        <w:spacing w:line="360" w:lineRule="auto"/>
        <w:ind w:firstLine="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w:t>
      </w:r>
    </w:p>
    <w:p w14:paraId="2F901531">
      <w:pPr>
        <w:spacing w:line="360" w:lineRule="auto"/>
        <w:ind w:firstLine="0" w:firstLineChars="0"/>
        <w:jc w:val="center"/>
        <w:rPr>
          <w:rFonts w:hint="eastAsia" w:ascii="方正小标宋简体" w:hAnsi="方正小标宋简体" w:eastAsia="方正小标宋简体" w:cs="方正小标宋简体"/>
          <w:color w:val="auto"/>
          <w:sz w:val="32"/>
          <w:szCs w:val="32"/>
        </w:rPr>
      </w:pPr>
      <w:r>
        <w:rPr>
          <w:rFonts w:hint="eastAsia" w:ascii="方正小标宋简体" w:hAnsi="方正小标宋简体" w:eastAsia="方正小标宋简体" w:cs="方正小标宋简体"/>
          <w:color w:val="auto"/>
          <w:sz w:val="32"/>
          <w:szCs w:val="32"/>
        </w:rPr>
        <w:t>师资分类及说明表</w:t>
      </w:r>
    </w:p>
    <w:tbl>
      <w:tblPr>
        <w:tblStyle w:val="6"/>
        <w:tblW w:w="8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7"/>
        <w:gridCol w:w="5944"/>
      </w:tblGrid>
      <w:tr w14:paraId="2143852C">
        <w:trPr>
          <w:jc w:val="center"/>
        </w:trPr>
        <w:tc>
          <w:tcPr>
            <w:tcW w:w="2517" w:type="dxa"/>
            <w:vAlign w:val="center"/>
          </w:tcPr>
          <w:p w14:paraId="0E67094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师资管理分类</w:t>
            </w:r>
          </w:p>
        </w:tc>
        <w:tc>
          <w:tcPr>
            <w:tcW w:w="5944" w:type="dxa"/>
            <w:vAlign w:val="center"/>
          </w:tcPr>
          <w:p w14:paraId="5A4D139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分类说明</w:t>
            </w:r>
          </w:p>
        </w:tc>
      </w:tr>
      <w:tr w14:paraId="294B8277">
        <w:trPr>
          <w:trHeight w:val="719" w:hRule="atLeast"/>
          <w:jc w:val="center"/>
        </w:trPr>
        <w:tc>
          <w:tcPr>
            <w:tcW w:w="2517" w:type="dxa"/>
            <w:vAlign w:val="center"/>
          </w:tcPr>
          <w:p w14:paraId="4C30428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清华师资</w:t>
            </w:r>
          </w:p>
        </w:tc>
        <w:tc>
          <w:tcPr>
            <w:tcW w:w="5944" w:type="dxa"/>
            <w:vAlign w:val="center"/>
          </w:tcPr>
          <w:p w14:paraId="0040AC9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持有清华大学工作证，或与清华大学各院系签订正式劳动合同的教职员工</w:t>
            </w:r>
          </w:p>
        </w:tc>
      </w:tr>
      <w:tr w14:paraId="485C0C4A">
        <w:trPr>
          <w:trHeight w:val="527" w:hRule="atLeast"/>
          <w:jc w:val="center"/>
        </w:trPr>
        <w:tc>
          <w:tcPr>
            <w:tcW w:w="2517" w:type="dxa"/>
            <w:vAlign w:val="center"/>
          </w:tcPr>
          <w:p w14:paraId="07C306D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高校师资</w:t>
            </w:r>
          </w:p>
        </w:tc>
        <w:tc>
          <w:tcPr>
            <w:tcW w:w="5944" w:type="dxa"/>
            <w:vAlign w:val="center"/>
          </w:tcPr>
          <w:p w14:paraId="5811C05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所有普通高校师资 </w:t>
            </w:r>
          </w:p>
        </w:tc>
      </w:tr>
      <w:tr w14:paraId="3A7ABDDA">
        <w:trPr>
          <w:jc w:val="center"/>
        </w:trPr>
        <w:tc>
          <w:tcPr>
            <w:tcW w:w="2517" w:type="dxa"/>
            <w:vAlign w:val="center"/>
          </w:tcPr>
          <w:p w14:paraId="5BA0D1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其他科研院所师资</w:t>
            </w:r>
          </w:p>
        </w:tc>
        <w:tc>
          <w:tcPr>
            <w:tcW w:w="5944" w:type="dxa"/>
            <w:vAlign w:val="center"/>
          </w:tcPr>
          <w:p w14:paraId="1104E44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包括中国科学院/中国社会科学院及其附属研究院所、中央/国家部委/中央军委直属研究院所及其他科研院所师资</w:t>
            </w:r>
          </w:p>
        </w:tc>
      </w:tr>
      <w:tr w14:paraId="25734B2E">
        <w:trPr>
          <w:jc w:val="center"/>
        </w:trPr>
        <w:tc>
          <w:tcPr>
            <w:tcW w:w="2517" w:type="dxa"/>
            <w:vAlign w:val="center"/>
          </w:tcPr>
          <w:p w14:paraId="45DCCB0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党政机构和其他事业单位师资</w:t>
            </w:r>
          </w:p>
        </w:tc>
        <w:tc>
          <w:tcPr>
            <w:tcW w:w="5944" w:type="dxa"/>
            <w:vAlign w:val="center"/>
          </w:tcPr>
          <w:p w14:paraId="4790934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高校和科研院所以外国家机关和事业单位师资</w:t>
            </w:r>
          </w:p>
        </w:tc>
      </w:tr>
      <w:tr w14:paraId="66741726">
        <w:trPr>
          <w:trHeight w:val="572" w:hRule="atLeast"/>
          <w:jc w:val="center"/>
        </w:trPr>
        <w:tc>
          <w:tcPr>
            <w:tcW w:w="2517" w:type="dxa"/>
            <w:vAlign w:val="center"/>
          </w:tcPr>
          <w:p w14:paraId="18741CF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军队师资</w:t>
            </w:r>
          </w:p>
        </w:tc>
        <w:tc>
          <w:tcPr>
            <w:tcW w:w="5944" w:type="dxa"/>
            <w:vAlign w:val="center"/>
          </w:tcPr>
          <w:p w14:paraId="07162D8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中央军委直属研究院所以外军队师资</w:t>
            </w:r>
          </w:p>
        </w:tc>
      </w:tr>
      <w:tr w14:paraId="36D3F041">
        <w:trPr>
          <w:jc w:val="center"/>
        </w:trPr>
        <w:tc>
          <w:tcPr>
            <w:tcW w:w="2517" w:type="dxa"/>
            <w:vAlign w:val="center"/>
          </w:tcPr>
          <w:p w14:paraId="2EAAA4E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国有资本参股企业师资</w:t>
            </w:r>
          </w:p>
        </w:tc>
        <w:tc>
          <w:tcPr>
            <w:tcW w:w="5944" w:type="dxa"/>
            <w:vAlign w:val="center"/>
          </w:tcPr>
          <w:p w14:paraId="46494A1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国有独资企业、国有独资公司以及国有资本参股公司师资（按照国有资产管理权限划分为中央企业和地方国有企业）</w:t>
            </w:r>
          </w:p>
        </w:tc>
      </w:tr>
      <w:tr w14:paraId="24A6C299">
        <w:trPr>
          <w:trHeight w:val="1016" w:hRule="atLeast"/>
          <w:jc w:val="center"/>
        </w:trPr>
        <w:tc>
          <w:tcPr>
            <w:tcW w:w="2517" w:type="dxa"/>
            <w:vAlign w:val="center"/>
          </w:tcPr>
          <w:p w14:paraId="3E6606F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非国有大型企业</w:t>
            </w:r>
          </w:p>
          <w:p w14:paraId="6F7922A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师资</w:t>
            </w:r>
          </w:p>
        </w:tc>
        <w:tc>
          <w:tcPr>
            <w:tcW w:w="5944" w:type="dxa"/>
            <w:vAlign w:val="center"/>
          </w:tcPr>
          <w:p w14:paraId="7A416D3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依据国家统计局发《统计上大中小微型企业划分办法（2017）》，通过“企查查”“天眼查”等企业信息查询平台或其他官方信息查询企业规模 </w:t>
            </w:r>
          </w:p>
        </w:tc>
      </w:tr>
      <w:tr w14:paraId="2F2808D0">
        <w:trPr>
          <w:jc w:val="center"/>
        </w:trPr>
        <w:tc>
          <w:tcPr>
            <w:tcW w:w="2517" w:type="dxa"/>
            <w:vAlign w:val="center"/>
          </w:tcPr>
          <w:p w14:paraId="0478A22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中小型企业师资</w:t>
            </w:r>
          </w:p>
        </w:tc>
        <w:tc>
          <w:tcPr>
            <w:tcW w:w="5944" w:type="dxa"/>
            <w:vAlign w:val="center"/>
          </w:tcPr>
          <w:p w14:paraId="3F4D9D7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依据国家统计局发《统计上大中小微型企业划分办法（2017）》，通过“企查查”“天眼查”等企业信息查询平台或其他官方信息查询企业规模（不包括国企）</w:t>
            </w:r>
          </w:p>
        </w:tc>
      </w:tr>
      <w:tr w14:paraId="65770C7D">
        <w:trPr>
          <w:jc w:val="center"/>
        </w:trPr>
        <w:tc>
          <w:tcPr>
            <w:tcW w:w="2517" w:type="dxa"/>
            <w:vAlign w:val="center"/>
          </w:tcPr>
          <w:p w14:paraId="47EB0D3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社团师资</w:t>
            </w:r>
          </w:p>
        </w:tc>
        <w:tc>
          <w:tcPr>
            <w:tcW w:w="5944" w:type="dxa"/>
            <w:vAlign w:val="center"/>
          </w:tcPr>
          <w:p w14:paraId="11419CF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社会团体包括非营利组织和营利组织两类，如学会、协会、联合会、基金会、民办非企业单位等</w:t>
            </w:r>
          </w:p>
        </w:tc>
      </w:tr>
      <w:tr w14:paraId="58CB87A2">
        <w:trPr>
          <w:jc w:val="center"/>
        </w:trPr>
        <w:tc>
          <w:tcPr>
            <w:tcW w:w="2517" w:type="dxa"/>
            <w:vAlign w:val="center"/>
          </w:tcPr>
          <w:p w14:paraId="6A8D592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培训师类师资</w:t>
            </w:r>
          </w:p>
        </w:tc>
        <w:tc>
          <w:tcPr>
            <w:tcW w:w="5944" w:type="dxa"/>
            <w:vAlign w:val="center"/>
          </w:tcPr>
          <w:p w14:paraId="6AC2BA7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专职从事咨询、顾问、培训工作的师资，界定为培训师类师资。包括自由职业者及来自咨询公司、顾问公司、教育公司等单位的师资（公司经营范围中包括教育咨询、管理咨询、营销咨询等咨询业务）</w:t>
            </w:r>
          </w:p>
        </w:tc>
      </w:tr>
      <w:tr w14:paraId="33F8A800">
        <w:trPr>
          <w:trHeight w:val="527" w:hRule="atLeast"/>
          <w:jc w:val="center"/>
        </w:trPr>
        <w:tc>
          <w:tcPr>
            <w:tcW w:w="2517" w:type="dxa"/>
            <w:vAlign w:val="center"/>
          </w:tcPr>
          <w:p w14:paraId="251A452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教育类专用师资</w:t>
            </w:r>
          </w:p>
        </w:tc>
        <w:tc>
          <w:tcPr>
            <w:tcW w:w="5944" w:type="dxa"/>
            <w:vAlign w:val="center"/>
          </w:tcPr>
          <w:p w14:paraId="2FA3ACA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中职类学校/中小学/幼儿园师资</w:t>
            </w:r>
          </w:p>
        </w:tc>
      </w:tr>
      <w:tr w14:paraId="1A2B049E">
        <w:trPr>
          <w:jc w:val="center"/>
        </w:trPr>
        <w:tc>
          <w:tcPr>
            <w:tcW w:w="2517" w:type="dxa"/>
            <w:vAlign w:val="center"/>
          </w:tcPr>
          <w:p w14:paraId="31A42BF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其他</w:t>
            </w:r>
            <w:r>
              <w:rPr>
                <w:rFonts w:hint="eastAsia" w:ascii="仿宋_GB2312" w:hAnsi="仿宋_GB2312" w:eastAsia="仿宋_GB2312" w:cs="仿宋_GB2312"/>
                <w:color w:val="auto"/>
                <w:sz w:val="28"/>
                <w:szCs w:val="28"/>
              </w:rPr>
              <w:t>教学类师资</w:t>
            </w:r>
          </w:p>
        </w:tc>
        <w:tc>
          <w:tcPr>
            <w:tcW w:w="5944" w:type="dxa"/>
            <w:vAlign w:val="center"/>
          </w:tcPr>
          <w:p w14:paraId="2ED27C3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上述分类以外，只能承担现场教学解说/座谈、经验分享、项目课题/论文指导等工作的师资</w:t>
            </w:r>
          </w:p>
        </w:tc>
      </w:tr>
    </w:tbl>
    <w:p w14:paraId="1C49D2C2">
      <w:pPr>
        <w:spacing w:line="360" w:lineRule="auto"/>
        <w:rPr>
          <w:rFonts w:ascii="仿宋" w:hAnsi="仿宋" w:eastAsia="仿宋"/>
          <w:color w:val="auto"/>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C63C1">
    <w:pPr>
      <w:pStyle w:val="3"/>
    </w:pPr>
    <w:r>
      <mc:AlternateContent>
        <mc:Choice Requires="wps">
          <w:drawing>
            <wp:anchor distT="0" distB="0" distL="114300" distR="114300" simplePos="0" relativeHeight="251659264" behindDoc="0" locked="0" layoutInCell="1" allowOverlap="1">
              <wp:simplePos x="0" y="0"/>
              <wp:positionH relativeFrom="margin">
                <wp:posOffset>2433955</wp:posOffset>
              </wp:positionH>
              <wp:positionV relativeFrom="paragraph">
                <wp:posOffset>-14605</wp:posOffset>
              </wp:positionV>
              <wp:extent cx="1828800" cy="1758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758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B7BFA">
                          <w:pPr>
                            <w:pStyle w:val="3"/>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91.65pt;margin-top:-1.15pt;height:13.85pt;width:144pt;mso-position-horizontal-relative:margin;mso-wrap-style:none;z-index:251659264;mso-width-relative:page;mso-height-relative:page;" filled="f" stroked="f" coordsize="21600,21600" o:gfxdata="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hBLYx2QAAAAkBAAAPAAAAAAAAAAEAIAAAACIAAABkcnMvZG93bnJldi54bWxQ&#10;SwECFAAUAAAACACHTuJAPUML+C8CAABUBAAADgAAAAAAAAABACAAAAAoAQAAZHJzL2Uyb0RvYy54&#10;bWxQSwUGAAAAAAYABgBZAQAAyQUAAAAA&#10;">
              <v:fill on="f" focussize="0,0"/>
              <v:stroke on="f" weight="0.5pt"/>
              <v:imagedata o:title=""/>
              <o:lock v:ext="edit" aspectratio="f"/>
              <v:textbox inset="0mm,0mm,0mm,0mm">
                <w:txbxContent>
                  <w:p w14:paraId="425B7BFA">
                    <w:pPr>
                      <w:pStyle w:val="3"/>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r>
                      <w:rPr>
                        <w:rFonts w:hint="default"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004"/>
    <w:rsid w:val="000044F6"/>
    <w:rsid w:val="00015AF4"/>
    <w:rsid w:val="00036004"/>
    <w:rsid w:val="00046F1C"/>
    <w:rsid w:val="00074E7C"/>
    <w:rsid w:val="000913C1"/>
    <w:rsid w:val="00091463"/>
    <w:rsid w:val="000A30C7"/>
    <w:rsid w:val="000B47EA"/>
    <w:rsid w:val="000B6C9F"/>
    <w:rsid w:val="000C0728"/>
    <w:rsid w:val="000C6C1B"/>
    <w:rsid w:val="000C7139"/>
    <w:rsid w:val="000D0325"/>
    <w:rsid w:val="000E72D3"/>
    <w:rsid w:val="000F1936"/>
    <w:rsid w:val="00100787"/>
    <w:rsid w:val="0010175A"/>
    <w:rsid w:val="001043A8"/>
    <w:rsid w:val="00142B9D"/>
    <w:rsid w:val="00144A50"/>
    <w:rsid w:val="00153175"/>
    <w:rsid w:val="00161A31"/>
    <w:rsid w:val="001947F0"/>
    <w:rsid w:val="001B1318"/>
    <w:rsid w:val="001C02F5"/>
    <w:rsid w:val="001C4847"/>
    <w:rsid w:val="001E06C5"/>
    <w:rsid w:val="001E35E2"/>
    <w:rsid w:val="002000D4"/>
    <w:rsid w:val="002127AC"/>
    <w:rsid w:val="002368C5"/>
    <w:rsid w:val="00247280"/>
    <w:rsid w:val="002875E3"/>
    <w:rsid w:val="002967DA"/>
    <w:rsid w:val="002A038E"/>
    <w:rsid w:val="002A3152"/>
    <w:rsid w:val="002C691B"/>
    <w:rsid w:val="002E0E82"/>
    <w:rsid w:val="002F2C2E"/>
    <w:rsid w:val="00300A1A"/>
    <w:rsid w:val="00324612"/>
    <w:rsid w:val="00330161"/>
    <w:rsid w:val="0033237C"/>
    <w:rsid w:val="00334940"/>
    <w:rsid w:val="00350627"/>
    <w:rsid w:val="0035714D"/>
    <w:rsid w:val="003920E4"/>
    <w:rsid w:val="00393FBD"/>
    <w:rsid w:val="003B3E6D"/>
    <w:rsid w:val="003B41B0"/>
    <w:rsid w:val="003E01E4"/>
    <w:rsid w:val="0040466F"/>
    <w:rsid w:val="00414839"/>
    <w:rsid w:val="00426D0D"/>
    <w:rsid w:val="004352B3"/>
    <w:rsid w:val="00436B23"/>
    <w:rsid w:val="0048549C"/>
    <w:rsid w:val="004A5146"/>
    <w:rsid w:val="004B7E1E"/>
    <w:rsid w:val="004D2B7C"/>
    <w:rsid w:val="004D4116"/>
    <w:rsid w:val="004D7611"/>
    <w:rsid w:val="004E0685"/>
    <w:rsid w:val="004E70A2"/>
    <w:rsid w:val="004E767C"/>
    <w:rsid w:val="00507D67"/>
    <w:rsid w:val="00512227"/>
    <w:rsid w:val="00525940"/>
    <w:rsid w:val="0053375B"/>
    <w:rsid w:val="0054227D"/>
    <w:rsid w:val="005429AE"/>
    <w:rsid w:val="00547197"/>
    <w:rsid w:val="005531D3"/>
    <w:rsid w:val="00557E08"/>
    <w:rsid w:val="00561CD8"/>
    <w:rsid w:val="00596070"/>
    <w:rsid w:val="005B3979"/>
    <w:rsid w:val="005B52BF"/>
    <w:rsid w:val="005B6026"/>
    <w:rsid w:val="005C067C"/>
    <w:rsid w:val="005C36B6"/>
    <w:rsid w:val="0060328D"/>
    <w:rsid w:val="0062534A"/>
    <w:rsid w:val="00636070"/>
    <w:rsid w:val="00637DE2"/>
    <w:rsid w:val="006605E0"/>
    <w:rsid w:val="0066515A"/>
    <w:rsid w:val="00671827"/>
    <w:rsid w:val="0067506C"/>
    <w:rsid w:val="0068639B"/>
    <w:rsid w:val="00697AF1"/>
    <w:rsid w:val="006C3C79"/>
    <w:rsid w:val="006C6809"/>
    <w:rsid w:val="006E2043"/>
    <w:rsid w:val="006E6CC9"/>
    <w:rsid w:val="006F6E7D"/>
    <w:rsid w:val="00700EC0"/>
    <w:rsid w:val="007015C4"/>
    <w:rsid w:val="00702041"/>
    <w:rsid w:val="007038E2"/>
    <w:rsid w:val="00706FEE"/>
    <w:rsid w:val="00713436"/>
    <w:rsid w:val="007212AF"/>
    <w:rsid w:val="007242D5"/>
    <w:rsid w:val="007315BF"/>
    <w:rsid w:val="00740913"/>
    <w:rsid w:val="00743A2F"/>
    <w:rsid w:val="00755FB4"/>
    <w:rsid w:val="007661ED"/>
    <w:rsid w:val="00771D36"/>
    <w:rsid w:val="00776C4C"/>
    <w:rsid w:val="00781D10"/>
    <w:rsid w:val="00781FF3"/>
    <w:rsid w:val="007A7CFD"/>
    <w:rsid w:val="007C015A"/>
    <w:rsid w:val="007C6EEC"/>
    <w:rsid w:val="007D18DB"/>
    <w:rsid w:val="007D68AE"/>
    <w:rsid w:val="007E15A5"/>
    <w:rsid w:val="00810E36"/>
    <w:rsid w:val="00814342"/>
    <w:rsid w:val="00822115"/>
    <w:rsid w:val="0083141B"/>
    <w:rsid w:val="00833A08"/>
    <w:rsid w:val="00836A5F"/>
    <w:rsid w:val="008419E7"/>
    <w:rsid w:val="0084748E"/>
    <w:rsid w:val="008552C2"/>
    <w:rsid w:val="0086085D"/>
    <w:rsid w:val="0086741E"/>
    <w:rsid w:val="008834E8"/>
    <w:rsid w:val="008857D3"/>
    <w:rsid w:val="00893BD0"/>
    <w:rsid w:val="0089746F"/>
    <w:rsid w:val="008A3969"/>
    <w:rsid w:val="008B7286"/>
    <w:rsid w:val="008C266E"/>
    <w:rsid w:val="008D0144"/>
    <w:rsid w:val="008D38C6"/>
    <w:rsid w:val="008E07D1"/>
    <w:rsid w:val="008F39A5"/>
    <w:rsid w:val="009075C5"/>
    <w:rsid w:val="00913F5D"/>
    <w:rsid w:val="00946C47"/>
    <w:rsid w:val="00955269"/>
    <w:rsid w:val="00963E5D"/>
    <w:rsid w:val="0096509C"/>
    <w:rsid w:val="009B4D45"/>
    <w:rsid w:val="009C1A9C"/>
    <w:rsid w:val="009C4647"/>
    <w:rsid w:val="009D2A95"/>
    <w:rsid w:val="009E2616"/>
    <w:rsid w:val="009E7B50"/>
    <w:rsid w:val="009F36DD"/>
    <w:rsid w:val="009F71CE"/>
    <w:rsid w:val="00A04DAF"/>
    <w:rsid w:val="00A065D6"/>
    <w:rsid w:val="00A06C82"/>
    <w:rsid w:val="00A1480D"/>
    <w:rsid w:val="00A1536A"/>
    <w:rsid w:val="00A16629"/>
    <w:rsid w:val="00A1669D"/>
    <w:rsid w:val="00A2118D"/>
    <w:rsid w:val="00A22837"/>
    <w:rsid w:val="00A2533C"/>
    <w:rsid w:val="00A6685A"/>
    <w:rsid w:val="00A66E4F"/>
    <w:rsid w:val="00A758F4"/>
    <w:rsid w:val="00A778F3"/>
    <w:rsid w:val="00A91068"/>
    <w:rsid w:val="00A92AE9"/>
    <w:rsid w:val="00AA5A11"/>
    <w:rsid w:val="00AA7C0A"/>
    <w:rsid w:val="00AD4F03"/>
    <w:rsid w:val="00AF5DC5"/>
    <w:rsid w:val="00B179F1"/>
    <w:rsid w:val="00B20F7A"/>
    <w:rsid w:val="00B5454A"/>
    <w:rsid w:val="00B66321"/>
    <w:rsid w:val="00B90D39"/>
    <w:rsid w:val="00B93035"/>
    <w:rsid w:val="00BB36A8"/>
    <w:rsid w:val="00BD3002"/>
    <w:rsid w:val="00BE0A3E"/>
    <w:rsid w:val="00BE241A"/>
    <w:rsid w:val="00BE53F3"/>
    <w:rsid w:val="00C045EC"/>
    <w:rsid w:val="00C16A91"/>
    <w:rsid w:val="00C20ACF"/>
    <w:rsid w:val="00C21068"/>
    <w:rsid w:val="00C255A6"/>
    <w:rsid w:val="00C36854"/>
    <w:rsid w:val="00CA03C3"/>
    <w:rsid w:val="00CA0EE7"/>
    <w:rsid w:val="00CB1A9D"/>
    <w:rsid w:val="00CC27CC"/>
    <w:rsid w:val="00CC38B2"/>
    <w:rsid w:val="00CC50DA"/>
    <w:rsid w:val="00CD0959"/>
    <w:rsid w:val="00CD626B"/>
    <w:rsid w:val="00CD77C1"/>
    <w:rsid w:val="00CE263B"/>
    <w:rsid w:val="00CE616D"/>
    <w:rsid w:val="00CF1639"/>
    <w:rsid w:val="00CF2F59"/>
    <w:rsid w:val="00D43F39"/>
    <w:rsid w:val="00D6641E"/>
    <w:rsid w:val="00D80A7B"/>
    <w:rsid w:val="00D95BB0"/>
    <w:rsid w:val="00DB3FAF"/>
    <w:rsid w:val="00DC3A03"/>
    <w:rsid w:val="00DC70CF"/>
    <w:rsid w:val="00DD0D71"/>
    <w:rsid w:val="00DE1048"/>
    <w:rsid w:val="00DE2CC5"/>
    <w:rsid w:val="00E10841"/>
    <w:rsid w:val="00E16498"/>
    <w:rsid w:val="00E259CE"/>
    <w:rsid w:val="00E25DC9"/>
    <w:rsid w:val="00E27D26"/>
    <w:rsid w:val="00E43722"/>
    <w:rsid w:val="00E45E55"/>
    <w:rsid w:val="00E62E45"/>
    <w:rsid w:val="00E97AFE"/>
    <w:rsid w:val="00EB2A78"/>
    <w:rsid w:val="00EB7035"/>
    <w:rsid w:val="00EE07A7"/>
    <w:rsid w:val="00EE7643"/>
    <w:rsid w:val="00EF0899"/>
    <w:rsid w:val="00F01B97"/>
    <w:rsid w:val="00F77EC8"/>
    <w:rsid w:val="00F96A3E"/>
    <w:rsid w:val="00FA145A"/>
    <w:rsid w:val="00FE192B"/>
    <w:rsid w:val="00FF6069"/>
    <w:rsid w:val="00FF7909"/>
    <w:rsid w:val="03B258C1"/>
    <w:rsid w:val="041F716E"/>
    <w:rsid w:val="07166E00"/>
    <w:rsid w:val="10B72A0C"/>
    <w:rsid w:val="19E6338C"/>
    <w:rsid w:val="1A4C0422"/>
    <w:rsid w:val="1C6375CD"/>
    <w:rsid w:val="1E727D04"/>
    <w:rsid w:val="1FFF72D9"/>
    <w:rsid w:val="226A00BB"/>
    <w:rsid w:val="2373331A"/>
    <w:rsid w:val="24050431"/>
    <w:rsid w:val="25BF34E6"/>
    <w:rsid w:val="26EFF9E1"/>
    <w:rsid w:val="26F1469D"/>
    <w:rsid w:val="272A0A77"/>
    <w:rsid w:val="2DEEC75B"/>
    <w:rsid w:val="2E79F6B6"/>
    <w:rsid w:val="304D0EBF"/>
    <w:rsid w:val="32D646BC"/>
    <w:rsid w:val="333F226C"/>
    <w:rsid w:val="35004C19"/>
    <w:rsid w:val="36444CAC"/>
    <w:rsid w:val="37DF0314"/>
    <w:rsid w:val="3A64183E"/>
    <w:rsid w:val="3AC16F61"/>
    <w:rsid w:val="3AFF4126"/>
    <w:rsid w:val="3BA96B71"/>
    <w:rsid w:val="3BF6B7A7"/>
    <w:rsid w:val="3C955CB0"/>
    <w:rsid w:val="3D205578"/>
    <w:rsid w:val="3D5D6FD7"/>
    <w:rsid w:val="3DFF37F7"/>
    <w:rsid w:val="3E5E1696"/>
    <w:rsid w:val="3F373C95"/>
    <w:rsid w:val="3F9F40E3"/>
    <w:rsid w:val="3FBD76D2"/>
    <w:rsid w:val="3FBFA4D7"/>
    <w:rsid w:val="3FDFC636"/>
    <w:rsid w:val="3FFCC07C"/>
    <w:rsid w:val="401E4274"/>
    <w:rsid w:val="40B35C1D"/>
    <w:rsid w:val="42B44D81"/>
    <w:rsid w:val="44544A76"/>
    <w:rsid w:val="449B0C14"/>
    <w:rsid w:val="465A5445"/>
    <w:rsid w:val="4785600C"/>
    <w:rsid w:val="47CE2CF0"/>
    <w:rsid w:val="49DF6CF5"/>
    <w:rsid w:val="4B2F2866"/>
    <w:rsid w:val="4C304310"/>
    <w:rsid w:val="4ED666F7"/>
    <w:rsid w:val="4FB95833"/>
    <w:rsid w:val="51D17C65"/>
    <w:rsid w:val="55BE0395"/>
    <w:rsid w:val="5DFF0A37"/>
    <w:rsid w:val="5E260C34"/>
    <w:rsid w:val="5F141327"/>
    <w:rsid w:val="5F8CA5CD"/>
    <w:rsid w:val="61EA4E6B"/>
    <w:rsid w:val="64D158FD"/>
    <w:rsid w:val="64DB0A9B"/>
    <w:rsid w:val="65227456"/>
    <w:rsid w:val="67431FB5"/>
    <w:rsid w:val="675F3A72"/>
    <w:rsid w:val="67BFEA91"/>
    <w:rsid w:val="67EFFD66"/>
    <w:rsid w:val="67F70AC8"/>
    <w:rsid w:val="6A2B6021"/>
    <w:rsid w:val="6A845731"/>
    <w:rsid w:val="6CBF39C3"/>
    <w:rsid w:val="6CDB62D0"/>
    <w:rsid w:val="6CF94E2F"/>
    <w:rsid w:val="6DFDE9E7"/>
    <w:rsid w:val="6F359DD6"/>
    <w:rsid w:val="6F777BBF"/>
    <w:rsid w:val="6FBD0C63"/>
    <w:rsid w:val="6FD24A6F"/>
    <w:rsid w:val="73EFCD4B"/>
    <w:rsid w:val="74F778D2"/>
    <w:rsid w:val="76EC6D39"/>
    <w:rsid w:val="77BF1D7E"/>
    <w:rsid w:val="77F2FD37"/>
    <w:rsid w:val="7AD74783"/>
    <w:rsid w:val="7BBF0160"/>
    <w:rsid w:val="7BDD9DF8"/>
    <w:rsid w:val="7BFFADBC"/>
    <w:rsid w:val="7C7E8238"/>
    <w:rsid w:val="7CEBC359"/>
    <w:rsid w:val="7D3AF42B"/>
    <w:rsid w:val="7DFB2EB8"/>
    <w:rsid w:val="7DFB9884"/>
    <w:rsid w:val="7DFE549E"/>
    <w:rsid w:val="7DFF129D"/>
    <w:rsid w:val="7E7E0FE4"/>
    <w:rsid w:val="7EBC9996"/>
    <w:rsid w:val="7EFF7189"/>
    <w:rsid w:val="7F39FD36"/>
    <w:rsid w:val="7F4F84B3"/>
    <w:rsid w:val="7F9F9571"/>
    <w:rsid w:val="7FAF4501"/>
    <w:rsid w:val="7FDFCB80"/>
    <w:rsid w:val="7FEF901D"/>
    <w:rsid w:val="7FFDBCE1"/>
    <w:rsid w:val="7FFF4FAD"/>
    <w:rsid w:val="946A6845"/>
    <w:rsid w:val="9EBB097F"/>
    <w:rsid w:val="9EFD542E"/>
    <w:rsid w:val="9FDCAB8C"/>
    <w:rsid w:val="ABFF6BD2"/>
    <w:rsid w:val="AFDF6157"/>
    <w:rsid w:val="AFFEFC6E"/>
    <w:rsid w:val="B7F7F706"/>
    <w:rsid w:val="BDFF11EC"/>
    <w:rsid w:val="BF57C344"/>
    <w:rsid w:val="BF9ECF0E"/>
    <w:rsid w:val="BFDFA898"/>
    <w:rsid w:val="BFF7F390"/>
    <w:rsid w:val="C7AD3777"/>
    <w:rsid w:val="CBE994BC"/>
    <w:rsid w:val="CFAAF5AB"/>
    <w:rsid w:val="CFAE06BA"/>
    <w:rsid w:val="D5EFAFC0"/>
    <w:rsid w:val="D64F50C0"/>
    <w:rsid w:val="D6FBD904"/>
    <w:rsid w:val="D7DE9D4F"/>
    <w:rsid w:val="D81D6ECF"/>
    <w:rsid w:val="DC1FD43C"/>
    <w:rsid w:val="DDA59D67"/>
    <w:rsid w:val="DEFD4A5C"/>
    <w:rsid w:val="DFBE6A99"/>
    <w:rsid w:val="DFBFB443"/>
    <w:rsid w:val="DFD54750"/>
    <w:rsid w:val="DFE6BE3A"/>
    <w:rsid w:val="DFEF4385"/>
    <w:rsid w:val="E3AF043B"/>
    <w:rsid w:val="E47E4B74"/>
    <w:rsid w:val="E9FF908A"/>
    <w:rsid w:val="EDFB82C3"/>
    <w:rsid w:val="F07F0240"/>
    <w:rsid w:val="F5F67FD6"/>
    <w:rsid w:val="F73F4D01"/>
    <w:rsid w:val="FADF30C0"/>
    <w:rsid w:val="FBFDAD04"/>
    <w:rsid w:val="FCE7EC15"/>
    <w:rsid w:val="FD6F728E"/>
    <w:rsid w:val="FDFB7DB3"/>
    <w:rsid w:val="FECD6106"/>
    <w:rsid w:val="FED5FC23"/>
    <w:rsid w:val="FF7FE6CA"/>
    <w:rsid w:val="FFFDE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fontstyle11"/>
    <w:basedOn w:val="7"/>
    <w:qFormat/>
    <w:uiPriority w:val="0"/>
    <w:rPr>
      <w:rFonts w:ascii="仿宋" w:hAnsi="仿宋" w:eastAsia="仿宋" w:cs="仿宋"/>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3058</Words>
  <Characters>3073</Characters>
  <Lines>23</Lines>
  <Paragraphs>6</Paragraphs>
  <TotalTime>0</TotalTime>
  <ScaleCrop>false</ScaleCrop>
  <LinksUpToDate>false</LinksUpToDate>
  <CharactersWithSpaces>3095</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2025-04-21T11:42:00Z</dcterms:created>
  <dc:creator>pxxy</dc:creator>
  <cp:lastModifiedBy>谭沙丽</cp:lastModifiedBy>
  <cp:lastPrinted>2025-07-06T09:18:00Z</cp:lastPrinted>
  <dcterms:modified xsi:type="dcterms:W3CDTF">2025-08-08T14:09:50Z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eyJoZGlkIjoiMWM3MGU3NGJkOWRlNWZiYzYwMmNiZjNlZDY1MjgzNDEiLCJ1c2VySWQiOiI0MzU5MzMxMzAifQ==</vt:lpwstr>
  </property>
  <property fmtid="{D5CDD505-2E9C-101B-9397-08002B2CF9AE}" pid="3" name="KSOProductBuildVer">
    <vt:lpwstr>2052-7.2.2.8955</vt:lpwstr>
  </property>
  <property fmtid="{D5CDD505-2E9C-101B-9397-08002B2CF9AE}" pid="4" name="ICV">
    <vt:lpwstr>E0B9B103E468D6F6AE949568B05FFD06_43</vt:lpwstr>
  </property>
</Properties>
</file>