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6BA0DD">
      <w:pPr>
        <w:pStyle w:val="2"/>
        <w:spacing w:line="560" w:lineRule="exact"/>
        <w:jc w:val="right"/>
        <w:rPr>
          <w:rFonts w:hint="eastAsia" w:ascii="方正小标宋简体" w:hAnsi="方正小标宋简体" w:eastAsia="方正小标宋简体" w:cs="方正小标宋简体"/>
          <w:snapToGrid/>
          <w:kern w:val="2"/>
          <w:sz w:val="36"/>
          <w:szCs w:val="36"/>
          <w:lang w:eastAsia="zh-CN"/>
        </w:rPr>
      </w:pPr>
      <w:r>
        <w:rPr>
          <w:rFonts w:hint="eastAsia" w:ascii="FangSong_GB2312" w:hAnsi="FangSong_GB2312" w:eastAsia="FangSong_GB2312" w:cs="FangSong_GB2312"/>
          <w:color w:val="000000"/>
          <w:sz w:val="32"/>
          <w:szCs w:val="32"/>
        </w:rPr>
        <w:t>清深国院规〔202</w:t>
      </w:r>
      <w:r>
        <w:rPr>
          <w:rFonts w:hint="eastAsia" w:ascii="FangSong_GB2312" w:hAnsi="FangSong_GB2312" w:eastAsia="FangSong_GB2312" w:cs="FangSong_GB2312"/>
          <w:color w:val="000000"/>
          <w:sz w:val="32"/>
          <w:szCs w:val="32"/>
          <w:lang w:val="en-US" w:eastAsia="zh-CN"/>
        </w:rPr>
        <w:t>6</w:t>
      </w:r>
      <w:r>
        <w:rPr>
          <w:rFonts w:hint="eastAsia" w:ascii="FangSong_GB2312" w:hAnsi="FangSong_GB2312" w:eastAsia="FangSong_GB2312" w:cs="FangSong_GB2312"/>
          <w:color w:val="000000"/>
          <w:sz w:val="32"/>
          <w:szCs w:val="32"/>
        </w:rPr>
        <w:t>〕</w:t>
      </w:r>
      <w:r>
        <w:rPr>
          <w:rFonts w:hint="eastAsia" w:ascii="FangSong_GB2312" w:hAnsi="FangSong_GB2312" w:eastAsia="FangSong_GB2312" w:cs="FangSong_GB2312"/>
          <w:color w:val="000000"/>
          <w:sz w:val="32"/>
          <w:szCs w:val="32"/>
          <w:lang w:val="en-US" w:eastAsia="zh-CN"/>
        </w:rPr>
        <w:t>19</w:t>
      </w:r>
      <w:r>
        <w:rPr>
          <w:rFonts w:hint="eastAsia" w:ascii="FangSong_GB2312" w:hAnsi="FangSong_GB2312" w:eastAsia="FangSong_GB2312" w:cs="FangSong_GB2312"/>
          <w:color w:val="000000"/>
          <w:sz w:val="32"/>
          <w:szCs w:val="32"/>
        </w:rPr>
        <w:t>号</w:t>
      </w:r>
    </w:p>
    <w:p w14:paraId="24367AD8">
      <w:pPr>
        <w:widowControl w:val="0"/>
        <w:kinsoku/>
        <w:autoSpaceDE/>
        <w:autoSpaceDN/>
        <w:adjustRightInd/>
        <w:snapToGrid/>
        <w:spacing w:line="560" w:lineRule="exact"/>
        <w:jc w:val="center"/>
        <w:textAlignment w:val="auto"/>
        <w:rPr>
          <w:rFonts w:hint="eastAsia" w:ascii="方正小标宋简体" w:hAnsi="方正小标宋简体" w:eastAsia="方正小标宋简体" w:cs="方正小标宋简体"/>
          <w:snapToGrid/>
          <w:kern w:val="2"/>
          <w:sz w:val="36"/>
          <w:szCs w:val="36"/>
          <w:lang w:eastAsia="zh-CN"/>
        </w:rPr>
      </w:pPr>
      <w:r>
        <w:rPr>
          <w:rFonts w:hint="eastAsia" w:ascii="方正小标宋简体" w:hAnsi="方正小标宋简体" w:eastAsia="方正小标宋简体" w:cs="方正小标宋简体"/>
          <w:snapToGrid/>
          <w:kern w:val="2"/>
          <w:sz w:val="36"/>
          <w:szCs w:val="36"/>
          <w:lang w:eastAsia="zh-CN"/>
        </w:rPr>
        <w:t>清华大学深圳国际研究生院</w:t>
      </w:r>
    </w:p>
    <w:p w14:paraId="59161F44">
      <w:pPr>
        <w:widowControl w:val="0"/>
        <w:kinsoku/>
        <w:autoSpaceDE/>
        <w:autoSpaceDN/>
        <w:adjustRightInd/>
        <w:snapToGrid/>
        <w:spacing w:line="560" w:lineRule="exact"/>
        <w:jc w:val="center"/>
        <w:textAlignment w:val="auto"/>
        <w:rPr>
          <w:rFonts w:hint="eastAsia" w:ascii="方正小标宋简体" w:hAnsi="方正小标宋简体" w:eastAsia="方正小标宋简体" w:cs="方正小标宋简体"/>
          <w:spacing w:val="-1"/>
          <w:sz w:val="30"/>
          <w:szCs w:val="30"/>
          <w:lang w:eastAsia="zh-CN"/>
        </w:rPr>
      </w:pPr>
      <w:r>
        <w:rPr>
          <w:rFonts w:hint="eastAsia" w:ascii="方正小标宋简体" w:hAnsi="方正小标宋简体" w:eastAsia="方正小标宋简体" w:cs="方正小标宋简体"/>
          <w:snapToGrid/>
          <w:kern w:val="2"/>
          <w:sz w:val="36"/>
          <w:szCs w:val="36"/>
          <w:lang w:eastAsia="zh-CN"/>
        </w:rPr>
        <w:t>实验室安全分级分类管理实施办法</w:t>
      </w:r>
    </w:p>
    <w:p w14:paraId="2B2EEE4B">
      <w:pPr>
        <w:widowControl w:val="0"/>
        <w:kinsoku/>
        <w:autoSpaceDE/>
        <w:autoSpaceDN/>
        <w:adjustRightInd/>
        <w:snapToGrid/>
        <w:spacing w:line="560" w:lineRule="exact"/>
        <w:jc w:val="cente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二〇二一年第三十一次院务会（</w:t>
      </w:r>
      <w:r>
        <w:rPr>
          <w:rFonts w:ascii="仿宋_GB2312" w:hAnsi="仿宋_GB2312" w:eastAsia="仿宋_GB2312" w:cs="仿宋_GB2312"/>
          <w:sz w:val="32"/>
          <w:szCs w:val="32"/>
          <w:lang w:eastAsia="zh-CN"/>
        </w:rPr>
        <w:t>2021</w:t>
      </w:r>
      <w:r>
        <w:rPr>
          <w:rFonts w:hint="eastAsia" w:ascii="仿宋_GB2312" w:hAnsi="仿宋_GB2312" w:eastAsia="仿宋_GB2312" w:cs="仿宋_GB2312"/>
          <w:sz w:val="32"/>
          <w:szCs w:val="32"/>
          <w:lang w:eastAsia="zh-CN"/>
        </w:rPr>
        <w:t>年</w:t>
      </w:r>
      <w:r>
        <w:rPr>
          <w:rFonts w:ascii="仿宋_GB2312" w:hAnsi="仿宋_GB2312" w:eastAsia="仿宋_GB2312" w:cs="仿宋_GB2312"/>
          <w:sz w:val="32"/>
          <w:szCs w:val="32"/>
          <w:lang w:eastAsia="zh-CN"/>
        </w:rPr>
        <w:t>11</w:t>
      </w:r>
      <w:r>
        <w:rPr>
          <w:rFonts w:hint="eastAsia" w:ascii="仿宋_GB2312" w:hAnsi="仿宋_GB2312" w:eastAsia="仿宋_GB2312" w:cs="仿宋_GB2312"/>
          <w:sz w:val="32"/>
          <w:szCs w:val="32"/>
          <w:lang w:eastAsia="zh-CN"/>
        </w:rPr>
        <w:t>月</w:t>
      </w:r>
      <w:r>
        <w:rPr>
          <w:rFonts w:ascii="仿宋_GB2312" w:hAnsi="仿宋_GB2312" w:eastAsia="仿宋_GB2312" w:cs="仿宋_GB2312"/>
          <w:sz w:val="32"/>
          <w:szCs w:val="32"/>
          <w:lang w:eastAsia="zh-CN"/>
        </w:rPr>
        <w:t>29</w:t>
      </w:r>
      <w:r>
        <w:rPr>
          <w:rFonts w:hint="eastAsia" w:ascii="仿宋_GB2312" w:hAnsi="仿宋_GB2312" w:eastAsia="仿宋_GB2312" w:cs="仿宋_GB2312"/>
          <w:sz w:val="32"/>
          <w:szCs w:val="32"/>
          <w:lang w:eastAsia="zh-CN"/>
        </w:rPr>
        <w:t>日）审议通过，</w:t>
      </w:r>
    </w:p>
    <w:p w14:paraId="081ECEC2">
      <w:pPr>
        <w:widowControl w:val="0"/>
        <w:kinsoku/>
        <w:autoSpaceDE/>
        <w:autoSpaceDN/>
        <w:adjustRightInd/>
        <w:snapToGrid/>
        <w:spacing w:line="560" w:lineRule="exact"/>
        <w:jc w:val="cente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二〇二五年第七十四次党政联席会议（2025年12月29日）修订</w:t>
      </w:r>
    </w:p>
    <w:p w14:paraId="056DF95C">
      <w:pPr>
        <w:widowControl w:val="0"/>
        <w:spacing w:line="261" w:lineRule="auto"/>
        <w:rPr>
          <w:lang w:eastAsia="zh-CN"/>
        </w:rPr>
      </w:pPr>
    </w:p>
    <w:p w14:paraId="6703EFCC">
      <w:pPr>
        <w:widowControl w:val="0"/>
        <w:spacing w:line="262" w:lineRule="auto"/>
        <w:rPr>
          <w:lang w:eastAsia="zh-CN"/>
        </w:rPr>
      </w:pPr>
    </w:p>
    <w:p w14:paraId="1D1359DA">
      <w:pPr>
        <w:widowControl w:val="0"/>
        <w:spacing w:line="560" w:lineRule="exact"/>
        <w:rPr>
          <w:lang w:eastAsia="zh-CN"/>
        </w:rPr>
      </w:pPr>
    </w:p>
    <w:p w14:paraId="0A6AB386">
      <w:pPr>
        <w:widowControl w:val="0"/>
        <w:spacing w:line="560" w:lineRule="exact"/>
        <w:jc w:val="center"/>
        <w:rPr>
          <w:rFonts w:hint="eastAsia" w:ascii="黑体" w:hAnsi="黑体" w:eastAsia="黑体" w:cs="黑体"/>
          <w:sz w:val="31"/>
          <w:szCs w:val="31"/>
          <w:lang w:eastAsia="zh-CN"/>
        </w:rPr>
      </w:pPr>
      <w:r>
        <w:rPr>
          <w:rFonts w:ascii="黑体" w:hAnsi="黑体" w:eastAsia="黑体" w:cs="黑体"/>
          <w:sz w:val="31"/>
          <w:szCs w:val="31"/>
          <w:lang w:eastAsia="zh-CN"/>
        </w:rPr>
        <w:t xml:space="preserve">第一章 </w:t>
      </w:r>
      <w:r>
        <w:rPr>
          <w:rFonts w:hint="eastAsia" w:ascii="黑体" w:hAnsi="黑体" w:eastAsia="黑体" w:cs="黑体"/>
          <w:sz w:val="31"/>
          <w:szCs w:val="31"/>
          <w:lang w:eastAsia="zh-CN"/>
        </w:rPr>
        <w:t xml:space="preserve"> </w:t>
      </w:r>
      <w:r>
        <w:rPr>
          <w:rFonts w:ascii="黑体" w:hAnsi="黑体" w:eastAsia="黑体" w:cs="黑体"/>
          <w:sz w:val="31"/>
          <w:szCs w:val="31"/>
          <w:lang w:eastAsia="zh-CN"/>
        </w:rPr>
        <w:t>总</w:t>
      </w:r>
      <w:r>
        <w:rPr>
          <w:rFonts w:hint="eastAsia" w:ascii="黑体" w:hAnsi="黑体" w:eastAsia="黑体" w:cs="黑体"/>
          <w:sz w:val="31"/>
          <w:szCs w:val="31"/>
          <w:lang w:eastAsia="zh-CN"/>
        </w:rPr>
        <w:t xml:space="preserve">  </w:t>
      </w:r>
      <w:r>
        <w:rPr>
          <w:rFonts w:ascii="黑体" w:hAnsi="黑体" w:eastAsia="黑体" w:cs="黑体"/>
          <w:sz w:val="31"/>
          <w:szCs w:val="31"/>
          <w:lang w:eastAsia="zh-CN"/>
        </w:rPr>
        <w:t>则</w:t>
      </w:r>
    </w:p>
    <w:p w14:paraId="69FFBADC">
      <w:pPr>
        <w:pStyle w:val="19"/>
        <w:widowControl w:val="0"/>
        <w:kinsoku/>
        <w:autoSpaceDE/>
        <w:autoSpaceDN/>
        <w:spacing w:line="560" w:lineRule="exact"/>
        <w:ind w:firstLine="648"/>
        <w:textAlignment w:val="auto"/>
        <w:rPr>
          <w:rFonts w:hint="eastAsia" w:ascii="仿宋_GB2312" w:hAnsi="仿宋_GB2312" w:eastAsia="仿宋_GB2312" w:cs="仿宋_GB2312"/>
          <w:spacing w:val="3"/>
          <w:sz w:val="32"/>
          <w:szCs w:val="32"/>
          <w:lang w:eastAsia="zh-CN"/>
        </w:rPr>
      </w:pPr>
      <w:r>
        <w:rPr>
          <w:rFonts w:hint="eastAsia" w:ascii="仿宋_GB2312" w:hAnsi="仿宋_GB2312" w:eastAsia="仿宋_GB2312" w:cs="仿宋_GB2312"/>
          <w:b/>
          <w:bCs/>
          <w:spacing w:val="3"/>
          <w:sz w:val="32"/>
          <w:szCs w:val="32"/>
          <w:lang w:eastAsia="zh-CN"/>
        </w:rPr>
        <w:t>第一条</w:t>
      </w:r>
      <w:r>
        <w:rPr>
          <w:rFonts w:hint="eastAsia" w:ascii="仿宋_GB2312" w:hAnsi="仿宋_GB2312" w:eastAsia="仿宋_GB2312" w:cs="仿宋_GB2312"/>
          <w:spacing w:val="3"/>
          <w:sz w:val="32"/>
          <w:szCs w:val="32"/>
          <w:lang w:eastAsia="zh-CN"/>
        </w:rPr>
        <w:t xml:space="preserve"> 为加强清华大学深圳国际研究生院（以下简称学院）实验室安全精细化管理，提高针对性和有效性，</w:t>
      </w:r>
      <w:bookmarkStart w:id="1" w:name="_GoBack"/>
      <w:bookmarkEnd w:id="1"/>
      <w:r>
        <w:rPr>
          <w:rFonts w:hint="eastAsia" w:ascii="仿宋_GB2312" w:hAnsi="仿宋_GB2312" w:eastAsia="仿宋_GB2312" w:cs="仿宋_GB2312"/>
          <w:spacing w:val="3"/>
          <w:sz w:val="32"/>
          <w:szCs w:val="32"/>
          <w:lang w:eastAsia="zh-CN"/>
        </w:rPr>
        <w:t>强化风险意识，根据教育部《高等学校实验室安全分级分类管理办法（试行）》《清华大学实验室安全管理规定》，结合学院实际情况，制定本办法。</w:t>
      </w:r>
    </w:p>
    <w:p w14:paraId="12B08136">
      <w:pPr>
        <w:pStyle w:val="19"/>
        <w:widowControl w:val="0"/>
        <w:kinsoku/>
        <w:autoSpaceDE/>
        <w:autoSpaceDN/>
        <w:spacing w:line="560" w:lineRule="exact"/>
        <w:ind w:firstLine="648"/>
        <w:textAlignment w:val="auto"/>
        <w:rPr>
          <w:rFonts w:hint="eastAsia" w:ascii="仿宋_GB2312" w:hAnsi="仿宋_GB2312" w:eastAsia="仿宋_GB2312" w:cs="仿宋_GB2312"/>
          <w:spacing w:val="3"/>
          <w:sz w:val="32"/>
          <w:szCs w:val="32"/>
          <w:lang w:eastAsia="zh-CN"/>
        </w:rPr>
      </w:pPr>
      <w:r>
        <w:rPr>
          <w:rFonts w:hint="eastAsia" w:ascii="仿宋_GB2312" w:hAnsi="仿宋_GB2312" w:eastAsia="仿宋_GB2312" w:cs="仿宋_GB2312"/>
          <w:b/>
          <w:bCs/>
          <w:spacing w:val="3"/>
          <w:sz w:val="32"/>
          <w:szCs w:val="32"/>
          <w:lang w:eastAsia="zh-CN"/>
        </w:rPr>
        <w:t>第二条</w:t>
      </w:r>
      <w:r>
        <w:rPr>
          <w:rFonts w:hint="eastAsia" w:ascii="仿宋_GB2312" w:hAnsi="仿宋_GB2312" w:eastAsia="仿宋_GB2312" w:cs="仿宋_GB2312"/>
          <w:spacing w:val="3"/>
          <w:sz w:val="32"/>
          <w:szCs w:val="32"/>
          <w:lang w:eastAsia="zh-CN"/>
        </w:rPr>
        <w:t xml:space="preserve"> 本办法所称实验室，是指学院各级各类用于开展教学、科研相关实训、实验活动的室内场所及其附属设施。原则上以物理空间为准，按每个实验房间开展分级分类评估。</w:t>
      </w:r>
    </w:p>
    <w:p w14:paraId="1859AEB0">
      <w:pPr>
        <w:pStyle w:val="19"/>
        <w:widowControl w:val="0"/>
        <w:kinsoku/>
        <w:autoSpaceDE/>
        <w:autoSpaceDN/>
        <w:spacing w:line="560" w:lineRule="exact"/>
        <w:ind w:firstLine="648"/>
        <w:textAlignment w:val="auto"/>
        <w:rPr>
          <w:rFonts w:hint="eastAsia" w:ascii="仿宋_GB2312" w:hAnsi="仿宋_GB2312" w:eastAsia="仿宋_GB2312" w:cs="仿宋_GB2312"/>
          <w:spacing w:val="3"/>
          <w:sz w:val="32"/>
          <w:szCs w:val="32"/>
          <w:lang w:eastAsia="zh-CN"/>
        </w:rPr>
      </w:pPr>
      <w:r>
        <w:rPr>
          <w:rFonts w:hint="eastAsia" w:ascii="仿宋_GB2312" w:hAnsi="仿宋_GB2312" w:eastAsia="仿宋_GB2312" w:cs="仿宋_GB2312"/>
          <w:b/>
          <w:bCs/>
          <w:spacing w:val="3"/>
          <w:sz w:val="32"/>
          <w:szCs w:val="32"/>
          <w:lang w:eastAsia="zh-CN"/>
        </w:rPr>
        <w:t>第三条</w:t>
      </w:r>
      <w:r>
        <w:rPr>
          <w:rFonts w:hint="eastAsia" w:ascii="仿宋_GB2312" w:hAnsi="仿宋_GB2312" w:eastAsia="仿宋_GB2312" w:cs="仿宋_GB2312"/>
          <w:spacing w:val="3"/>
          <w:sz w:val="32"/>
          <w:szCs w:val="32"/>
          <w:lang w:eastAsia="zh-CN"/>
        </w:rPr>
        <w:t xml:space="preserve"> 本办法中所称危险源是指可能导致人员伤害或疾病、物质财产损失、工作环境破坏或这些情况组合的根源或状态因素。危险源辨识指识别危险源的存在并确定其特性的过程。风险评价指对危险源导致的风险进行评价，对现有控制措施的充分性加以考虑以及对风险是否可接受予以确定的过程。</w:t>
      </w:r>
    </w:p>
    <w:p w14:paraId="438F6703">
      <w:pPr>
        <w:widowControl w:val="0"/>
        <w:spacing w:line="560" w:lineRule="exact"/>
        <w:jc w:val="center"/>
        <w:rPr>
          <w:rFonts w:hint="eastAsia" w:ascii="黑体" w:hAnsi="黑体" w:eastAsia="黑体" w:cs="黑体"/>
          <w:sz w:val="31"/>
          <w:szCs w:val="31"/>
          <w:lang w:eastAsia="zh-CN"/>
        </w:rPr>
      </w:pPr>
      <w:r>
        <w:rPr>
          <w:rFonts w:hint="eastAsia" w:ascii="黑体" w:hAnsi="黑体" w:eastAsia="黑体" w:cs="黑体"/>
          <w:sz w:val="31"/>
          <w:szCs w:val="31"/>
          <w:lang w:eastAsia="zh-CN"/>
        </w:rPr>
        <w:t>第二章  组织与领导</w:t>
      </w:r>
    </w:p>
    <w:p w14:paraId="6F6FA618">
      <w:pPr>
        <w:pStyle w:val="19"/>
        <w:widowControl w:val="0"/>
        <w:kinsoku/>
        <w:autoSpaceDE/>
        <w:autoSpaceDN/>
        <w:spacing w:before="0" w:line="560" w:lineRule="exact"/>
        <w:ind w:left="26" w:right="268" w:firstLine="648"/>
        <w:jc w:val="both"/>
        <w:textAlignment w:val="auto"/>
        <w:rPr>
          <w:rFonts w:hint="eastAsia" w:ascii="仿宋_GB2312" w:hAnsi="仿宋_GB2312" w:eastAsia="仿宋_GB2312" w:cs="仿宋_GB2312"/>
          <w:spacing w:val="3"/>
          <w:sz w:val="32"/>
          <w:szCs w:val="32"/>
          <w:lang w:eastAsia="zh-CN"/>
        </w:rPr>
      </w:pPr>
      <w:r>
        <w:rPr>
          <w:rFonts w:hint="eastAsia" w:ascii="仿宋_GB2312" w:hAnsi="仿宋_GB2312" w:eastAsia="仿宋_GB2312" w:cs="仿宋_GB2312"/>
          <w:b/>
          <w:bCs/>
          <w:spacing w:val="3"/>
          <w:sz w:val="32"/>
          <w:szCs w:val="32"/>
          <w:lang w:eastAsia="zh-CN"/>
        </w:rPr>
        <w:t>第四条</w:t>
      </w:r>
      <w:r>
        <w:rPr>
          <w:rFonts w:hint="eastAsia" w:ascii="仿宋_GB2312" w:hAnsi="仿宋_GB2312" w:eastAsia="仿宋_GB2312" w:cs="仿宋_GB2312"/>
          <w:spacing w:val="3"/>
          <w:sz w:val="32"/>
          <w:szCs w:val="32"/>
          <w:lang w:eastAsia="zh-CN"/>
        </w:rPr>
        <w:t xml:space="preserve"> 学院实验室工作领导小组全面指导实验室分级分类管理工作。</w:t>
      </w:r>
    </w:p>
    <w:p w14:paraId="2943D5EA">
      <w:pPr>
        <w:pStyle w:val="19"/>
        <w:widowControl w:val="0"/>
        <w:kinsoku/>
        <w:autoSpaceDE/>
        <w:autoSpaceDN/>
        <w:spacing w:before="0" w:line="560" w:lineRule="exact"/>
        <w:ind w:left="26" w:right="268" w:firstLine="648"/>
        <w:jc w:val="both"/>
        <w:textAlignment w:val="auto"/>
        <w:rPr>
          <w:rFonts w:hint="eastAsia" w:ascii="仿宋_GB2312" w:hAnsi="仿宋_GB2312" w:eastAsia="仿宋_GB2312" w:cs="仿宋_GB2312"/>
          <w:spacing w:val="3"/>
          <w:sz w:val="32"/>
          <w:szCs w:val="32"/>
          <w:lang w:eastAsia="zh-CN"/>
        </w:rPr>
      </w:pPr>
      <w:r>
        <w:rPr>
          <w:rFonts w:hint="eastAsia" w:ascii="仿宋_GB2312" w:hAnsi="仿宋_GB2312" w:eastAsia="仿宋_GB2312" w:cs="仿宋_GB2312"/>
          <w:b/>
          <w:bCs/>
          <w:spacing w:val="3"/>
          <w:sz w:val="32"/>
          <w:szCs w:val="32"/>
          <w:lang w:eastAsia="zh-CN"/>
        </w:rPr>
        <w:t>第五条</w:t>
      </w:r>
      <w:r>
        <w:rPr>
          <w:rFonts w:hint="eastAsia" w:ascii="仿宋_GB2312" w:hAnsi="仿宋_GB2312" w:eastAsia="仿宋_GB2312" w:cs="仿宋_GB2312"/>
          <w:spacing w:val="3"/>
          <w:sz w:val="32"/>
          <w:szCs w:val="32"/>
          <w:lang w:eastAsia="zh-CN"/>
        </w:rPr>
        <w:t xml:space="preserve"> 科研处负责制定实验室分级分类管理实施办法，组织教学科研机构开展分级分类认定工作，复核分级分类结果，建立全院实验室安全分级分类管理台账。</w:t>
      </w:r>
    </w:p>
    <w:p w14:paraId="2A723AC4">
      <w:pPr>
        <w:pStyle w:val="19"/>
        <w:widowControl w:val="0"/>
        <w:kinsoku/>
        <w:autoSpaceDE/>
        <w:autoSpaceDN/>
        <w:spacing w:before="0" w:line="560" w:lineRule="exact"/>
        <w:ind w:left="26" w:right="268" w:firstLine="648"/>
        <w:jc w:val="both"/>
        <w:textAlignment w:val="auto"/>
        <w:rPr>
          <w:rFonts w:hint="eastAsia" w:ascii="仿宋_GB2312" w:hAnsi="仿宋_GB2312" w:eastAsia="仿宋_GB2312" w:cs="仿宋_GB2312"/>
          <w:spacing w:val="3"/>
          <w:sz w:val="32"/>
          <w:szCs w:val="32"/>
          <w:lang w:eastAsia="zh-CN"/>
        </w:rPr>
      </w:pPr>
      <w:r>
        <w:rPr>
          <w:rFonts w:hint="eastAsia" w:ascii="仿宋_GB2312" w:hAnsi="仿宋_GB2312" w:eastAsia="仿宋_GB2312" w:cs="仿宋_GB2312"/>
          <w:b/>
          <w:bCs/>
          <w:spacing w:val="3"/>
          <w:sz w:val="32"/>
          <w:szCs w:val="32"/>
          <w:lang w:eastAsia="zh-CN"/>
        </w:rPr>
        <w:t>第六条</w:t>
      </w:r>
      <w:r>
        <w:rPr>
          <w:rFonts w:hint="eastAsia" w:ascii="仿宋_GB2312" w:hAnsi="仿宋_GB2312" w:eastAsia="仿宋_GB2312" w:cs="仿宋_GB2312"/>
          <w:spacing w:val="3"/>
          <w:sz w:val="32"/>
          <w:szCs w:val="32"/>
          <w:lang w:eastAsia="zh-CN"/>
        </w:rPr>
        <w:t xml:space="preserve"> 各教学科研机构作为实验室安全分级分类管理的责任单位，负责落实学院的安全管理要求，确认所属实验室类别和风险等级，及时录入学院实验室安全信息系统。</w:t>
      </w:r>
    </w:p>
    <w:p w14:paraId="7B4532FD">
      <w:pPr>
        <w:pStyle w:val="19"/>
        <w:widowControl w:val="0"/>
        <w:kinsoku/>
        <w:autoSpaceDE/>
        <w:autoSpaceDN/>
        <w:spacing w:before="0" w:line="560" w:lineRule="exact"/>
        <w:ind w:left="26" w:right="268" w:firstLine="648"/>
        <w:jc w:val="both"/>
        <w:textAlignment w:val="auto"/>
        <w:rPr>
          <w:rFonts w:hint="eastAsia" w:ascii="仿宋_GB2312" w:hAnsi="仿宋_GB2312" w:eastAsia="仿宋_GB2312" w:cs="仿宋_GB2312"/>
          <w:spacing w:val="3"/>
          <w:sz w:val="32"/>
          <w:szCs w:val="32"/>
          <w:lang w:eastAsia="zh-CN"/>
        </w:rPr>
      </w:pPr>
      <w:r>
        <w:rPr>
          <w:rFonts w:hint="eastAsia" w:ascii="仿宋_GB2312" w:hAnsi="仿宋_GB2312" w:eastAsia="仿宋_GB2312" w:cs="仿宋_GB2312"/>
          <w:b/>
          <w:bCs/>
          <w:spacing w:val="3"/>
          <w:sz w:val="32"/>
          <w:szCs w:val="32"/>
          <w:lang w:eastAsia="zh-CN"/>
        </w:rPr>
        <w:t>第七条</w:t>
      </w:r>
      <w:r>
        <w:rPr>
          <w:rFonts w:hint="eastAsia" w:ascii="仿宋_GB2312" w:hAnsi="仿宋_GB2312" w:eastAsia="仿宋_GB2312" w:cs="仿宋_GB2312"/>
          <w:spacing w:val="3"/>
          <w:sz w:val="32"/>
          <w:szCs w:val="32"/>
          <w:lang w:eastAsia="zh-CN"/>
        </w:rPr>
        <w:t xml:space="preserve"> 实验室依据主要危险源类别对实验室进行分类，依据实验室安全风险等级划分标准进行分级，提交教学科研机构安全员进行审核确认。</w:t>
      </w:r>
    </w:p>
    <w:p w14:paraId="28C2002F">
      <w:pPr>
        <w:widowControl w:val="0"/>
        <w:spacing w:line="560" w:lineRule="exact"/>
        <w:jc w:val="center"/>
        <w:rPr>
          <w:rFonts w:hint="eastAsia" w:ascii="黑体" w:hAnsi="黑体" w:eastAsia="黑体" w:cs="黑体"/>
          <w:sz w:val="31"/>
          <w:szCs w:val="31"/>
          <w:lang w:eastAsia="zh-CN"/>
        </w:rPr>
      </w:pPr>
      <w:r>
        <w:rPr>
          <w:rFonts w:hint="eastAsia" w:ascii="黑体" w:hAnsi="黑体" w:eastAsia="黑体" w:cs="黑体"/>
          <w:sz w:val="31"/>
          <w:szCs w:val="31"/>
          <w:lang w:eastAsia="zh-CN"/>
        </w:rPr>
        <w:t>第三章  分级分类原则</w:t>
      </w:r>
    </w:p>
    <w:p w14:paraId="358DD0AF">
      <w:pPr>
        <w:pStyle w:val="19"/>
        <w:widowControl w:val="0"/>
        <w:kinsoku/>
        <w:autoSpaceDE/>
        <w:autoSpaceDN/>
        <w:spacing w:line="560" w:lineRule="exact"/>
        <w:ind w:firstLine="648"/>
        <w:jc w:val="both"/>
        <w:textAlignment w:val="auto"/>
        <w:rPr>
          <w:rFonts w:hint="eastAsia" w:ascii="仿宋_GB2312" w:hAnsi="仿宋_GB2312" w:eastAsia="仿宋_GB2312" w:cs="仿宋_GB2312"/>
          <w:spacing w:val="3"/>
          <w:sz w:val="32"/>
          <w:szCs w:val="32"/>
          <w:lang w:eastAsia="zh-CN"/>
        </w:rPr>
      </w:pPr>
      <w:r>
        <w:rPr>
          <w:rFonts w:hint="eastAsia" w:ascii="仿宋_GB2312" w:hAnsi="仿宋_GB2312" w:eastAsia="仿宋_GB2312" w:cs="仿宋_GB2312"/>
          <w:b/>
          <w:bCs/>
          <w:spacing w:val="3"/>
          <w:sz w:val="32"/>
          <w:szCs w:val="32"/>
          <w:lang w:eastAsia="zh-CN"/>
        </w:rPr>
        <w:t>第八条</w:t>
      </w:r>
      <w:r>
        <w:rPr>
          <w:rFonts w:hint="eastAsia" w:ascii="仿宋_GB2312" w:hAnsi="仿宋_GB2312" w:eastAsia="仿宋_GB2312" w:cs="仿宋_GB2312"/>
          <w:spacing w:val="3"/>
          <w:sz w:val="32"/>
          <w:szCs w:val="32"/>
          <w:lang w:eastAsia="zh-CN"/>
        </w:rPr>
        <w:t xml:space="preserve"> 实验室安全分级是指根据实验室中存在的危险源及其存量进行风险评价，判定本实验室安全等级。</w:t>
      </w:r>
      <w:bookmarkStart w:id="0" w:name="OLE_LINK2"/>
      <w:r>
        <w:rPr>
          <w:rFonts w:hint="eastAsia" w:ascii="仿宋_GB2312" w:hAnsi="仿宋_GB2312" w:eastAsia="仿宋_GB2312" w:cs="仿宋_GB2312"/>
          <w:spacing w:val="3"/>
          <w:sz w:val="32"/>
          <w:szCs w:val="32"/>
          <w:lang w:eastAsia="zh-CN"/>
        </w:rPr>
        <w:t>实验室安全等级可分为Ⅰ（红）、Ⅱ（橙）、Ⅲ（黄）、Ⅳ（蓝）级，分别对应重大风险、高风险、中风险、低风险等级的实验室。</w:t>
      </w:r>
      <w:bookmarkEnd w:id="0"/>
      <w:r>
        <w:rPr>
          <w:rFonts w:hint="eastAsia" w:ascii="仿宋_GB2312" w:hAnsi="仿宋_GB2312" w:eastAsia="仿宋_GB2312" w:cs="仿宋_GB2312"/>
          <w:spacing w:val="3"/>
          <w:sz w:val="32"/>
          <w:szCs w:val="32"/>
          <w:lang w:eastAsia="zh-CN"/>
        </w:rPr>
        <w:t>等级划分可参考《实验室安全分级表》和《实验室安全风险评价表》。</w:t>
      </w:r>
    </w:p>
    <w:p w14:paraId="1C8B999A">
      <w:pPr>
        <w:pStyle w:val="19"/>
        <w:widowControl w:val="0"/>
        <w:kinsoku/>
        <w:autoSpaceDE/>
        <w:autoSpaceDN/>
        <w:spacing w:line="560" w:lineRule="exact"/>
        <w:ind w:firstLine="648"/>
        <w:jc w:val="both"/>
        <w:textAlignment w:val="auto"/>
        <w:rPr>
          <w:rFonts w:hint="eastAsia" w:ascii="仿宋_GB2312" w:hAnsi="仿宋_GB2312" w:eastAsia="仿宋_GB2312" w:cs="仿宋_GB2312"/>
          <w:spacing w:val="3"/>
          <w:sz w:val="32"/>
          <w:szCs w:val="32"/>
          <w:lang w:eastAsia="zh-CN"/>
        </w:rPr>
      </w:pPr>
      <w:r>
        <w:rPr>
          <w:rFonts w:hint="eastAsia" w:ascii="仿宋_GB2312" w:hAnsi="仿宋_GB2312" w:eastAsia="仿宋_GB2312" w:cs="仿宋_GB2312"/>
          <w:b/>
          <w:bCs/>
          <w:spacing w:val="3"/>
          <w:sz w:val="32"/>
          <w:szCs w:val="32"/>
          <w:lang w:eastAsia="zh-CN"/>
        </w:rPr>
        <w:t>第九条</w:t>
      </w:r>
      <w:r>
        <w:rPr>
          <w:rFonts w:hint="eastAsia" w:ascii="仿宋_GB2312" w:hAnsi="仿宋_GB2312" w:eastAsia="仿宋_GB2312" w:cs="仿宋_GB2312"/>
          <w:spacing w:val="3"/>
          <w:sz w:val="32"/>
          <w:szCs w:val="32"/>
          <w:lang w:eastAsia="zh-CN"/>
        </w:rPr>
        <w:t xml:space="preserve"> 实验室安全分类是指依据实验室中存在的主要危险源类别判定实验室安全类别。同一间实验室涉及危险源种类较多的，依据等级最高的危险源来判定其类别。学院实验室分为化学类、生物类、辐射类、机电类、其他类等类别。类别划分参考《实验室分类参照表》。</w:t>
      </w:r>
    </w:p>
    <w:p w14:paraId="32905C1F">
      <w:pPr>
        <w:pStyle w:val="19"/>
        <w:widowControl w:val="0"/>
        <w:kinsoku/>
        <w:autoSpaceDE/>
        <w:autoSpaceDN/>
        <w:spacing w:line="560" w:lineRule="exact"/>
        <w:ind w:firstLine="648"/>
        <w:jc w:val="both"/>
        <w:textAlignment w:val="auto"/>
        <w:rPr>
          <w:rFonts w:hint="eastAsia" w:ascii="仿宋_GB2312" w:hAnsi="仿宋_GB2312" w:eastAsia="仿宋_GB2312" w:cs="仿宋_GB2312"/>
          <w:spacing w:val="3"/>
          <w:sz w:val="32"/>
          <w:szCs w:val="32"/>
          <w:lang w:eastAsia="zh-CN"/>
        </w:rPr>
      </w:pPr>
      <w:r>
        <w:rPr>
          <w:rFonts w:hint="eastAsia" w:ascii="仿宋_GB2312" w:hAnsi="仿宋_GB2312" w:eastAsia="仿宋_GB2312" w:cs="仿宋_GB2312"/>
          <w:b/>
          <w:bCs/>
          <w:spacing w:val="3"/>
          <w:sz w:val="32"/>
          <w:szCs w:val="32"/>
          <w:lang w:eastAsia="zh-CN"/>
        </w:rPr>
        <w:t>第十条</w:t>
      </w:r>
      <w:r>
        <w:rPr>
          <w:rFonts w:hint="eastAsia" w:ascii="仿宋_GB2312" w:hAnsi="仿宋_GB2312" w:eastAsia="仿宋_GB2312" w:cs="仿宋_GB2312"/>
          <w:spacing w:val="3"/>
          <w:sz w:val="32"/>
          <w:szCs w:val="32"/>
          <w:lang w:eastAsia="zh-CN"/>
        </w:rPr>
        <w:t xml:space="preserve"> 实验室分级分类结果和所涉及的主要危险源应在实验室门外的安全信息牌上标明，并及时更新。</w:t>
      </w:r>
    </w:p>
    <w:p w14:paraId="672AED6C">
      <w:pPr>
        <w:pStyle w:val="19"/>
        <w:widowControl w:val="0"/>
        <w:kinsoku/>
        <w:autoSpaceDE/>
        <w:autoSpaceDN/>
        <w:spacing w:line="560" w:lineRule="exact"/>
        <w:ind w:firstLine="648"/>
        <w:jc w:val="both"/>
        <w:textAlignment w:val="auto"/>
        <w:rPr>
          <w:rFonts w:hint="eastAsia" w:ascii="仿宋_GB2312" w:hAnsi="仿宋_GB2312" w:eastAsia="仿宋_GB2312" w:cs="仿宋_GB2312"/>
          <w:spacing w:val="3"/>
          <w:sz w:val="32"/>
          <w:szCs w:val="32"/>
          <w:lang w:eastAsia="zh-CN"/>
        </w:rPr>
      </w:pPr>
      <w:r>
        <w:rPr>
          <w:rFonts w:hint="eastAsia" w:ascii="仿宋_GB2312" w:hAnsi="仿宋_GB2312" w:eastAsia="仿宋_GB2312" w:cs="仿宋_GB2312"/>
          <w:b/>
          <w:bCs/>
          <w:spacing w:val="3"/>
          <w:sz w:val="32"/>
          <w:szCs w:val="32"/>
          <w:lang w:eastAsia="zh-CN"/>
        </w:rPr>
        <w:t>第十一条</w:t>
      </w:r>
      <w:r>
        <w:rPr>
          <w:rFonts w:hint="eastAsia" w:ascii="仿宋_GB2312" w:hAnsi="仿宋_GB2312" w:eastAsia="仿宋_GB2312" w:cs="仿宋_GB2312"/>
          <w:spacing w:val="3"/>
          <w:sz w:val="32"/>
          <w:szCs w:val="32"/>
          <w:lang w:eastAsia="zh-CN"/>
        </w:rPr>
        <w:t xml:space="preserve"> 实验室的用途如研究内容、危险源类型与数量等因素发生变化时，实验室应立即重新进行危险源辨识和安全风险评价，重新判定实验室安全类别及等级，如需变更应立即报告所属教学科研机构。教学科研机构应及时修正本单位实验室安全分级分类管理台账，及时录入学院实验室安全信息系统。科研处定期对实验室分级分类情况进行复核。</w:t>
      </w:r>
    </w:p>
    <w:p w14:paraId="74E3321B">
      <w:pPr>
        <w:pStyle w:val="19"/>
        <w:widowControl w:val="0"/>
        <w:kinsoku/>
        <w:autoSpaceDE/>
        <w:autoSpaceDN/>
        <w:spacing w:before="0" w:line="560" w:lineRule="exact"/>
        <w:ind w:left="26" w:right="319" w:firstLine="648"/>
        <w:jc w:val="both"/>
        <w:textAlignment w:val="auto"/>
        <w:rPr>
          <w:rFonts w:hint="eastAsia" w:ascii="仿宋_GB2312" w:hAnsi="仿宋_GB2312" w:eastAsia="仿宋_GB2312" w:cs="仿宋_GB2312"/>
          <w:spacing w:val="3"/>
          <w:sz w:val="32"/>
          <w:szCs w:val="32"/>
          <w:lang w:eastAsia="zh-CN"/>
        </w:rPr>
      </w:pPr>
      <w:r>
        <w:rPr>
          <w:rFonts w:hint="eastAsia" w:ascii="仿宋_GB2312" w:hAnsi="仿宋_GB2312" w:eastAsia="仿宋_GB2312" w:cs="仿宋_GB2312"/>
          <w:b/>
          <w:bCs/>
          <w:spacing w:val="3"/>
          <w:sz w:val="32"/>
          <w:szCs w:val="32"/>
          <w:lang w:eastAsia="zh-CN"/>
        </w:rPr>
        <w:t>第十二条</w:t>
      </w:r>
      <w:r>
        <w:rPr>
          <w:rFonts w:hint="eastAsia" w:ascii="仿宋_GB2312" w:hAnsi="仿宋_GB2312" w:eastAsia="仿宋_GB2312" w:cs="仿宋_GB2312"/>
          <w:spacing w:val="3"/>
          <w:sz w:val="32"/>
          <w:szCs w:val="32"/>
          <w:lang w:eastAsia="zh-CN"/>
        </w:rPr>
        <w:t xml:space="preserve"> 新建、改扩建实验室时，应及时进行危险源辨识和安全风险评价，确定实验室安全分级分类结果，并录入学院实验室安全信息系统。</w:t>
      </w:r>
    </w:p>
    <w:p w14:paraId="4B0628E6">
      <w:pPr>
        <w:widowControl w:val="0"/>
        <w:spacing w:line="560" w:lineRule="exact"/>
        <w:jc w:val="center"/>
        <w:rPr>
          <w:rFonts w:hint="eastAsia" w:ascii="黑体" w:hAnsi="黑体" w:eastAsia="黑体" w:cs="黑体"/>
          <w:lang w:eastAsia="zh-CN"/>
        </w:rPr>
      </w:pPr>
      <w:r>
        <w:rPr>
          <w:rFonts w:hint="eastAsia" w:ascii="黑体" w:hAnsi="黑体" w:eastAsia="黑体" w:cs="黑体"/>
          <w:sz w:val="31"/>
          <w:szCs w:val="31"/>
          <w:lang w:eastAsia="zh-CN"/>
        </w:rPr>
        <w:t>第四章  实施与监督检查</w:t>
      </w:r>
    </w:p>
    <w:p w14:paraId="465BD965">
      <w:pPr>
        <w:pStyle w:val="19"/>
        <w:widowControl w:val="0"/>
        <w:shd w:val="clear" w:color="auto" w:fill="FFFFFF"/>
        <w:kinsoku/>
        <w:autoSpaceDE/>
        <w:autoSpaceDN/>
        <w:spacing w:line="560" w:lineRule="exact"/>
        <w:ind w:firstLine="648"/>
        <w:jc w:val="both"/>
        <w:textAlignment w:val="auto"/>
        <w:rPr>
          <w:rFonts w:hint="eastAsia" w:ascii="仿宋_GB2312" w:hAnsi="仿宋_GB2312" w:eastAsia="仿宋_GB2312" w:cs="仿宋_GB2312"/>
          <w:spacing w:val="3"/>
          <w:sz w:val="32"/>
          <w:szCs w:val="32"/>
          <w:lang w:eastAsia="zh-CN"/>
        </w:rPr>
      </w:pPr>
      <w:r>
        <w:rPr>
          <w:rFonts w:hint="eastAsia" w:ascii="仿宋_GB2312" w:hAnsi="仿宋_GB2312" w:eastAsia="仿宋_GB2312" w:cs="仿宋_GB2312"/>
          <w:b/>
          <w:bCs/>
          <w:spacing w:val="3"/>
          <w:sz w:val="32"/>
          <w:szCs w:val="32"/>
          <w:lang w:eastAsia="zh-CN"/>
        </w:rPr>
        <w:t>第十三条</w:t>
      </w:r>
      <w:r>
        <w:rPr>
          <w:rFonts w:hint="eastAsia" w:ascii="仿宋_GB2312" w:hAnsi="仿宋_GB2312" w:eastAsia="仿宋_GB2312" w:cs="仿宋_GB2312"/>
          <w:spacing w:val="3"/>
          <w:sz w:val="32"/>
          <w:szCs w:val="32"/>
          <w:lang w:eastAsia="zh-CN"/>
        </w:rPr>
        <w:t xml:space="preserve"> 分级管理要求按《实验室分级管理要求参照表》执行。</w:t>
      </w:r>
    </w:p>
    <w:p w14:paraId="4CAFC95D">
      <w:pPr>
        <w:pStyle w:val="19"/>
        <w:widowControl w:val="0"/>
        <w:shd w:val="clear" w:color="auto" w:fill="FFFFFF"/>
        <w:kinsoku/>
        <w:autoSpaceDE/>
        <w:autoSpaceDN/>
        <w:spacing w:line="560" w:lineRule="exact"/>
        <w:ind w:firstLine="648"/>
        <w:jc w:val="both"/>
        <w:textAlignment w:val="auto"/>
        <w:rPr>
          <w:rFonts w:hint="eastAsia" w:ascii="仿宋_GB2312" w:hAnsi="仿宋_GB2312" w:eastAsia="仿宋_GB2312" w:cs="仿宋_GB2312"/>
          <w:spacing w:val="3"/>
          <w:sz w:val="32"/>
          <w:szCs w:val="32"/>
          <w:lang w:eastAsia="zh-CN"/>
        </w:rPr>
      </w:pPr>
      <w:r>
        <w:rPr>
          <w:rFonts w:hint="eastAsia" w:ascii="仿宋_GB2312" w:hAnsi="仿宋_GB2312" w:eastAsia="仿宋_GB2312" w:cs="仿宋_GB2312"/>
          <w:b/>
          <w:bCs/>
          <w:spacing w:val="3"/>
          <w:sz w:val="32"/>
          <w:szCs w:val="32"/>
          <w:lang w:eastAsia="zh-CN"/>
        </w:rPr>
        <w:t>第十四条</w:t>
      </w:r>
      <w:r>
        <w:rPr>
          <w:rFonts w:hint="eastAsia" w:ascii="仿宋_GB2312" w:hAnsi="仿宋_GB2312" w:eastAsia="仿宋_GB2312" w:cs="仿宋_GB2312"/>
          <w:spacing w:val="3"/>
          <w:sz w:val="32"/>
          <w:szCs w:val="32"/>
          <w:lang w:eastAsia="zh-CN"/>
        </w:rPr>
        <w:t xml:space="preserve"> 安全风险等级判定为Ⅰ级/红色级的实验室，由科研处报高校主管部门备案。</w:t>
      </w:r>
    </w:p>
    <w:p w14:paraId="0ECCCE2E">
      <w:pPr>
        <w:pStyle w:val="19"/>
        <w:widowControl w:val="0"/>
        <w:shd w:val="clear" w:color="auto" w:fill="FFFFFF"/>
        <w:kinsoku/>
        <w:autoSpaceDE/>
        <w:autoSpaceDN/>
        <w:spacing w:line="560" w:lineRule="exact"/>
        <w:ind w:firstLine="648"/>
        <w:jc w:val="both"/>
        <w:textAlignment w:val="auto"/>
        <w:rPr>
          <w:rFonts w:hint="eastAsia" w:ascii="仿宋_GB2312" w:hAnsi="仿宋_GB2312" w:eastAsia="仿宋_GB2312" w:cs="仿宋_GB2312"/>
          <w:spacing w:val="3"/>
          <w:sz w:val="32"/>
          <w:szCs w:val="32"/>
          <w:lang w:eastAsia="zh-CN"/>
        </w:rPr>
      </w:pPr>
      <w:r>
        <w:rPr>
          <w:rFonts w:hint="eastAsia" w:ascii="仿宋_GB2312" w:hAnsi="仿宋_GB2312" w:eastAsia="仿宋_GB2312" w:cs="仿宋_GB2312"/>
          <w:b/>
          <w:bCs/>
          <w:spacing w:val="3"/>
          <w:sz w:val="32"/>
          <w:szCs w:val="32"/>
          <w:lang w:eastAsia="zh-CN"/>
        </w:rPr>
        <w:t>第十五条</w:t>
      </w:r>
      <w:r>
        <w:rPr>
          <w:rFonts w:hint="eastAsia" w:ascii="仿宋_GB2312" w:hAnsi="仿宋_GB2312" w:eastAsia="仿宋_GB2312" w:cs="仿宋_GB2312"/>
          <w:spacing w:val="3"/>
          <w:sz w:val="32"/>
          <w:szCs w:val="32"/>
          <w:lang w:eastAsia="zh-CN"/>
        </w:rPr>
        <w:t xml:space="preserve"> 学院党政主要负责人、实验室工作领导小组、科研处、教学科研机构、实验室等各级责任机构根据实际情况，分级开展相应的安全检查工作。在重大隐患未完成整改前，不得在实验室中进行实验活动。</w:t>
      </w:r>
    </w:p>
    <w:p w14:paraId="620E6292">
      <w:pPr>
        <w:pStyle w:val="19"/>
        <w:widowControl w:val="0"/>
        <w:shd w:val="clear" w:color="auto" w:fill="FFFFFF"/>
        <w:kinsoku/>
        <w:autoSpaceDE/>
        <w:autoSpaceDN/>
        <w:spacing w:line="560" w:lineRule="exact"/>
        <w:ind w:firstLine="648"/>
        <w:jc w:val="both"/>
        <w:textAlignment w:val="auto"/>
        <w:rPr>
          <w:rFonts w:hint="eastAsia" w:ascii="仿宋_GB2312" w:hAnsi="仿宋_GB2312" w:eastAsia="仿宋_GB2312" w:cs="仿宋_GB2312"/>
          <w:spacing w:val="3"/>
          <w:sz w:val="32"/>
          <w:szCs w:val="32"/>
          <w:lang w:eastAsia="zh-CN"/>
        </w:rPr>
      </w:pPr>
      <w:r>
        <w:rPr>
          <w:rFonts w:hint="eastAsia" w:ascii="仿宋_GB2312" w:hAnsi="仿宋_GB2312" w:eastAsia="仿宋_GB2312" w:cs="仿宋_GB2312"/>
          <w:b/>
          <w:bCs/>
          <w:spacing w:val="3"/>
          <w:sz w:val="32"/>
          <w:szCs w:val="32"/>
          <w:lang w:eastAsia="zh-CN"/>
        </w:rPr>
        <w:t>第十六条</w:t>
      </w:r>
      <w:r>
        <w:rPr>
          <w:rFonts w:hint="eastAsia" w:ascii="仿宋_GB2312" w:hAnsi="仿宋_GB2312" w:eastAsia="仿宋_GB2312" w:cs="仿宋_GB2312"/>
          <w:spacing w:val="3"/>
          <w:sz w:val="32"/>
          <w:szCs w:val="32"/>
          <w:lang w:eastAsia="zh-CN"/>
        </w:rPr>
        <w:t xml:space="preserve"> 实验室负责人、实验室安全管理员和实验人员等应根据所在实验室类别和安全等级，接受相应的安全培训，开展相应的应急演练。实验室一旦发生事故必须立即启动应急预案，并及时（最迟不得超过1小时）向实验室负责人及上级部门汇报。</w:t>
      </w:r>
    </w:p>
    <w:p w14:paraId="00F9219D">
      <w:pPr>
        <w:pStyle w:val="19"/>
        <w:widowControl w:val="0"/>
        <w:shd w:val="clear" w:color="auto" w:fill="FFFFFF"/>
        <w:kinsoku/>
        <w:autoSpaceDE/>
        <w:autoSpaceDN/>
        <w:spacing w:line="560" w:lineRule="exact"/>
        <w:ind w:firstLine="648"/>
        <w:jc w:val="both"/>
        <w:textAlignment w:val="auto"/>
        <w:rPr>
          <w:rFonts w:hint="eastAsia" w:ascii="仿宋_GB2312" w:hAnsi="仿宋_GB2312" w:eastAsia="仿宋_GB2312" w:cs="仿宋_GB2312"/>
          <w:spacing w:val="3"/>
          <w:sz w:val="32"/>
          <w:szCs w:val="32"/>
          <w:lang w:eastAsia="zh-CN"/>
        </w:rPr>
      </w:pPr>
      <w:r>
        <w:rPr>
          <w:rFonts w:hint="eastAsia" w:ascii="仿宋_GB2312" w:hAnsi="仿宋_GB2312" w:eastAsia="仿宋_GB2312" w:cs="仿宋_GB2312"/>
          <w:b/>
          <w:bCs/>
          <w:spacing w:val="3"/>
          <w:sz w:val="32"/>
          <w:szCs w:val="32"/>
          <w:lang w:eastAsia="zh-CN"/>
        </w:rPr>
        <w:t>第十七条</w:t>
      </w:r>
      <w:r>
        <w:rPr>
          <w:rFonts w:hint="eastAsia" w:ascii="仿宋_GB2312" w:hAnsi="仿宋_GB2312" w:eastAsia="仿宋_GB2312" w:cs="仿宋_GB2312"/>
          <w:spacing w:val="3"/>
          <w:sz w:val="32"/>
          <w:szCs w:val="32"/>
          <w:lang w:eastAsia="zh-CN"/>
        </w:rPr>
        <w:t xml:space="preserve"> 在实验室开展的科研项目和实验活动应按照实验室安全准入要求完成安全风险分析报告，Ⅰ级/红色级、Ⅱ级/橙色级实验室应针对重要危险源制定相应的管理办法和应急管控措施，责任到人。</w:t>
      </w:r>
    </w:p>
    <w:p w14:paraId="5BB06382">
      <w:pPr>
        <w:pStyle w:val="19"/>
        <w:widowControl w:val="0"/>
        <w:spacing w:before="0" w:line="560" w:lineRule="exact"/>
        <w:ind w:left="18" w:right="167" w:firstLine="648"/>
        <w:jc w:val="both"/>
        <w:rPr>
          <w:rFonts w:hint="eastAsia" w:ascii="仿宋_GB2312" w:hAnsi="仿宋_GB2312" w:eastAsia="仿宋_GB2312" w:cs="仿宋_GB2312"/>
          <w:spacing w:val="3"/>
          <w:sz w:val="32"/>
          <w:szCs w:val="32"/>
          <w:lang w:eastAsia="zh-CN"/>
        </w:rPr>
      </w:pPr>
      <w:r>
        <w:rPr>
          <w:rFonts w:hint="eastAsia" w:ascii="仿宋_GB2312" w:hAnsi="仿宋_GB2312" w:eastAsia="仿宋_GB2312" w:cs="仿宋_GB2312"/>
          <w:b/>
          <w:bCs/>
          <w:spacing w:val="3"/>
          <w:sz w:val="32"/>
          <w:szCs w:val="32"/>
          <w:lang w:eastAsia="zh-CN"/>
        </w:rPr>
        <w:t>第十八条</w:t>
      </w:r>
      <w:r>
        <w:rPr>
          <w:rFonts w:hint="eastAsia" w:ascii="仿宋_GB2312" w:hAnsi="仿宋_GB2312" w:eastAsia="仿宋_GB2312" w:cs="仿宋_GB2312"/>
          <w:spacing w:val="3"/>
          <w:sz w:val="32"/>
          <w:szCs w:val="32"/>
          <w:lang w:eastAsia="zh-CN"/>
        </w:rPr>
        <w:t xml:space="preserve"> 实验室应配备适用于其安全风险等级的安全设施设备和安全管理人员。高风险点位应安装监控和必要的监测报警装置。实验室应配备必要的个体防护设备设施。</w:t>
      </w:r>
    </w:p>
    <w:p w14:paraId="18E6531D">
      <w:pPr>
        <w:widowControl w:val="0"/>
        <w:spacing w:line="560" w:lineRule="exact"/>
        <w:jc w:val="center"/>
        <w:rPr>
          <w:rFonts w:hint="eastAsia" w:ascii="黑体" w:hAnsi="黑体" w:eastAsia="黑体" w:cs="黑体"/>
          <w:sz w:val="31"/>
          <w:szCs w:val="31"/>
          <w:lang w:eastAsia="zh-CN"/>
        </w:rPr>
      </w:pPr>
      <w:r>
        <w:rPr>
          <w:rFonts w:hint="eastAsia" w:ascii="黑体" w:hAnsi="黑体" w:eastAsia="黑体" w:cs="黑体"/>
          <w:sz w:val="31"/>
          <w:szCs w:val="31"/>
          <w:lang w:eastAsia="zh-CN"/>
        </w:rPr>
        <w:t>第五章  附则</w:t>
      </w:r>
    </w:p>
    <w:p w14:paraId="570F2DB1">
      <w:pPr>
        <w:pStyle w:val="19"/>
        <w:widowControl w:val="0"/>
        <w:spacing w:before="0" w:line="560" w:lineRule="exact"/>
        <w:ind w:left="26" w:right="232" w:firstLine="648"/>
        <w:jc w:val="both"/>
        <w:rPr>
          <w:rFonts w:hint="eastAsia" w:ascii="仿宋_GB2312" w:hAnsi="仿宋_GB2312" w:eastAsia="仿宋_GB2312" w:cs="仿宋_GB2312"/>
          <w:spacing w:val="3"/>
          <w:sz w:val="32"/>
          <w:szCs w:val="32"/>
          <w:lang w:eastAsia="zh-CN"/>
        </w:rPr>
      </w:pPr>
      <w:r>
        <w:rPr>
          <w:rFonts w:hint="eastAsia" w:ascii="仿宋_GB2312" w:hAnsi="仿宋_GB2312" w:eastAsia="仿宋_GB2312" w:cs="仿宋_GB2312"/>
          <w:b/>
          <w:bCs/>
          <w:spacing w:val="3"/>
          <w:sz w:val="32"/>
          <w:szCs w:val="32"/>
          <w:lang w:eastAsia="zh-CN"/>
        </w:rPr>
        <w:t>第十九条</w:t>
      </w:r>
      <w:r>
        <w:rPr>
          <w:rFonts w:hint="eastAsia" w:ascii="仿宋_GB2312" w:hAnsi="仿宋_GB2312" w:eastAsia="仿宋_GB2312" w:cs="仿宋_GB2312"/>
          <w:spacing w:val="3"/>
          <w:sz w:val="32"/>
          <w:szCs w:val="32"/>
          <w:lang w:eastAsia="zh-CN"/>
        </w:rPr>
        <w:t xml:space="preserve"> 本办法未尽事宜，按国家有关法律、标准执行。</w:t>
      </w:r>
    </w:p>
    <w:p w14:paraId="2C009D21">
      <w:pPr>
        <w:pStyle w:val="19"/>
        <w:widowControl w:val="0"/>
        <w:kinsoku/>
        <w:autoSpaceDE/>
        <w:autoSpaceDN/>
        <w:spacing w:before="0" w:line="560" w:lineRule="exact"/>
        <w:ind w:left="26" w:right="232" w:firstLine="648"/>
        <w:jc w:val="both"/>
        <w:textAlignment w:val="auto"/>
        <w:rPr>
          <w:rFonts w:hint="eastAsia" w:ascii="仿宋_GB2312" w:hAnsi="仿宋_GB2312" w:eastAsia="仿宋_GB2312" w:cs="仿宋_GB2312"/>
          <w:spacing w:val="3"/>
          <w:sz w:val="32"/>
          <w:szCs w:val="32"/>
          <w:lang w:eastAsia="zh-CN"/>
        </w:rPr>
      </w:pPr>
      <w:r>
        <w:rPr>
          <w:rFonts w:hint="eastAsia" w:ascii="仿宋_GB2312" w:hAnsi="仿宋_GB2312" w:eastAsia="仿宋_GB2312" w:cs="仿宋_GB2312"/>
          <w:b/>
          <w:bCs/>
          <w:spacing w:val="3"/>
          <w:sz w:val="32"/>
          <w:szCs w:val="32"/>
          <w:lang w:eastAsia="zh-CN"/>
        </w:rPr>
        <w:t>第二十条</w:t>
      </w:r>
      <w:r>
        <w:rPr>
          <w:rFonts w:hint="eastAsia" w:ascii="仿宋_GB2312" w:hAnsi="仿宋_GB2312" w:eastAsia="仿宋_GB2312" w:cs="仿宋_GB2312"/>
          <w:spacing w:val="3"/>
          <w:sz w:val="32"/>
          <w:szCs w:val="32"/>
          <w:lang w:eastAsia="zh-CN"/>
        </w:rPr>
        <w:t xml:space="preserve"> 本办法由科研处负责解释。</w:t>
      </w:r>
    </w:p>
    <w:p w14:paraId="7C58B4F1">
      <w:pPr>
        <w:pStyle w:val="19"/>
        <w:widowControl w:val="0"/>
        <w:kinsoku/>
        <w:autoSpaceDE/>
        <w:autoSpaceDN/>
        <w:spacing w:before="0" w:line="560" w:lineRule="exact"/>
        <w:ind w:left="26" w:right="232" w:firstLine="648"/>
        <w:jc w:val="both"/>
        <w:textAlignment w:val="auto"/>
        <w:rPr>
          <w:rFonts w:hint="eastAsia" w:ascii="仿宋_GB2312" w:hAnsi="仿宋_GB2312" w:eastAsia="仿宋_GB2312" w:cs="仿宋_GB2312"/>
          <w:spacing w:val="3"/>
          <w:sz w:val="32"/>
          <w:szCs w:val="32"/>
          <w:lang w:eastAsia="zh-CN"/>
        </w:rPr>
      </w:pPr>
      <w:r>
        <w:rPr>
          <w:rFonts w:hint="eastAsia" w:ascii="仿宋_GB2312" w:hAnsi="仿宋_GB2312" w:eastAsia="仿宋_GB2312" w:cs="仿宋_GB2312"/>
          <w:b/>
          <w:bCs/>
          <w:spacing w:val="3"/>
          <w:sz w:val="32"/>
          <w:szCs w:val="32"/>
          <w:lang w:eastAsia="zh-CN"/>
        </w:rPr>
        <w:t xml:space="preserve">第二十一条 </w:t>
      </w:r>
      <w:r>
        <w:rPr>
          <w:rFonts w:hint="eastAsia" w:ascii="仿宋_GB2312" w:hAnsi="仿宋_GB2312" w:eastAsia="仿宋_GB2312" w:cs="仿宋_GB2312"/>
          <w:spacing w:val="3"/>
          <w:sz w:val="32"/>
          <w:szCs w:val="32"/>
          <w:lang w:eastAsia="zh-CN"/>
        </w:rPr>
        <w:t>本办法自公布之日起施行。</w:t>
      </w:r>
    </w:p>
    <w:p w14:paraId="6AA2530D">
      <w:pPr>
        <w:pStyle w:val="19"/>
        <w:widowControl w:val="0"/>
        <w:spacing w:line="560" w:lineRule="exact"/>
        <w:ind w:firstLine="646"/>
        <w:rPr>
          <w:rFonts w:hint="eastAsia" w:ascii="仿宋_GB2312" w:hAnsi="仿宋_GB2312" w:eastAsia="仿宋_GB2312" w:cs="仿宋_GB2312"/>
          <w:spacing w:val="3"/>
          <w:sz w:val="32"/>
          <w:szCs w:val="32"/>
          <w:lang w:eastAsia="zh-CN"/>
        </w:rPr>
        <w:sectPr>
          <w:headerReference r:id="rId4" w:type="first"/>
          <w:footerReference r:id="rId7" w:type="first"/>
          <w:footerReference r:id="rId5" w:type="default"/>
          <w:headerReference r:id="rId3" w:type="even"/>
          <w:footerReference r:id="rId6" w:type="even"/>
          <w:pgSz w:w="11907" w:h="16839"/>
          <w:pgMar w:top="1440" w:right="1406" w:bottom="1440" w:left="1406" w:header="0" w:footer="953" w:gutter="0"/>
          <w:cols w:space="720" w:num="1"/>
        </w:sectPr>
      </w:pPr>
    </w:p>
    <w:p w14:paraId="705902D8">
      <w:pPr>
        <w:widowControl w:val="0"/>
        <w:shd w:val="clear" w:color="auto" w:fill="FFFFFF"/>
        <w:kinsoku/>
        <w:autoSpaceDE/>
        <w:autoSpaceDN/>
        <w:adjustRightInd/>
        <w:snapToGrid/>
        <w:textAlignment w:val="auto"/>
        <w:rPr>
          <w:rFonts w:hint="eastAsia" w:ascii="仿宋_GB2312" w:hAnsi="仿宋_GB2312" w:eastAsia="仿宋_GB2312" w:cs="仿宋_GB2312"/>
          <w:b/>
          <w:bCs/>
          <w:color w:val="333333"/>
          <w:sz w:val="28"/>
          <w:szCs w:val="28"/>
        </w:rPr>
      </w:pPr>
      <w:r>
        <w:rPr>
          <w:rFonts w:hint="eastAsia" w:ascii="仿宋_GB2312" w:hAnsi="仿宋_GB2312" w:eastAsia="仿宋_GB2312" w:cs="仿宋_GB2312"/>
          <w:b/>
          <w:bCs/>
          <w:color w:val="333333"/>
          <w:sz w:val="28"/>
          <w:szCs w:val="28"/>
        </w:rPr>
        <w:t>附件1.实验室安全分级表</w:t>
      </w:r>
    </w:p>
    <w:tbl>
      <w:tblPr>
        <w:tblStyle w:val="8"/>
        <w:tblW w:w="8781" w:type="dxa"/>
        <w:tblInd w:w="0" w:type="dxa"/>
        <w:shd w:val="clear" w:color="auto" w:fill="FFFFFF"/>
        <w:tblLayout w:type="autofit"/>
        <w:tblCellMar>
          <w:top w:w="0" w:type="dxa"/>
          <w:left w:w="0" w:type="dxa"/>
          <w:bottom w:w="0" w:type="dxa"/>
          <w:right w:w="0" w:type="dxa"/>
        </w:tblCellMar>
      </w:tblPr>
      <w:tblGrid>
        <w:gridCol w:w="1575"/>
        <w:gridCol w:w="7206"/>
      </w:tblGrid>
      <w:tr w14:paraId="26B82685">
        <w:trPr>
          <w:trHeight w:val="336" w:hRule="atLeast"/>
          <w:tblHeader/>
        </w:trPr>
        <w:tc>
          <w:tcPr>
            <w:tcW w:w="1575" w:type="dxa"/>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bottom"/>
          </w:tcPr>
          <w:p w14:paraId="21CF129B">
            <w:pPr>
              <w:widowControl w:val="0"/>
              <w:kinsoku/>
              <w:autoSpaceDE/>
              <w:autoSpaceDN/>
              <w:adjustRightInd/>
              <w:snapToGrid/>
              <w:jc w:val="both"/>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安全等级</w:t>
            </w:r>
          </w:p>
        </w:tc>
        <w:tc>
          <w:tcPr>
            <w:tcW w:w="7206"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bottom"/>
          </w:tcPr>
          <w:p w14:paraId="20097AC9">
            <w:pPr>
              <w:widowControl w:val="0"/>
              <w:kinsoku/>
              <w:autoSpaceDE/>
              <w:autoSpaceDN/>
              <w:adjustRightInd/>
              <w:snapToGrid/>
              <w:jc w:val="both"/>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参考分级依据</w:t>
            </w:r>
          </w:p>
        </w:tc>
      </w:tr>
      <w:tr w14:paraId="578E22FF">
        <w:trPr>
          <w:trHeight w:val="480" w:hRule="atLeast"/>
        </w:trPr>
        <w:tc>
          <w:tcPr>
            <w:tcW w:w="1575"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01AA8A52">
            <w:pPr>
              <w:widowControl w:val="0"/>
              <w:kinsoku/>
              <w:autoSpaceDE/>
              <w:autoSpaceDN/>
              <w:adjustRightInd/>
              <w:snapToGrid/>
              <w:jc w:val="both"/>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Ⅰ级/红色级</w:t>
            </w:r>
          </w:p>
        </w:tc>
        <w:tc>
          <w:tcPr>
            <w:tcW w:w="7206"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068922A4">
            <w:pPr>
              <w:widowControl w:val="0"/>
              <w:kinsoku/>
              <w:autoSpaceDE/>
              <w:autoSpaceDN/>
              <w:adjustRightInd/>
              <w:snapToGrid/>
              <w:jc w:val="both"/>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涉及以下情况之一的，判定为Ⅰ级重大风险实验室：</w:t>
            </w:r>
          </w:p>
          <w:p w14:paraId="56029F8E">
            <w:pPr>
              <w:widowControl w:val="0"/>
              <w:kinsoku/>
              <w:autoSpaceDE/>
              <w:autoSpaceDN/>
              <w:adjustRightInd/>
              <w:snapToGrid/>
              <w:jc w:val="both"/>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涉及剧毒化学品；</w:t>
            </w:r>
          </w:p>
          <w:p w14:paraId="3DB00157">
            <w:pPr>
              <w:widowControl w:val="0"/>
              <w:kinsoku/>
              <w:autoSpaceDE/>
              <w:autoSpaceDN/>
              <w:adjustRightInd/>
              <w:snapToGrid/>
              <w:jc w:val="both"/>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存储第一类易制毒品、第一类精神药品；</w:t>
            </w:r>
          </w:p>
          <w:p w14:paraId="24302D57">
            <w:pPr>
              <w:widowControl w:val="0"/>
              <w:kinsoku/>
              <w:autoSpaceDE/>
              <w:autoSpaceDN/>
              <w:adjustRightInd/>
              <w:snapToGrid/>
              <w:jc w:val="both"/>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存储易燃易爆化学品总量大于50kg（L）；</w:t>
            </w:r>
            <w:r>
              <w:rPr>
                <w:rFonts w:hint="eastAsia" w:ascii="仿宋_GB2312" w:hAnsi="仿宋_GB2312" w:eastAsia="仿宋_GB2312" w:cs="仿宋_GB2312"/>
                <w:color w:val="000000" w:themeColor="text1"/>
                <w:sz w:val="24"/>
                <w:szCs w:val="24"/>
                <w:vertAlign w:val="superscript"/>
                <w:lang w:eastAsia="zh-CN"/>
                <w14:textFill>
                  <w14:solidFill>
                    <w14:schemeClr w14:val="tx1"/>
                  </w14:solidFill>
                </w14:textFill>
              </w:rPr>
              <w:t>（注1）</w:t>
            </w:r>
          </w:p>
          <w:p w14:paraId="67482810">
            <w:pPr>
              <w:widowControl w:val="0"/>
              <w:kinsoku/>
              <w:autoSpaceDE/>
              <w:autoSpaceDN/>
              <w:adjustRightInd/>
              <w:snapToGrid/>
              <w:jc w:val="both"/>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存储有毒、易燃气体总量≥6瓶；</w:t>
            </w:r>
          </w:p>
          <w:p w14:paraId="5635D643">
            <w:pPr>
              <w:widowControl w:val="0"/>
              <w:kinsoku/>
              <w:autoSpaceDE/>
              <w:autoSpaceDN/>
              <w:adjustRightInd/>
              <w:snapToGrid/>
              <w:jc w:val="both"/>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生物安全BSL/ABSL-3和BSL/ABSL-4；</w:t>
            </w:r>
          </w:p>
          <w:p w14:paraId="6A69AA1E">
            <w:pPr>
              <w:widowControl w:val="0"/>
              <w:kinsoku/>
              <w:autoSpaceDE/>
              <w:autoSpaceDN/>
              <w:adjustRightInd/>
              <w:snapToGrid/>
              <w:jc w:val="both"/>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使用Ⅰ、Ⅱ类射线装置；</w:t>
            </w:r>
          </w:p>
          <w:p w14:paraId="72B042AC">
            <w:pPr>
              <w:widowControl w:val="0"/>
              <w:kinsoku/>
              <w:autoSpaceDE/>
              <w:autoSpaceDN/>
              <w:adjustRightInd/>
              <w:snapToGrid/>
              <w:jc w:val="both"/>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使用放射性同位素、放射源、核材料；</w:t>
            </w:r>
          </w:p>
          <w:p w14:paraId="6EFAB166">
            <w:pPr>
              <w:widowControl w:val="0"/>
              <w:kinsoku/>
              <w:autoSpaceDE/>
              <w:autoSpaceDN/>
              <w:adjustRightInd/>
              <w:snapToGrid/>
              <w:jc w:val="both"/>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使用起重机、场内机动车、室内索道等机电类特种设备；</w:t>
            </w:r>
          </w:p>
          <w:p w14:paraId="22748C12">
            <w:pPr>
              <w:widowControl w:val="0"/>
              <w:kinsoku/>
              <w:autoSpaceDE/>
              <w:autoSpaceDN/>
              <w:adjustRightInd/>
              <w:snapToGrid/>
              <w:jc w:val="both"/>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使用第Ⅲ类压力容器；</w:t>
            </w:r>
          </w:p>
          <w:p w14:paraId="6C2E454F">
            <w:pPr>
              <w:widowControl w:val="0"/>
              <w:kinsoku/>
              <w:autoSpaceDE/>
              <w:autoSpaceDN/>
              <w:adjustRightInd/>
              <w:snapToGrid/>
              <w:jc w:val="both"/>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使用强磁、强电设备（千伏以上高压电，磁感应强度≥2T的外磁场环境）；</w:t>
            </w:r>
          </w:p>
          <w:p w14:paraId="4625DF6F">
            <w:pPr>
              <w:widowControl w:val="0"/>
              <w:kinsoku/>
              <w:autoSpaceDE/>
              <w:autoSpaceDN/>
              <w:adjustRightInd/>
              <w:snapToGrid/>
              <w:jc w:val="both"/>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使用4、3R、3B类激光设备（限光路穿越人员活动区域）；</w:t>
            </w:r>
          </w:p>
          <w:p w14:paraId="35F9895B">
            <w:pPr>
              <w:widowControl w:val="0"/>
              <w:kinsoku/>
              <w:autoSpaceDE/>
              <w:autoSpaceDN/>
              <w:adjustRightInd/>
              <w:snapToGrid/>
              <w:jc w:val="both"/>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使用富氧涉爆自制设备</w:t>
            </w:r>
            <w:r>
              <w:rPr>
                <w:rFonts w:hint="eastAsia" w:ascii="仿宋_GB2312" w:hAnsi="仿宋_GB2312" w:eastAsia="仿宋_GB2312" w:cs="仿宋_GB2312"/>
                <w:color w:val="000000" w:themeColor="text1"/>
                <w:sz w:val="24"/>
                <w:szCs w:val="24"/>
                <w:vertAlign w:val="superscript"/>
                <w:lang w:eastAsia="zh-CN"/>
                <w14:textFill>
                  <w14:solidFill>
                    <w14:schemeClr w14:val="tx1"/>
                  </w14:solidFill>
                </w14:textFill>
              </w:rPr>
              <w:t>（注2）</w:t>
            </w:r>
            <w:r>
              <w:rPr>
                <w:rFonts w:hint="eastAsia" w:ascii="仿宋_GB2312" w:hAnsi="仿宋_GB2312" w:eastAsia="仿宋_GB2312" w:cs="仿宋_GB2312"/>
                <w:color w:val="000000" w:themeColor="text1"/>
                <w:sz w:val="24"/>
                <w:szCs w:val="24"/>
                <w:lang w:eastAsia="zh-CN"/>
                <w14:textFill>
                  <w14:solidFill>
                    <w14:schemeClr w14:val="tx1"/>
                  </w14:solidFill>
                </w14:textFill>
              </w:rPr>
              <w:t>；</w:t>
            </w:r>
          </w:p>
          <w:p w14:paraId="41172E57">
            <w:pPr>
              <w:widowControl w:val="0"/>
              <w:kinsoku/>
              <w:autoSpaceDE/>
              <w:autoSpaceDN/>
              <w:adjustRightInd/>
              <w:snapToGrid/>
              <w:jc w:val="both"/>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按附件2《实验室安全风险评价表》评分达到100分；</w:t>
            </w:r>
          </w:p>
          <w:p w14:paraId="3159A7FB">
            <w:pPr>
              <w:widowControl w:val="0"/>
              <w:kinsoku/>
              <w:autoSpaceDE/>
              <w:autoSpaceDN/>
              <w:adjustRightInd/>
              <w:snapToGrid/>
              <w:jc w:val="both"/>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其它科研处认定因素。</w:t>
            </w:r>
          </w:p>
        </w:tc>
      </w:tr>
      <w:tr w14:paraId="145AA85C">
        <w:trPr>
          <w:trHeight w:val="480" w:hRule="atLeast"/>
        </w:trPr>
        <w:tc>
          <w:tcPr>
            <w:tcW w:w="1575"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02E1702D">
            <w:pPr>
              <w:widowControl w:val="0"/>
              <w:kinsoku/>
              <w:autoSpaceDE/>
              <w:autoSpaceDN/>
              <w:adjustRightInd/>
              <w:snapToGrid/>
              <w:jc w:val="both"/>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Ⅱ级/橙色级</w:t>
            </w:r>
          </w:p>
        </w:tc>
        <w:tc>
          <w:tcPr>
            <w:tcW w:w="7206"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1D99122A">
            <w:pPr>
              <w:widowControl w:val="0"/>
              <w:kinsoku/>
              <w:autoSpaceDE/>
              <w:autoSpaceDN/>
              <w:adjustRightInd/>
              <w:snapToGrid/>
              <w:jc w:val="both"/>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按照《实验室安全风险评价表》评分在75～100分</w:t>
            </w:r>
          </w:p>
        </w:tc>
      </w:tr>
      <w:tr w14:paraId="27F5F96D">
        <w:trPr>
          <w:trHeight w:val="480" w:hRule="atLeast"/>
        </w:trPr>
        <w:tc>
          <w:tcPr>
            <w:tcW w:w="1575"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74F98665">
            <w:pPr>
              <w:widowControl w:val="0"/>
              <w:kinsoku/>
              <w:autoSpaceDE/>
              <w:autoSpaceDN/>
              <w:adjustRightInd/>
              <w:snapToGrid/>
              <w:jc w:val="both"/>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Ⅲ级/黄色级</w:t>
            </w:r>
          </w:p>
        </w:tc>
        <w:tc>
          <w:tcPr>
            <w:tcW w:w="7206"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23A5BAA4">
            <w:pPr>
              <w:widowControl w:val="0"/>
              <w:kinsoku/>
              <w:autoSpaceDE/>
              <w:autoSpaceDN/>
              <w:adjustRightInd/>
              <w:snapToGrid/>
              <w:jc w:val="both"/>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按照《实验室安全风险评价表》评分在25～75分</w:t>
            </w:r>
          </w:p>
        </w:tc>
      </w:tr>
      <w:tr w14:paraId="4EDEC078">
        <w:trPr>
          <w:trHeight w:val="480" w:hRule="atLeast"/>
        </w:trPr>
        <w:tc>
          <w:tcPr>
            <w:tcW w:w="1575"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226E87E4">
            <w:pPr>
              <w:widowControl w:val="0"/>
              <w:kinsoku/>
              <w:autoSpaceDE/>
              <w:autoSpaceDN/>
              <w:adjustRightInd/>
              <w:snapToGrid/>
              <w:jc w:val="both"/>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Ⅳ级/蓝色级</w:t>
            </w:r>
          </w:p>
        </w:tc>
        <w:tc>
          <w:tcPr>
            <w:tcW w:w="7206"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055FFFA3">
            <w:pPr>
              <w:widowControl w:val="0"/>
              <w:kinsoku/>
              <w:autoSpaceDE/>
              <w:autoSpaceDN/>
              <w:adjustRightInd/>
              <w:snapToGrid/>
              <w:jc w:val="both"/>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按照《实验室安全风险评价表》评分在0～25分</w:t>
            </w:r>
          </w:p>
        </w:tc>
      </w:tr>
    </w:tbl>
    <w:p w14:paraId="528A9488">
      <w:pPr>
        <w:widowControl w:val="0"/>
        <w:kinsoku/>
        <w:autoSpaceDE/>
        <w:autoSpaceDN/>
        <w:adjustRightInd/>
        <w:snapToGrid/>
        <w:spacing w:line="360" w:lineRule="exact"/>
        <w:jc w:val="both"/>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注：</w:t>
      </w:r>
    </w:p>
    <w:p w14:paraId="2971168D">
      <w:pPr>
        <w:widowControl w:val="0"/>
        <w:kinsoku/>
        <w:autoSpaceDE/>
        <w:autoSpaceDN/>
        <w:adjustRightInd/>
        <w:snapToGrid/>
        <w:spacing w:line="360" w:lineRule="exact"/>
        <w:jc w:val="both"/>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1.按照实验室安全检查项目表要求，危化品存量原则上不应超过100L（Kg），其中易燃易爆性化学品的存放总量不应超过50L（Kg），且单一包装容器不应大于20L（Kg），超过此量属于安全隐患，应该整改。若因科研需要危化品存量不得不超过以上限值，则实验室应在安全分析报告中对超量存放做充分的评估和论证。</w:t>
      </w:r>
    </w:p>
    <w:p w14:paraId="727ADD56">
      <w:pPr>
        <w:widowControl w:val="0"/>
        <w:kinsoku/>
        <w:autoSpaceDE/>
        <w:autoSpaceDN/>
        <w:adjustRightInd/>
        <w:snapToGrid/>
        <w:spacing w:line="360" w:lineRule="exact"/>
        <w:jc w:val="both"/>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2.自制设备界定见《清华大学实验室自制设备安全管理实施细则》。</w:t>
      </w:r>
    </w:p>
    <w:p w14:paraId="6E8A1C55">
      <w:pPr>
        <w:widowControl w:val="0"/>
        <w:kinsoku/>
        <w:autoSpaceDE/>
        <w:autoSpaceDN/>
        <w:adjustRightInd/>
        <w:snapToGrid/>
        <w:spacing w:line="360" w:lineRule="exact"/>
        <w:jc w:val="both"/>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3.按实验室面积50m</w:t>
      </w:r>
      <w:r>
        <w:rPr>
          <w:rFonts w:ascii="仿宋_GB2312" w:hAnsi="仿宋_GB2312" w:eastAsia="仿宋_GB2312" w:cs="仿宋_GB2312"/>
          <w:color w:val="000000" w:themeColor="text1"/>
          <w:sz w:val="24"/>
          <w:szCs w:val="24"/>
          <w:lang w:eastAsia="zh-CN"/>
          <w14:textFill>
            <w14:solidFill>
              <w14:schemeClr w14:val="tx1"/>
            </w14:solidFill>
          </w14:textFill>
        </w:rPr>
        <w:t>²</w:t>
      </w:r>
      <w:r>
        <w:rPr>
          <w:rFonts w:hint="eastAsia" w:ascii="仿宋_GB2312" w:hAnsi="仿宋_GB2312" w:eastAsia="仿宋_GB2312" w:cs="仿宋_GB2312"/>
          <w:color w:val="000000" w:themeColor="text1"/>
          <w:sz w:val="24"/>
          <w:szCs w:val="24"/>
          <w:lang w:eastAsia="zh-CN"/>
          <w14:textFill>
            <w14:solidFill>
              <w14:schemeClr w14:val="tx1"/>
            </w14:solidFill>
          </w14:textFill>
        </w:rPr>
        <w:t>为标准，按面积比考量。</w:t>
      </w:r>
    </w:p>
    <w:p w14:paraId="436DDEE4">
      <w:pPr>
        <w:widowControl w:val="0"/>
        <w:shd w:val="clear" w:color="auto" w:fill="FFFFFF"/>
        <w:kinsoku/>
        <w:autoSpaceDE/>
        <w:autoSpaceDN/>
        <w:spacing w:after="150"/>
        <w:textAlignment w:val="auto"/>
        <w:rPr>
          <w:rFonts w:ascii="寰蒋闆呴粦" w:eastAsia="仿宋" w:cs="宋体"/>
          <w:color w:val="333333"/>
          <w:sz w:val="24"/>
          <w:szCs w:val="24"/>
          <w:lang w:eastAsia="zh-CN"/>
        </w:rPr>
      </w:pPr>
    </w:p>
    <w:p w14:paraId="690CADF6">
      <w:pPr>
        <w:widowControl w:val="0"/>
        <w:shd w:val="clear" w:color="auto" w:fill="FFFFFF"/>
        <w:kinsoku/>
        <w:autoSpaceDE/>
        <w:autoSpaceDN/>
        <w:spacing w:after="150"/>
        <w:textAlignment w:val="auto"/>
        <w:rPr>
          <w:rFonts w:ascii="Calibri" w:hAnsi="Calibri" w:eastAsia="仿宋" w:cs="Calibri"/>
          <w:sz w:val="24"/>
          <w:szCs w:val="24"/>
          <w:lang w:eastAsia="zh-CN"/>
        </w:rPr>
      </w:pPr>
    </w:p>
    <w:p w14:paraId="267AAE1B">
      <w:pPr>
        <w:widowControl w:val="0"/>
        <w:rPr>
          <w:rFonts w:hint="eastAsia" w:ascii="仿宋_GB2312" w:hAnsi="仿宋_GB2312" w:eastAsia="仿宋_GB2312" w:cs="仿宋_GB2312"/>
          <w:color w:val="333333"/>
          <w:sz w:val="32"/>
          <w:szCs w:val="32"/>
          <w:lang w:eastAsia="zh-CN"/>
        </w:rPr>
      </w:pPr>
      <w:r>
        <w:rPr>
          <w:rFonts w:hint="eastAsia" w:ascii="仿宋_GB2312" w:hAnsi="仿宋_GB2312" w:eastAsia="仿宋_GB2312" w:cs="仿宋_GB2312"/>
          <w:color w:val="333333"/>
          <w:sz w:val="32"/>
          <w:szCs w:val="32"/>
          <w:lang w:eastAsia="zh-CN"/>
        </w:rPr>
        <w:br w:type="page"/>
      </w:r>
    </w:p>
    <w:p w14:paraId="4B75FF53">
      <w:pPr>
        <w:widowControl w:val="0"/>
        <w:shd w:val="clear" w:color="auto" w:fill="FFFFFF"/>
        <w:kinsoku/>
        <w:autoSpaceDE/>
        <w:autoSpaceDN/>
        <w:adjustRightInd/>
        <w:snapToGrid/>
        <w:textAlignment w:val="auto"/>
        <w:rPr>
          <w:rFonts w:hint="eastAsia" w:ascii="仿宋_GB2312" w:hAnsi="仿宋_GB2312" w:eastAsia="仿宋_GB2312" w:cs="仿宋_GB2312"/>
          <w:b/>
          <w:bCs/>
          <w:color w:val="333333"/>
          <w:sz w:val="28"/>
          <w:szCs w:val="28"/>
          <w:lang w:eastAsia="zh-CN"/>
        </w:rPr>
      </w:pPr>
      <w:r>
        <w:rPr>
          <w:rFonts w:hint="eastAsia" w:ascii="仿宋_GB2312" w:hAnsi="仿宋_GB2312" w:eastAsia="仿宋_GB2312" w:cs="仿宋_GB2312"/>
          <w:b/>
          <w:bCs/>
          <w:color w:val="333333"/>
          <w:sz w:val="28"/>
          <w:szCs w:val="28"/>
          <w:lang w:eastAsia="zh-CN"/>
        </w:rPr>
        <w:t>附件2.实验室安全风险评价表</w:t>
      </w:r>
    </w:p>
    <w:tbl>
      <w:tblPr>
        <w:tblStyle w:val="8"/>
        <w:tblW w:w="8790" w:type="dxa"/>
        <w:tblInd w:w="0" w:type="dxa"/>
        <w:shd w:val="clear" w:color="auto" w:fill="FFFFFF"/>
        <w:tblLayout w:type="autofit"/>
        <w:tblCellMar>
          <w:top w:w="0" w:type="dxa"/>
          <w:left w:w="0" w:type="dxa"/>
          <w:bottom w:w="0" w:type="dxa"/>
          <w:right w:w="0" w:type="dxa"/>
        </w:tblCellMar>
      </w:tblPr>
      <w:tblGrid>
        <w:gridCol w:w="1211"/>
        <w:gridCol w:w="7579"/>
      </w:tblGrid>
      <w:tr w14:paraId="48390932">
        <w:trPr>
          <w:trHeight w:val="480" w:hRule="atLeast"/>
          <w:tblHeader/>
        </w:trPr>
        <w:tc>
          <w:tcPr>
            <w:tcW w:w="1211" w:type="dxa"/>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08D0F1DE">
            <w:pPr>
              <w:widowControl w:val="0"/>
              <w:kinsoku/>
              <w:autoSpaceDE/>
              <w:autoSpaceDN/>
              <w:adjustRightInd/>
              <w:snapToGrid/>
              <w:spacing w:line="360" w:lineRule="exact"/>
              <w:jc w:val="both"/>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每项计分</w:t>
            </w:r>
          </w:p>
        </w:tc>
        <w:tc>
          <w:tcPr>
            <w:tcW w:w="7579"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14:paraId="52DB758A">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风险评价依据</w:t>
            </w:r>
          </w:p>
        </w:tc>
      </w:tr>
      <w:tr w14:paraId="1103572B">
        <w:trPr>
          <w:trHeight w:val="480" w:hRule="atLeast"/>
        </w:trPr>
        <w:tc>
          <w:tcPr>
            <w:tcW w:w="1211"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4F22A9BE">
            <w:pPr>
              <w:widowControl w:val="0"/>
              <w:kinsoku/>
              <w:autoSpaceDE/>
              <w:autoSpaceDN/>
              <w:adjustRightInd/>
              <w:snapToGrid/>
              <w:spacing w:line="360" w:lineRule="exact"/>
              <w:jc w:val="both"/>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75分</w:t>
            </w:r>
          </w:p>
        </w:tc>
        <w:tc>
          <w:tcPr>
            <w:tcW w:w="7579"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696CE112">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存储第二类精神药品；存储易燃易爆及易制爆化学品总量为20～50kg（L）；存储有毒、易燃气体总量为3～6（不含）瓶；生物安全BSL/ABSL-2实验室；</w:t>
            </w:r>
          </w:p>
        </w:tc>
      </w:tr>
      <w:tr w14:paraId="7BF9924B">
        <w:trPr>
          <w:trHeight w:val="480" w:hRule="atLeast"/>
        </w:trPr>
        <w:tc>
          <w:tcPr>
            <w:tcW w:w="1211"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4833C81D">
            <w:pPr>
              <w:widowControl w:val="0"/>
              <w:kinsoku/>
              <w:autoSpaceDE/>
              <w:autoSpaceDN/>
              <w:adjustRightInd/>
              <w:snapToGrid/>
              <w:spacing w:line="360" w:lineRule="exact"/>
              <w:jc w:val="both"/>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25分</w:t>
            </w:r>
          </w:p>
          <w:p w14:paraId="0590E2EB">
            <w:pPr>
              <w:widowControl w:val="0"/>
              <w:kinsoku/>
              <w:autoSpaceDE/>
              <w:autoSpaceDN/>
              <w:adjustRightInd/>
              <w:snapToGrid/>
              <w:spacing w:line="360" w:lineRule="exact"/>
              <w:jc w:val="both"/>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ascii="仿宋_GB2312" w:hAnsi="仿宋_GB2312" w:eastAsia="仿宋_GB2312" w:cs="仿宋_GB2312"/>
                <w:color w:val="000000" w:themeColor="text1"/>
                <w:sz w:val="24"/>
                <w:szCs w:val="24"/>
                <w14:textFill>
                  <w14:solidFill>
                    <w14:schemeClr w14:val="tx1"/>
                  </w14:solidFill>
                </w14:textFill>
              </w:rPr>
              <w:t> </w:t>
            </w:r>
          </w:p>
        </w:tc>
        <w:tc>
          <w:tcPr>
            <w:tcW w:w="7579"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225E17CE">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存储第二/三类易制毒品；或存储易燃易爆及易制爆化学品总量在5～20kg（L）；</w:t>
            </w:r>
          </w:p>
          <w:p w14:paraId="0EC409CA">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存储一般危化品总量50～100kg（L）；</w:t>
            </w:r>
          </w:p>
          <w:p w14:paraId="11B83698">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存储有毒、易燃气体总量为2瓶；</w:t>
            </w:r>
          </w:p>
          <w:p w14:paraId="63131F23">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使用Ⅲ类射线设备的数量≥2台；</w:t>
            </w:r>
          </w:p>
          <w:p w14:paraId="6F9E6B36">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生物安全BSL/ABSL-1实验室；</w:t>
            </w:r>
          </w:p>
          <w:p w14:paraId="2B83ED3B">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使用压力容器合计≥3台（含简单压力容器、压力釜、水热釜等）；</w:t>
            </w:r>
          </w:p>
          <w:p w14:paraId="7F30B896">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使用危险机加工装置的数量≥3种；</w:t>
            </w:r>
          </w:p>
          <w:p w14:paraId="0B264FA0">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使用加热设备数量≥6台；</w:t>
            </w:r>
          </w:p>
          <w:p w14:paraId="57C96DC9">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每月危险废物产生量≥100 L(kg)；</w:t>
            </w:r>
          </w:p>
          <w:p w14:paraId="6585AEDB">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基础设施老化（由教学科研机构或实验室判断）；</w:t>
            </w:r>
          </w:p>
          <w:p w14:paraId="5491E48B">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其它教学科研机构认定因素。</w:t>
            </w:r>
          </w:p>
        </w:tc>
      </w:tr>
      <w:tr w14:paraId="566748E1">
        <w:trPr>
          <w:trHeight w:val="480" w:hRule="atLeast"/>
        </w:trPr>
        <w:tc>
          <w:tcPr>
            <w:tcW w:w="1211"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306E335E">
            <w:pPr>
              <w:widowControl w:val="0"/>
              <w:kinsoku/>
              <w:autoSpaceDE/>
              <w:autoSpaceDN/>
              <w:adjustRightInd/>
              <w:snapToGrid/>
              <w:spacing w:line="360" w:lineRule="exact"/>
              <w:jc w:val="both"/>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10分</w:t>
            </w:r>
          </w:p>
        </w:tc>
        <w:tc>
          <w:tcPr>
            <w:tcW w:w="7579"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0EB57B30">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开展超过人体安全电压（36V）的实验；</w:t>
            </w:r>
          </w:p>
          <w:p w14:paraId="63439257">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涉及合成放热实验；</w:t>
            </w:r>
          </w:p>
          <w:p w14:paraId="3251EC66">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涉及压力实验；</w:t>
            </w:r>
          </w:p>
          <w:p w14:paraId="0BE6C1E6">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产生易燃气体的实验；</w:t>
            </w:r>
          </w:p>
          <w:p w14:paraId="2EA95AEA">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涉及持续加热实验；</w:t>
            </w:r>
          </w:p>
          <w:p w14:paraId="32118BFD">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使用一般实验室自制设备；</w:t>
            </w:r>
          </w:p>
          <w:p w14:paraId="66343F9A">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存储易燃易爆及易制爆化学品，但总量＜5kg（L）；</w:t>
            </w:r>
          </w:p>
          <w:p w14:paraId="7D78D6DA">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存储一般危化品，但总量＜50kg（L）；</w:t>
            </w:r>
          </w:p>
          <w:p w14:paraId="1FD75638">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存储有毒、易燃气体1瓶；</w:t>
            </w:r>
          </w:p>
          <w:p w14:paraId="231360E9">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使用压力容器1～2台（含简单压力容器、压力釜、水热釜等）；</w:t>
            </w:r>
          </w:p>
          <w:p w14:paraId="397997D2">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使用Ⅲ类射线设备1台；</w:t>
            </w:r>
          </w:p>
          <w:p w14:paraId="08C23094">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使用危险机加工装置1～2台；</w:t>
            </w:r>
          </w:p>
          <w:p w14:paraId="1CCE56B7">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使用一般机加工装置的数量≥5台；</w:t>
            </w:r>
          </w:p>
          <w:p w14:paraId="32E15FC1">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用电超过80%设计负载；</w:t>
            </w:r>
          </w:p>
          <w:p w14:paraId="0B234E93">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使用2、2M、1、1M类激光设备的数量≥3台（限光路穿越人员活动区域）；</w:t>
            </w:r>
          </w:p>
          <w:p w14:paraId="648A209C">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每月危险废物产生量为20～100 L（kg）；</w:t>
            </w:r>
          </w:p>
          <w:p w14:paraId="2211FE41">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使用加热设备数量3～5台；</w:t>
            </w:r>
          </w:p>
          <w:p w14:paraId="2753C793">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使用每1台明火设备；</w:t>
            </w:r>
          </w:p>
          <w:p w14:paraId="541C2293">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其它教学科研机构认定因素。</w:t>
            </w:r>
          </w:p>
        </w:tc>
      </w:tr>
      <w:tr w14:paraId="2787B863">
        <w:trPr>
          <w:trHeight w:val="480" w:hRule="atLeast"/>
        </w:trPr>
        <w:tc>
          <w:tcPr>
            <w:tcW w:w="1211"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5363B3A8">
            <w:pPr>
              <w:widowControl w:val="0"/>
              <w:kinsoku/>
              <w:autoSpaceDE/>
              <w:autoSpaceDN/>
              <w:adjustRightInd/>
              <w:snapToGrid/>
              <w:spacing w:line="360" w:lineRule="exact"/>
              <w:jc w:val="both"/>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5分</w:t>
            </w:r>
          </w:p>
        </w:tc>
        <w:tc>
          <w:tcPr>
            <w:tcW w:w="7579"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14:paraId="32F01EA8">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存储普通气体每4瓶；</w:t>
            </w:r>
          </w:p>
          <w:p w14:paraId="40D4D8B7">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使用一般机加工装置1～4台；</w:t>
            </w:r>
          </w:p>
          <w:p w14:paraId="408ABB79">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使用2、2M、1、1M类激光设备1～2台（限光路穿越人员活动区域）；</w:t>
            </w:r>
          </w:p>
          <w:p w14:paraId="2546E661">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产生危险废物，但量＜20 L（kg）；</w:t>
            </w:r>
          </w:p>
          <w:p w14:paraId="2C00CD6A">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使用加热设备数量1～2台；</w:t>
            </w:r>
          </w:p>
          <w:p w14:paraId="35D51B7F">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存放危险化学品的防爆冰箱或经防爆改造冰箱数量每1台；</w:t>
            </w:r>
          </w:p>
          <w:p w14:paraId="4B8CB59F">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使用每1台快捷电热设备；</w:t>
            </w:r>
          </w:p>
          <w:p w14:paraId="70207079">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其它教学科研机构认定因素。</w:t>
            </w:r>
          </w:p>
        </w:tc>
      </w:tr>
    </w:tbl>
    <w:p w14:paraId="1CB96D22">
      <w:pPr>
        <w:widowControl w:val="0"/>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说明：</w:t>
      </w:r>
    </w:p>
    <w:p w14:paraId="109C698D">
      <w:pPr>
        <w:widowControl w:val="0"/>
        <w:numPr>
          <w:ilvl w:val="0"/>
          <w:numId w:val="1"/>
        </w:numPr>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符合多种情况，分数累加计算；</w:t>
      </w:r>
    </w:p>
    <w:p w14:paraId="5B8A028A">
      <w:pPr>
        <w:widowControl w:val="0"/>
        <w:numPr>
          <w:ilvl w:val="0"/>
          <w:numId w:val="1"/>
        </w:numPr>
        <w:kinsoku/>
        <w:autoSpaceDE/>
        <w:autoSpaceDN/>
        <w:adjustRightInd/>
        <w:snapToGrid/>
        <w:spacing w:line="360" w:lineRule="exact"/>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同一种危险源因量不同只以高分档计分。</w:t>
      </w:r>
    </w:p>
    <w:p w14:paraId="58904A70">
      <w:pPr>
        <w:widowControl w:val="0"/>
        <w:numPr>
          <w:ilvl w:val="0"/>
          <w:numId w:val="1"/>
        </w:numPr>
        <w:kinsoku/>
        <w:autoSpaceDE/>
        <w:autoSpaceDN/>
        <w:adjustRightInd/>
        <w:snapToGrid/>
        <w:spacing w:line="360" w:lineRule="exact"/>
        <w:jc w:val="both"/>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同一单元内且完全相同实验条件下，多台装置可以作为1个危险源计算，例如：实验条件相似的多个水热釜放在同一个烘箱中加热，教学实验室同一实验台上每个工位一个电烙铁等情况。</w:t>
      </w:r>
    </w:p>
    <w:p w14:paraId="32849084">
      <w:pPr>
        <w:widowControl w:val="0"/>
        <w:kinsoku/>
        <w:autoSpaceDE/>
        <w:autoSpaceDN/>
        <w:textAlignment w:val="auto"/>
        <w:rPr>
          <w:rFonts w:hint="eastAsia" w:ascii="仿宋_GB2312" w:hAnsi="仿宋_GB2312" w:eastAsia="仿宋_GB2312" w:cs="仿宋_GB2312"/>
          <w:lang w:eastAsia="zh-CN"/>
        </w:rPr>
      </w:pPr>
    </w:p>
    <w:p w14:paraId="22A8EC06">
      <w:pPr>
        <w:widowControl w:val="0"/>
        <w:kinsoku/>
        <w:autoSpaceDE/>
        <w:autoSpaceDN/>
        <w:spacing w:line="276" w:lineRule="auto"/>
        <w:textAlignment w:val="auto"/>
        <w:rPr>
          <w:rFonts w:hint="eastAsia" w:ascii="仿宋_GB2312" w:hAnsi="仿宋_GB2312" w:eastAsia="仿宋_GB2312" w:cs="仿宋_GB2312"/>
          <w:sz w:val="24"/>
          <w:szCs w:val="24"/>
          <w:lang w:eastAsia="zh-CN"/>
        </w:rPr>
      </w:pPr>
    </w:p>
    <w:p w14:paraId="45737460">
      <w:pPr>
        <w:widowControl w:val="0"/>
        <w:kinsoku/>
        <w:autoSpaceDE/>
        <w:autoSpaceDN/>
        <w:spacing w:line="276" w:lineRule="auto"/>
        <w:textAlignment w:val="auto"/>
        <w:rPr>
          <w:rFonts w:hint="eastAsia" w:ascii="仿宋_GB2312" w:hAnsi="仿宋_GB2312" w:eastAsia="仿宋_GB2312" w:cs="仿宋_GB2312"/>
          <w:bCs/>
          <w:sz w:val="24"/>
          <w:szCs w:val="24"/>
          <w:lang w:eastAsia="zh-CN"/>
        </w:rPr>
      </w:pPr>
      <w:r>
        <w:rPr>
          <w:rFonts w:ascii="仿宋_GB2312" w:hAnsi="仿宋_GB2312" w:eastAsia="仿宋_GB2312" w:cs="仿宋_GB2312"/>
          <w:bCs/>
          <w:sz w:val="24"/>
          <w:szCs w:val="24"/>
          <w:lang w:eastAsia="zh-CN"/>
        </w:rPr>
        <w:br w:type="page"/>
      </w:r>
    </w:p>
    <w:p w14:paraId="79446AAD">
      <w:pPr>
        <w:widowControl w:val="0"/>
        <w:shd w:val="clear" w:color="auto" w:fill="FFFFFF"/>
        <w:kinsoku/>
        <w:autoSpaceDE/>
        <w:autoSpaceDN/>
        <w:adjustRightInd/>
        <w:snapToGrid/>
        <w:textAlignment w:val="auto"/>
        <w:rPr>
          <w:rFonts w:hint="eastAsia" w:ascii="仿宋_GB2312" w:hAnsi="仿宋_GB2312" w:eastAsia="仿宋_GB2312" w:cs="仿宋_GB2312"/>
          <w:b/>
          <w:bCs/>
          <w:color w:val="333333"/>
          <w:sz w:val="28"/>
          <w:szCs w:val="28"/>
        </w:rPr>
      </w:pPr>
      <w:r>
        <w:rPr>
          <w:rFonts w:hint="eastAsia" w:ascii="仿宋_GB2312" w:hAnsi="仿宋_GB2312" w:eastAsia="仿宋_GB2312" w:cs="仿宋_GB2312"/>
          <w:b/>
          <w:bCs/>
          <w:color w:val="333333"/>
          <w:sz w:val="28"/>
          <w:szCs w:val="28"/>
        </w:rPr>
        <w:t>附件3.实验室分类表</w:t>
      </w:r>
    </w:p>
    <w:tbl>
      <w:tblPr>
        <w:tblStyle w:val="8"/>
        <w:tblW w:w="8311" w:type="dxa"/>
        <w:tblInd w:w="0" w:type="dxa"/>
        <w:shd w:val="clear" w:color="auto" w:fill="FFFFFF"/>
        <w:tblLayout w:type="autofit"/>
        <w:tblCellMar>
          <w:top w:w="15" w:type="dxa"/>
          <w:left w:w="15" w:type="dxa"/>
          <w:bottom w:w="15" w:type="dxa"/>
          <w:right w:w="15" w:type="dxa"/>
        </w:tblCellMar>
      </w:tblPr>
      <w:tblGrid>
        <w:gridCol w:w="615"/>
        <w:gridCol w:w="1324"/>
        <w:gridCol w:w="6372"/>
      </w:tblGrid>
      <w:tr w14:paraId="1E473312">
        <w:trPr>
          <w:trHeight w:val="408" w:hRule="atLeast"/>
        </w:trPr>
        <w:tc>
          <w:tcPr>
            <w:tcW w:w="61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0BD6CF4">
            <w:pPr>
              <w:widowControl w:val="0"/>
              <w:kinsoku/>
              <w:wordWrap w:val="0"/>
              <w:autoSpaceDE/>
              <w:autoSpaceDN/>
              <w:adjustRightInd/>
              <w:snapToGrid/>
              <w:spacing w:line="360" w:lineRule="exact"/>
              <w:jc w:val="center"/>
              <w:textAlignment w:val="auto"/>
              <w:rPr>
                <w:rFonts w:hint="eastAsia"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序号</w:t>
            </w:r>
          </w:p>
        </w:tc>
        <w:tc>
          <w:tcPr>
            <w:tcW w:w="132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E099B18">
            <w:pPr>
              <w:widowControl w:val="0"/>
              <w:kinsoku/>
              <w:wordWrap w:val="0"/>
              <w:autoSpaceDE/>
              <w:autoSpaceDN/>
              <w:adjustRightInd/>
              <w:snapToGrid/>
              <w:spacing w:line="360" w:lineRule="exact"/>
              <w:jc w:val="center"/>
              <w:textAlignment w:val="auto"/>
              <w:rPr>
                <w:rFonts w:hint="eastAsia"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实验室分类</w:t>
            </w:r>
          </w:p>
        </w:tc>
        <w:tc>
          <w:tcPr>
            <w:tcW w:w="63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18FA204">
            <w:pPr>
              <w:widowControl w:val="0"/>
              <w:kinsoku/>
              <w:wordWrap w:val="0"/>
              <w:autoSpaceDE/>
              <w:autoSpaceDN/>
              <w:adjustRightInd/>
              <w:snapToGrid/>
              <w:spacing w:line="360" w:lineRule="exact"/>
              <w:jc w:val="both"/>
              <w:textAlignment w:val="auto"/>
              <w:rPr>
                <w:rFonts w:hint="eastAsia"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分类参照依据</w:t>
            </w:r>
          </w:p>
        </w:tc>
      </w:tr>
      <w:tr w14:paraId="5A4C1E2F">
        <w:trPr>
          <w:trHeight w:val="480" w:hRule="atLeast"/>
        </w:trPr>
        <w:tc>
          <w:tcPr>
            <w:tcW w:w="61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C7EF52F">
            <w:pPr>
              <w:widowControl w:val="0"/>
              <w:kinsoku/>
              <w:wordWrap w:val="0"/>
              <w:autoSpaceDE/>
              <w:autoSpaceDN/>
              <w:adjustRightInd/>
              <w:snapToGrid/>
              <w:spacing w:line="360" w:lineRule="exact"/>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w:t>
            </w:r>
          </w:p>
        </w:tc>
        <w:tc>
          <w:tcPr>
            <w:tcW w:w="132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D90D608">
            <w:pPr>
              <w:widowControl w:val="0"/>
              <w:kinsoku/>
              <w:wordWrap w:val="0"/>
              <w:autoSpaceDE/>
              <w:autoSpaceDN/>
              <w:adjustRightInd/>
              <w:snapToGrid/>
              <w:spacing w:line="360" w:lineRule="exact"/>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化学类</w:t>
            </w:r>
          </w:p>
          <w:p w14:paraId="586FAF18">
            <w:pPr>
              <w:widowControl w:val="0"/>
              <w:kinsoku/>
              <w:wordWrap w:val="0"/>
              <w:autoSpaceDE/>
              <w:autoSpaceDN/>
              <w:adjustRightInd/>
              <w:snapToGrid/>
              <w:spacing w:line="360" w:lineRule="exact"/>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实验室</w:t>
            </w:r>
          </w:p>
        </w:tc>
        <w:tc>
          <w:tcPr>
            <w:tcW w:w="63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F9D22C7">
            <w:pPr>
              <w:widowControl w:val="0"/>
              <w:kinsoku/>
              <w:wordWrap w:val="0"/>
              <w:autoSpaceDE/>
              <w:autoSpaceDN/>
              <w:adjustRightInd/>
              <w:snapToGrid/>
              <w:spacing w:line="360" w:lineRule="exact"/>
              <w:jc w:val="both"/>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包括从事化学、药学、化学工程、环境科学与工程、材料科学与工程等较多涉及化学试剂或化学反应的实验室。这类实验中的危险源分为两类，一类是易燃、易爆、有毒化学品（含实验气体）可能带来的化学性危险源，另一类是设备设施缺陷和防护缺陷所带来的物理性危险源</w:t>
            </w:r>
          </w:p>
        </w:tc>
      </w:tr>
      <w:tr w14:paraId="5F947F72">
        <w:trPr>
          <w:trHeight w:val="480" w:hRule="atLeast"/>
        </w:trPr>
        <w:tc>
          <w:tcPr>
            <w:tcW w:w="61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52ECE83">
            <w:pPr>
              <w:widowControl w:val="0"/>
              <w:kinsoku/>
              <w:wordWrap w:val="0"/>
              <w:autoSpaceDE/>
              <w:autoSpaceDN/>
              <w:adjustRightInd/>
              <w:snapToGrid/>
              <w:spacing w:line="360" w:lineRule="exact"/>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2</w:t>
            </w:r>
          </w:p>
        </w:tc>
        <w:tc>
          <w:tcPr>
            <w:tcW w:w="132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FB53E78">
            <w:pPr>
              <w:widowControl w:val="0"/>
              <w:kinsoku/>
              <w:wordWrap w:val="0"/>
              <w:autoSpaceDE/>
              <w:autoSpaceDN/>
              <w:adjustRightInd/>
              <w:snapToGrid/>
              <w:spacing w:line="360" w:lineRule="exact"/>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生物类</w:t>
            </w:r>
          </w:p>
          <w:p w14:paraId="472A7B5A">
            <w:pPr>
              <w:widowControl w:val="0"/>
              <w:kinsoku/>
              <w:wordWrap w:val="0"/>
              <w:autoSpaceDE/>
              <w:autoSpaceDN/>
              <w:adjustRightInd/>
              <w:snapToGrid/>
              <w:spacing w:line="360" w:lineRule="exact"/>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实验室</w:t>
            </w:r>
          </w:p>
        </w:tc>
        <w:tc>
          <w:tcPr>
            <w:tcW w:w="63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3CB0BE7">
            <w:pPr>
              <w:widowControl w:val="0"/>
              <w:kinsoku/>
              <w:wordWrap w:val="0"/>
              <w:autoSpaceDE/>
              <w:autoSpaceDN/>
              <w:adjustRightInd/>
              <w:snapToGrid/>
              <w:spacing w:line="360" w:lineRule="exact"/>
              <w:jc w:val="both"/>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包括从事基因工程、微生物学等生物和医学专业中较多涉及病毒、细菌、真菌等微生物研究和动物研究的实验室。这类实验室中细菌、病毒、真菌、寄生虫、动物寄生微生物等为主要危险源，它们的释放、扩散可能会污染实验室内外环境的空气、水、物体表面或感染人体。涉及病原微生物的实验室应进行相应的审批或备案</w:t>
            </w:r>
          </w:p>
        </w:tc>
      </w:tr>
      <w:tr w14:paraId="2936AFC1">
        <w:trPr>
          <w:trHeight w:val="2154" w:hRule="atLeast"/>
        </w:trPr>
        <w:tc>
          <w:tcPr>
            <w:tcW w:w="61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EEA3325">
            <w:pPr>
              <w:widowControl w:val="0"/>
              <w:kinsoku/>
              <w:wordWrap w:val="0"/>
              <w:autoSpaceDE/>
              <w:autoSpaceDN/>
              <w:adjustRightInd/>
              <w:snapToGrid/>
              <w:spacing w:line="360" w:lineRule="exact"/>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3</w:t>
            </w:r>
          </w:p>
        </w:tc>
        <w:tc>
          <w:tcPr>
            <w:tcW w:w="132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9B90083">
            <w:pPr>
              <w:widowControl w:val="0"/>
              <w:kinsoku/>
              <w:wordWrap w:val="0"/>
              <w:autoSpaceDE/>
              <w:autoSpaceDN/>
              <w:adjustRightInd/>
              <w:snapToGrid/>
              <w:spacing w:line="360" w:lineRule="exact"/>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辐射类</w:t>
            </w:r>
          </w:p>
          <w:p w14:paraId="295574E9">
            <w:pPr>
              <w:widowControl w:val="0"/>
              <w:kinsoku/>
              <w:wordWrap w:val="0"/>
              <w:autoSpaceDE/>
              <w:autoSpaceDN/>
              <w:adjustRightInd/>
              <w:snapToGrid/>
              <w:spacing w:line="360" w:lineRule="exact"/>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实验室</w:t>
            </w:r>
          </w:p>
        </w:tc>
        <w:tc>
          <w:tcPr>
            <w:tcW w:w="63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E72E7E2">
            <w:pPr>
              <w:widowControl w:val="0"/>
              <w:kinsoku/>
              <w:wordWrap w:val="0"/>
              <w:autoSpaceDE/>
              <w:autoSpaceDN/>
              <w:adjustRightInd/>
              <w:snapToGrid/>
              <w:spacing w:line="360" w:lineRule="exact"/>
              <w:jc w:val="both"/>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包括物理、核科学与技术、医学、生物、化学、材料科学与工程等专业方向中涉及放射性同位素、射线装置与核材料的实验室。这类实验中的危险源主要是放射性同位素、射线装置与核材料产生的电离辐射，可能对人体造成内外照射伤害，也可能对环境产生放射性污染；存放或使用核材料的实验室还存在核安全风险</w:t>
            </w:r>
          </w:p>
        </w:tc>
      </w:tr>
      <w:tr w14:paraId="71B95AFD">
        <w:trPr>
          <w:trHeight w:val="2237" w:hRule="atLeast"/>
        </w:trPr>
        <w:tc>
          <w:tcPr>
            <w:tcW w:w="61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201531C">
            <w:pPr>
              <w:widowControl w:val="0"/>
              <w:kinsoku/>
              <w:wordWrap w:val="0"/>
              <w:autoSpaceDE/>
              <w:autoSpaceDN/>
              <w:adjustRightInd/>
              <w:snapToGrid/>
              <w:spacing w:line="360" w:lineRule="exact"/>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4</w:t>
            </w:r>
          </w:p>
        </w:tc>
        <w:tc>
          <w:tcPr>
            <w:tcW w:w="132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7DE2466">
            <w:pPr>
              <w:widowControl w:val="0"/>
              <w:kinsoku/>
              <w:wordWrap w:val="0"/>
              <w:autoSpaceDE/>
              <w:autoSpaceDN/>
              <w:adjustRightInd/>
              <w:snapToGrid/>
              <w:spacing w:line="360" w:lineRule="exact"/>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机电类</w:t>
            </w:r>
          </w:p>
          <w:p w14:paraId="202744FC">
            <w:pPr>
              <w:widowControl w:val="0"/>
              <w:kinsoku/>
              <w:wordWrap w:val="0"/>
              <w:autoSpaceDE/>
              <w:autoSpaceDN/>
              <w:adjustRightInd/>
              <w:snapToGrid/>
              <w:spacing w:line="360" w:lineRule="exact"/>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实验室</w:t>
            </w:r>
          </w:p>
        </w:tc>
        <w:tc>
          <w:tcPr>
            <w:tcW w:w="63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D8E28A1">
            <w:pPr>
              <w:widowControl w:val="0"/>
              <w:kinsoku/>
              <w:wordWrap w:val="0"/>
              <w:autoSpaceDE/>
              <w:autoSpaceDN/>
              <w:adjustRightInd/>
              <w:snapToGrid/>
              <w:spacing w:line="360" w:lineRule="exact"/>
              <w:jc w:val="both"/>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包括机械设计与制造、过程装备与控制、化工机械、材料物理、电气工程、激光工程和人工智能等专业方向中涉及高温、高压、高速、高大等机械设备及其他强电、强磁、激光或低温设备的实验室，以及大型机房等。这类实验室的主要危险包括夹击、碰撞、剪切、卷入、绞、碾、割、刺等形式的机械伤害以及灼伤、电路短路、人员触电、激光伤害、冻伤等因素</w:t>
            </w:r>
          </w:p>
        </w:tc>
      </w:tr>
      <w:tr w14:paraId="42C2D0FC">
        <w:trPr>
          <w:trHeight w:val="892" w:hRule="atLeast"/>
        </w:trPr>
        <w:tc>
          <w:tcPr>
            <w:tcW w:w="61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EE48615">
            <w:pPr>
              <w:widowControl w:val="0"/>
              <w:kinsoku/>
              <w:wordWrap w:val="0"/>
              <w:autoSpaceDE/>
              <w:autoSpaceDN/>
              <w:adjustRightInd/>
              <w:snapToGrid/>
              <w:spacing w:line="360" w:lineRule="exact"/>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5</w:t>
            </w:r>
          </w:p>
        </w:tc>
        <w:tc>
          <w:tcPr>
            <w:tcW w:w="132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FF8BC4E">
            <w:pPr>
              <w:widowControl w:val="0"/>
              <w:kinsoku/>
              <w:wordWrap w:val="0"/>
              <w:autoSpaceDE/>
              <w:autoSpaceDN/>
              <w:adjustRightInd/>
              <w:snapToGrid/>
              <w:spacing w:line="360" w:lineRule="exact"/>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其他类</w:t>
            </w:r>
          </w:p>
          <w:p w14:paraId="145CCCBD">
            <w:pPr>
              <w:widowControl w:val="0"/>
              <w:kinsoku/>
              <w:wordWrap w:val="0"/>
              <w:autoSpaceDE/>
              <w:autoSpaceDN/>
              <w:adjustRightInd/>
              <w:snapToGrid/>
              <w:spacing w:line="360" w:lineRule="exact"/>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实验室</w:t>
            </w:r>
          </w:p>
        </w:tc>
        <w:tc>
          <w:tcPr>
            <w:tcW w:w="63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7271E50">
            <w:pPr>
              <w:widowControl w:val="0"/>
              <w:kinsoku/>
              <w:wordWrap w:val="0"/>
              <w:autoSpaceDE/>
              <w:autoSpaceDN/>
              <w:adjustRightInd/>
              <w:snapToGrid/>
              <w:spacing w:line="360" w:lineRule="exact"/>
              <w:jc w:val="both"/>
              <w:textAlignment w:val="auto"/>
              <w:rPr>
                <w:rFonts w:hint="eastAsia" w:ascii="仿宋_GB2312" w:hAnsi="仿宋_GB2312" w:eastAsia="仿宋_GB2312" w:cs="仿宋_GB2312"/>
                <w:color w:val="000000" w:themeColor="text1"/>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包括社科类、艺术类专业相关的实验室或实训室，危险源主要是少量的用电设备可能带来的用电安全或消防安全风险</w:t>
            </w:r>
          </w:p>
        </w:tc>
      </w:tr>
    </w:tbl>
    <w:p w14:paraId="46D818EE">
      <w:pPr>
        <w:widowControl w:val="0"/>
        <w:shd w:val="clear" w:color="auto" w:fill="FFFFFF"/>
        <w:kinsoku/>
        <w:autoSpaceDE/>
        <w:autoSpaceDN/>
        <w:spacing w:after="150"/>
        <w:textAlignment w:val="auto"/>
        <w:rPr>
          <w:rFonts w:hint="eastAsia" w:ascii="仿宋_GB2312" w:hAnsi="仿宋_GB2312" w:eastAsia="仿宋_GB2312" w:cs="仿宋_GB2312"/>
          <w:color w:val="333333"/>
          <w:lang w:eastAsia="zh-CN"/>
        </w:rPr>
      </w:pPr>
    </w:p>
    <w:p w14:paraId="6B4143F1">
      <w:pPr>
        <w:widowControl w:val="0"/>
        <w:shd w:val="clear" w:color="auto" w:fill="FFFFFF"/>
        <w:kinsoku/>
        <w:autoSpaceDE/>
        <w:autoSpaceDN/>
        <w:spacing w:after="150"/>
        <w:textAlignment w:val="auto"/>
        <w:rPr>
          <w:rFonts w:hint="eastAsia" w:ascii="仿宋_GB2312" w:hAnsi="仿宋_GB2312" w:eastAsia="仿宋_GB2312" w:cs="仿宋_GB2312"/>
          <w:color w:val="333333"/>
          <w:lang w:eastAsia="zh-CN"/>
        </w:rPr>
      </w:pPr>
    </w:p>
    <w:p w14:paraId="41D85A74">
      <w:pPr>
        <w:widowControl w:val="0"/>
        <w:shd w:val="clear" w:color="auto" w:fill="FFFFFF"/>
        <w:kinsoku/>
        <w:autoSpaceDE/>
        <w:autoSpaceDN/>
        <w:spacing w:after="150"/>
        <w:textAlignment w:val="auto"/>
        <w:rPr>
          <w:rFonts w:hint="eastAsia" w:ascii="仿宋_GB2312" w:hAnsi="仿宋_GB2312" w:eastAsia="仿宋_GB2312" w:cs="仿宋_GB2312"/>
          <w:color w:val="333333"/>
          <w:lang w:eastAsia="zh-CN"/>
        </w:rPr>
      </w:pPr>
    </w:p>
    <w:p w14:paraId="2412EF2E">
      <w:pPr>
        <w:widowControl w:val="0"/>
        <w:shd w:val="clear" w:color="auto" w:fill="FFFFFF"/>
        <w:kinsoku/>
        <w:autoSpaceDE/>
        <w:autoSpaceDN/>
        <w:spacing w:after="150"/>
        <w:textAlignment w:val="auto"/>
        <w:rPr>
          <w:rFonts w:hint="eastAsia" w:ascii="仿宋_GB2312" w:hAnsi="仿宋_GB2312" w:eastAsia="仿宋_GB2312" w:cs="仿宋_GB2312"/>
          <w:color w:val="333333"/>
          <w:lang w:eastAsia="zh-CN"/>
        </w:rPr>
      </w:pPr>
    </w:p>
    <w:p w14:paraId="056E85CA">
      <w:pPr>
        <w:widowControl w:val="0"/>
        <w:rPr>
          <w:rFonts w:hint="eastAsia" w:ascii="仿宋_GB2312" w:hAnsi="仿宋_GB2312" w:eastAsia="仿宋_GB2312" w:cs="仿宋_GB2312"/>
          <w:b/>
          <w:bCs/>
          <w:color w:val="333333"/>
          <w:sz w:val="28"/>
          <w:szCs w:val="28"/>
          <w:lang w:eastAsia="zh-CN"/>
        </w:rPr>
      </w:pPr>
      <w:r>
        <w:rPr>
          <w:rFonts w:hint="eastAsia" w:ascii="仿宋_GB2312" w:hAnsi="仿宋_GB2312" w:eastAsia="仿宋_GB2312" w:cs="仿宋_GB2312"/>
          <w:b/>
          <w:bCs/>
          <w:color w:val="333333"/>
          <w:sz w:val="28"/>
          <w:szCs w:val="28"/>
          <w:lang w:eastAsia="zh-CN"/>
        </w:rPr>
        <w:br w:type="page"/>
      </w:r>
    </w:p>
    <w:p w14:paraId="7C0F5432">
      <w:pPr>
        <w:widowControl w:val="0"/>
        <w:shd w:val="clear" w:color="auto" w:fill="FFFFFF"/>
        <w:kinsoku/>
        <w:autoSpaceDE/>
        <w:autoSpaceDN/>
        <w:adjustRightInd/>
        <w:snapToGrid/>
        <w:textAlignment w:val="auto"/>
        <w:rPr>
          <w:rFonts w:hint="eastAsia" w:ascii="仿宋_GB2312" w:hAnsi="仿宋_GB2312" w:eastAsia="仿宋_GB2312" w:cs="仿宋_GB2312"/>
          <w:b/>
          <w:bCs/>
          <w:color w:val="333333"/>
          <w:sz w:val="28"/>
          <w:szCs w:val="28"/>
          <w:lang w:eastAsia="zh-CN"/>
        </w:rPr>
      </w:pPr>
      <w:r>
        <w:rPr>
          <w:rFonts w:hint="eastAsia" w:ascii="仿宋_GB2312" w:hAnsi="仿宋_GB2312" w:eastAsia="仿宋_GB2312" w:cs="仿宋_GB2312"/>
          <w:b/>
          <w:bCs/>
          <w:color w:val="333333"/>
          <w:sz w:val="28"/>
          <w:szCs w:val="28"/>
          <w:lang w:eastAsia="zh-CN"/>
        </w:rPr>
        <w:t>附件4.实验室分级管理要求</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421"/>
        <w:gridCol w:w="2030"/>
        <w:gridCol w:w="2030"/>
        <w:gridCol w:w="2030"/>
        <w:gridCol w:w="2031"/>
      </w:tblGrid>
      <w:tr w14:paraId="2BA4C8F5">
        <w:tc>
          <w:tcPr>
            <w:tcW w:w="421" w:type="dxa"/>
            <w:vMerge w:val="restart"/>
            <w:tcMar>
              <w:top w:w="0" w:type="dxa"/>
              <w:left w:w="0" w:type="dxa"/>
              <w:bottom w:w="0" w:type="dxa"/>
              <w:right w:w="0" w:type="dxa"/>
            </w:tcMar>
            <w:vAlign w:val="center"/>
          </w:tcPr>
          <w:p w14:paraId="731DFCBE">
            <w:pPr>
              <w:widowControl w:val="0"/>
              <w:wordWrap w:val="0"/>
              <w:jc w:val="center"/>
              <w:rPr>
                <w:rFonts w:hint="eastAsia" w:ascii="仿宋_GB2312" w:hAnsi="仿宋_GB2312" w:eastAsia="仿宋_GB2312" w:cs="仿宋_GB2312"/>
                <w:color w:val="444444"/>
                <w:sz w:val="10"/>
                <w:szCs w:val="10"/>
              </w:rPr>
            </w:pPr>
            <w:r>
              <w:rPr>
                <w:rFonts w:hint="eastAsia" w:ascii="仿宋_GB2312" w:hAnsi="仿宋_GB2312" w:eastAsia="仿宋_GB2312" w:cs="仿宋_GB2312"/>
                <w:sz w:val="24"/>
                <w:szCs w:val="24"/>
                <w:lang w:eastAsia="zh-CN" w:bidi="ar"/>
              </w:rPr>
              <w:t>管理要求</w:t>
            </w:r>
          </w:p>
        </w:tc>
        <w:tc>
          <w:tcPr>
            <w:tcW w:w="8121" w:type="dxa"/>
            <w:gridSpan w:val="4"/>
            <w:tcMar>
              <w:top w:w="0" w:type="dxa"/>
              <w:left w:w="0" w:type="dxa"/>
              <w:bottom w:w="0" w:type="dxa"/>
              <w:right w:w="0" w:type="dxa"/>
            </w:tcMar>
          </w:tcPr>
          <w:p w14:paraId="60760B85">
            <w:pPr>
              <w:widowControl w:val="0"/>
              <w:wordWrap w:val="0"/>
              <w:jc w:val="center"/>
              <w:rPr>
                <w:rFonts w:hint="eastAsia" w:ascii="仿宋_GB2312" w:hAnsi="仿宋_GB2312" w:eastAsia="仿宋_GB2312" w:cs="仿宋_GB2312"/>
                <w:color w:val="444444"/>
                <w:sz w:val="24"/>
                <w:szCs w:val="24"/>
              </w:rPr>
            </w:pPr>
            <w:r>
              <w:rPr>
                <w:rFonts w:hint="eastAsia" w:ascii="仿宋_GB2312" w:hAnsi="仿宋_GB2312" w:eastAsia="仿宋_GB2312" w:cs="仿宋_GB2312"/>
                <w:sz w:val="24"/>
                <w:szCs w:val="24"/>
                <w:lang w:eastAsia="zh-CN" w:bidi="ar"/>
              </w:rPr>
              <w:t>实验室分级</w:t>
            </w:r>
          </w:p>
        </w:tc>
      </w:tr>
      <w:tr w14:paraId="2407B8F4">
        <w:trPr>
          <w:trHeight w:val="480" w:hRule="atLeast"/>
        </w:trPr>
        <w:tc>
          <w:tcPr>
            <w:tcW w:w="421" w:type="dxa"/>
            <w:vMerge w:val="continue"/>
            <w:tcMar>
              <w:top w:w="0" w:type="dxa"/>
              <w:left w:w="0" w:type="dxa"/>
              <w:bottom w:w="0" w:type="dxa"/>
              <w:right w:w="0" w:type="dxa"/>
            </w:tcMar>
            <w:vAlign w:val="center"/>
          </w:tcPr>
          <w:p w14:paraId="6BBE1819">
            <w:pPr>
              <w:widowControl w:val="0"/>
              <w:jc w:val="center"/>
              <w:rPr>
                <w:rFonts w:hint="eastAsia" w:ascii="仿宋_GB2312" w:hAnsi="仿宋_GB2312" w:eastAsia="仿宋_GB2312" w:cs="仿宋_GB2312"/>
                <w:color w:val="444444"/>
                <w:sz w:val="24"/>
                <w:szCs w:val="24"/>
              </w:rPr>
            </w:pPr>
          </w:p>
        </w:tc>
        <w:tc>
          <w:tcPr>
            <w:tcW w:w="2030" w:type="dxa"/>
            <w:tcMar>
              <w:top w:w="0" w:type="dxa"/>
              <w:left w:w="0" w:type="dxa"/>
              <w:bottom w:w="0" w:type="dxa"/>
              <w:right w:w="0" w:type="dxa"/>
            </w:tcMar>
            <w:vAlign w:val="center"/>
          </w:tcPr>
          <w:p w14:paraId="76AF60A7">
            <w:pPr>
              <w:widowControl w:val="0"/>
              <w:wordWrap w:val="0"/>
              <w:jc w:val="center"/>
              <w:rPr>
                <w:rFonts w:hint="eastAsia" w:ascii="仿宋_GB2312" w:hAnsi="仿宋_GB2312" w:eastAsia="仿宋_GB2312" w:cs="仿宋_GB2312"/>
                <w:color w:val="444444"/>
                <w:sz w:val="24"/>
                <w:szCs w:val="24"/>
              </w:rPr>
            </w:pPr>
            <w:r>
              <w:rPr>
                <w:rFonts w:hint="eastAsia" w:ascii="仿宋_GB2312" w:hAnsi="仿宋_GB2312" w:eastAsia="仿宋_GB2312" w:cs="仿宋_GB2312"/>
                <w:b/>
                <w:bCs/>
                <w:sz w:val="24"/>
                <w:szCs w:val="24"/>
                <w:lang w:eastAsia="zh-CN" w:bidi="ar"/>
              </w:rPr>
              <w:t>Ⅰ级/红色级实验室</w:t>
            </w:r>
          </w:p>
        </w:tc>
        <w:tc>
          <w:tcPr>
            <w:tcW w:w="2030" w:type="dxa"/>
            <w:tcMar>
              <w:top w:w="0" w:type="dxa"/>
              <w:left w:w="0" w:type="dxa"/>
              <w:bottom w:w="0" w:type="dxa"/>
              <w:right w:w="0" w:type="dxa"/>
            </w:tcMar>
            <w:vAlign w:val="center"/>
          </w:tcPr>
          <w:p w14:paraId="411BE453">
            <w:pPr>
              <w:widowControl w:val="0"/>
              <w:wordWrap w:val="0"/>
              <w:jc w:val="center"/>
              <w:rPr>
                <w:rFonts w:hint="eastAsia" w:ascii="仿宋_GB2312" w:hAnsi="仿宋_GB2312" w:eastAsia="仿宋_GB2312" w:cs="仿宋_GB2312"/>
                <w:color w:val="444444"/>
                <w:sz w:val="24"/>
                <w:szCs w:val="24"/>
              </w:rPr>
            </w:pPr>
            <w:r>
              <w:rPr>
                <w:rFonts w:hint="eastAsia" w:ascii="仿宋_GB2312" w:hAnsi="仿宋_GB2312" w:eastAsia="仿宋_GB2312" w:cs="仿宋_GB2312"/>
                <w:b/>
                <w:bCs/>
                <w:sz w:val="24"/>
                <w:szCs w:val="24"/>
                <w:lang w:eastAsia="zh-CN" w:bidi="ar"/>
              </w:rPr>
              <w:t>Ⅱ级/橙色级实验室</w:t>
            </w:r>
          </w:p>
        </w:tc>
        <w:tc>
          <w:tcPr>
            <w:tcW w:w="2030" w:type="dxa"/>
            <w:tcMar>
              <w:top w:w="0" w:type="dxa"/>
              <w:left w:w="0" w:type="dxa"/>
              <w:bottom w:w="0" w:type="dxa"/>
              <w:right w:w="0" w:type="dxa"/>
            </w:tcMar>
            <w:vAlign w:val="center"/>
          </w:tcPr>
          <w:p w14:paraId="66130F27">
            <w:pPr>
              <w:widowControl w:val="0"/>
              <w:wordWrap w:val="0"/>
              <w:jc w:val="center"/>
              <w:rPr>
                <w:rFonts w:hint="eastAsia" w:ascii="仿宋_GB2312" w:hAnsi="仿宋_GB2312" w:eastAsia="仿宋_GB2312" w:cs="仿宋_GB2312"/>
                <w:color w:val="444444"/>
                <w:sz w:val="24"/>
                <w:szCs w:val="24"/>
              </w:rPr>
            </w:pPr>
            <w:r>
              <w:rPr>
                <w:rFonts w:hint="eastAsia" w:ascii="仿宋_GB2312" w:hAnsi="仿宋_GB2312" w:eastAsia="仿宋_GB2312" w:cs="仿宋_GB2312"/>
                <w:b/>
                <w:bCs/>
                <w:sz w:val="24"/>
                <w:szCs w:val="24"/>
                <w:lang w:eastAsia="zh-CN" w:bidi="ar"/>
              </w:rPr>
              <w:t>Ⅲ级/黄色级实验室</w:t>
            </w:r>
          </w:p>
        </w:tc>
        <w:tc>
          <w:tcPr>
            <w:tcW w:w="2031" w:type="dxa"/>
            <w:tcMar>
              <w:top w:w="0" w:type="dxa"/>
              <w:left w:w="0" w:type="dxa"/>
              <w:bottom w:w="0" w:type="dxa"/>
              <w:right w:w="0" w:type="dxa"/>
            </w:tcMar>
            <w:vAlign w:val="center"/>
          </w:tcPr>
          <w:p w14:paraId="0439448E">
            <w:pPr>
              <w:widowControl w:val="0"/>
              <w:wordWrap w:val="0"/>
              <w:jc w:val="center"/>
              <w:rPr>
                <w:rFonts w:hint="eastAsia" w:ascii="仿宋_GB2312" w:hAnsi="仿宋_GB2312" w:eastAsia="仿宋_GB2312" w:cs="仿宋_GB2312"/>
                <w:color w:val="444444"/>
                <w:sz w:val="24"/>
                <w:szCs w:val="24"/>
              </w:rPr>
            </w:pPr>
            <w:r>
              <w:rPr>
                <w:rFonts w:hint="eastAsia" w:ascii="仿宋_GB2312" w:hAnsi="仿宋_GB2312" w:eastAsia="仿宋_GB2312" w:cs="仿宋_GB2312"/>
                <w:b/>
                <w:bCs/>
                <w:sz w:val="24"/>
                <w:szCs w:val="24"/>
                <w:lang w:eastAsia="zh-CN" w:bidi="ar"/>
              </w:rPr>
              <w:t>Ⅳ级/蓝色级实验室</w:t>
            </w:r>
          </w:p>
        </w:tc>
      </w:tr>
      <w:tr w14:paraId="18D33559">
        <w:trPr>
          <w:trHeight w:val="480" w:hRule="atLeast"/>
        </w:trPr>
        <w:tc>
          <w:tcPr>
            <w:tcW w:w="421" w:type="dxa"/>
            <w:tcMar>
              <w:top w:w="0" w:type="dxa"/>
              <w:left w:w="0" w:type="dxa"/>
              <w:bottom w:w="0" w:type="dxa"/>
              <w:right w:w="0" w:type="dxa"/>
            </w:tcMar>
            <w:vAlign w:val="center"/>
          </w:tcPr>
          <w:p w14:paraId="574F396A">
            <w:pPr>
              <w:widowControl w:val="0"/>
              <w:wordWrap w:val="0"/>
              <w:jc w:val="center"/>
              <w:rPr>
                <w:rFonts w:hint="eastAsia" w:ascii="仿宋_GB2312" w:hAnsi="仿宋_GB2312" w:eastAsia="仿宋_GB2312" w:cs="仿宋_GB2312"/>
                <w:color w:val="444444"/>
                <w:sz w:val="24"/>
                <w:szCs w:val="24"/>
              </w:rPr>
            </w:pPr>
            <w:r>
              <w:rPr>
                <w:rFonts w:hint="eastAsia" w:ascii="仿宋_GB2312" w:hAnsi="仿宋_GB2312" w:eastAsia="仿宋_GB2312" w:cs="仿宋_GB2312"/>
                <w:sz w:val="24"/>
                <w:szCs w:val="24"/>
                <w:lang w:eastAsia="zh-CN" w:bidi="ar"/>
              </w:rPr>
              <w:t>安全检查</w:t>
            </w:r>
          </w:p>
        </w:tc>
        <w:tc>
          <w:tcPr>
            <w:tcW w:w="2030" w:type="dxa"/>
            <w:tcMar>
              <w:top w:w="0" w:type="dxa"/>
              <w:left w:w="0" w:type="dxa"/>
              <w:bottom w:w="0" w:type="dxa"/>
              <w:right w:w="0" w:type="dxa"/>
            </w:tcMar>
          </w:tcPr>
          <w:p w14:paraId="155A6A02">
            <w:pPr>
              <w:widowControl w:val="0"/>
              <w:wordWrap w:val="0"/>
              <w:rPr>
                <w:rFonts w:hint="eastAsia" w:ascii="仿宋_GB2312" w:hAnsi="仿宋_GB2312" w:eastAsia="仿宋_GB2312" w:cs="仿宋_GB2312"/>
                <w:color w:val="444444"/>
                <w:sz w:val="24"/>
                <w:szCs w:val="24"/>
                <w:lang w:eastAsia="zh-CN"/>
              </w:rPr>
            </w:pPr>
            <w:r>
              <w:rPr>
                <w:rFonts w:hint="eastAsia" w:ascii="仿宋_GB2312" w:hAnsi="仿宋_GB2312" w:eastAsia="仿宋_GB2312" w:cs="仿宋_GB2312"/>
                <w:sz w:val="24"/>
                <w:szCs w:val="24"/>
                <w:lang w:eastAsia="zh-CN" w:bidi="ar"/>
              </w:rPr>
              <w:t>学院党政主要负责人每年牵头开展不少于1次安全检查；科研处每月开展不少于1次安全检查；教学科研机构每周开展不少于1次安全检查；实验室做到“实验结束必巡”</w:t>
            </w:r>
          </w:p>
        </w:tc>
        <w:tc>
          <w:tcPr>
            <w:tcW w:w="2030" w:type="dxa"/>
            <w:tcMar>
              <w:top w:w="0" w:type="dxa"/>
              <w:left w:w="0" w:type="dxa"/>
              <w:bottom w:w="0" w:type="dxa"/>
              <w:right w:w="0" w:type="dxa"/>
            </w:tcMar>
          </w:tcPr>
          <w:p w14:paraId="48A181AD">
            <w:pPr>
              <w:widowControl w:val="0"/>
              <w:wordWrap w:val="0"/>
              <w:rPr>
                <w:rFonts w:hint="eastAsia" w:ascii="仿宋_GB2312" w:hAnsi="仿宋_GB2312" w:eastAsia="仿宋_GB2312" w:cs="仿宋_GB2312"/>
                <w:color w:val="444444"/>
                <w:sz w:val="24"/>
                <w:szCs w:val="24"/>
                <w:lang w:eastAsia="zh-CN"/>
              </w:rPr>
            </w:pPr>
            <w:r>
              <w:rPr>
                <w:rFonts w:hint="eastAsia" w:ascii="仿宋_GB2312" w:hAnsi="仿宋_GB2312" w:eastAsia="仿宋_GB2312" w:cs="仿宋_GB2312"/>
                <w:sz w:val="24"/>
                <w:szCs w:val="24"/>
                <w:lang w:eastAsia="zh-CN" w:bidi="ar"/>
              </w:rPr>
              <w:t>分管院领导每年牵头开展不少于1次安全检查；科研处每季度开展不少于1次安全检查；教学科研机构每月开展不少于1次安全检查；实验室做到“实验结束必巡”</w:t>
            </w:r>
          </w:p>
        </w:tc>
        <w:tc>
          <w:tcPr>
            <w:tcW w:w="2030" w:type="dxa"/>
            <w:tcMar>
              <w:top w:w="0" w:type="dxa"/>
              <w:left w:w="0" w:type="dxa"/>
              <w:bottom w:w="0" w:type="dxa"/>
              <w:right w:w="0" w:type="dxa"/>
            </w:tcMar>
          </w:tcPr>
          <w:p w14:paraId="76F8B777">
            <w:pPr>
              <w:widowControl w:val="0"/>
              <w:wordWrap w:val="0"/>
              <w:rPr>
                <w:rFonts w:hint="eastAsia" w:ascii="仿宋_GB2312" w:hAnsi="仿宋_GB2312" w:eastAsia="仿宋_GB2312" w:cs="仿宋_GB2312"/>
                <w:color w:val="444444"/>
                <w:sz w:val="24"/>
                <w:szCs w:val="24"/>
                <w:lang w:eastAsia="zh-CN"/>
              </w:rPr>
            </w:pPr>
            <w:r>
              <w:rPr>
                <w:rFonts w:hint="eastAsia" w:ascii="仿宋_GB2312" w:hAnsi="仿宋_GB2312" w:eastAsia="仿宋_GB2312" w:cs="仿宋_GB2312"/>
                <w:sz w:val="24"/>
                <w:szCs w:val="24"/>
                <w:lang w:eastAsia="zh-CN" w:bidi="ar"/>
              </w:rPr>
              <w:t>科研处每半年开展不少于1次安全检查；教学科研机构每季度开展不少于1次安全检查；实验室做到经常性检查</w:t>
            </w:r>
          </w:p>
        </w:tc>
        <w:tc>
          <w:tcPr>
            <w:tcW w:w="2031" w:type="dxa"/>
            <w:tcMar>
              <w:top w:w="0" w:type="dxa"/>
              <w:left w:w="0" w:type="dxa"/>
              <w:bottom w:w="0" w:type="dxa"/>
              <w:right w:w="0" w:type="dxa"/>
            </w:tcMar>
          </w:tcPr>
          <w:p w14:paraId="3EA34678">
            <w:pPr>
              <w:widowControl w:val="0"/>
              <w:wordWrap w:val="0"/>
              <w:rPr>
                <w:rFonts w:hint="eastAsia" w:ascii="仿宋_GB2312" w:hAnsi="仿宋_GB2312" w:eastAsia="仿宋_GB2312" w:cs="仿宋_GB2312"/>
                <w:color w:val="444444"/>
                <w:sz w:val="24"/>
                <w:szCs w:val="24"/>
                <w:lang w:eastAsia="zh-CN"/>
              </w:rPr>
            </w:pPr>
            <w:r>
              <w:rPr>
                <w:rFonts w:hint="eastAsia" w:ascii="仿宋_GB2312" w:hAnsi="仿宋_GB2312" w:eastAsia="仿宋_GB2312" w:cs="仿宋_GB2312"/>
                <w:sz w:val="24"/>
                <w:szCs w:val="24"/>
                <w:lang w:eastAsia="zh-CN" w:bidi="ar"/>
              </w:rPr>
              <w:t>科研处每年开展不少于1次安全检查；教学科研机构每半年开展不少于1次安全检查；实验室做到经常性检查</w:t>
            </w:r>
          </w:p>
        </w:tc>
      </w:tr>
      <w:tr w14:paraId="5BF90140">
        <w:trPr>
          <w:trHeight w:val="480" w:hRule="atLeast"/>
        </w:trPr>
        <w:tc>
          <w:tcPr>
            <w:tcW w:w="421" w:type="dxa"/>
            <w:tcMar>
              <w:top w:w="0" w:type="dxa"/>
              <w:left w:w="0" w:type="dxa"/>
              <w:bottom w:w="0" w:type="dxa"/>
              <w:right w:w="0" w:type="dxa"/>
            </w:tcMar>
            <w:vAlign w:val="center"/>
          </w:tcPr>
          <w:p w14:paraId="79B2634E">
            <w:pPr>
              <w:widowControl w:val="0"/>
              <w:wordWrap w:val="0"/>
              <w:jc w:val="center"/>
              <w:rPr>
                <w:rFonts w:hint="eastAsia" w:ascii="仿宋_GB2312" w:hAnsi="仿宋_GB2312" w:eastAsia="仿宋_GB2312" w:cs="仿宋_GB2312"/>
                <w:color w:val="444444"/>
                <w:sz w:val="24"/>
                <w:szCs w:val="24"/>
              </w:rPr>
            </w:pPr>
            <w:r>
              <w:rPr>
                <w:rFonts w:hint="eastAsia" w:ascii="仿宋_GB2312" w:hAnsi="仿宋_GB2312" w:eastAsia="仿宋_GB2312" w:cs="仿宋_GB2312"/>
                <w:sz w:val="24"/>
                <w:szCs w:val="24"/>
                <w:lang w:eastAsia="zh-CN" w:bidi="ar"/>
              </w:rPr>
              <w:t>安全培训</w:t>
            </w:r>
          </w:p>
        </w:tc>
        <w:tc>
          <w:tcPr>
            <w:tcW w:w="2030" w:type="dxa"/>
            <w:tcMar>
              <w:top w:w="0" w:type="dxa"/>
              <w:left w:w="0" w:type="dxa"/>
              <w:bottom w:w="0" w:type="dxa"/>
              <w:right w:w="0" w:type="dxa"/>
            </w:tcMar>
          </w:tcPr>
          <w:p w14:paraId="4B98AE95">
            <w:pPr>
              <w:widowControl w:val="0"/>
              <w:wordWrap w:val="0"/>
              <w:rPr>
                <w:rFonts w:hint="eastAsia" w:ascii="仿宋_GB2312" w:hAnsi="仿宋_GB2312" w:eastAsia="仿宋_GB2312" w:cs="仿宋_GB2312"/>
                <w:color w:val="444444"/>
                <w:sz w:val="24"/>
                <w:szCs w:val="24"/>
                <w:lang w:eastAsia="zh-CN"/>
              </w:rPr>
            </w:pPr>
            <w:r>
              <w:rPr>
                <w:rFonts w:hint="eastAsia" w:ascii="仿宋_GB2312" w:hAnsi="仿宋_GB2312" w:eastAsia="仿宋_GB2312" w:cs="仿宋_GB2312"/>
                <w:sz w:val="24"/>
                <w:szCs w:val="24"/>
                <w:lang w:eastAsia="zh-CN" w:bidi="ar"/>
              </w:rPr>
              <w:t>实验室安全管理人员、实验人员完成不少于24学时的准入安全培训，之后每年完成不少于8学时的安全培训（以上均含应急演练）；每年开展不少于2次应急演练（含针对重要危险源的应急演练）</w:t>
            </w:r>
          </w:p>
        </w:tc>
        <w:tc>
          <w:tcPr>
            <w:tcW w:w="2030" w:type="dxa"/>
            <w:tcMar>
              <w:top w:w="0" w:type="dxa"/>
              <w:left w:w="0" w:type="dxa"/>
              <w:bottom w:w="0" w:type="dxa"/>
              <w:right w:w="0" w:type="dxa"/>
            </w:tcMar>
          </w:tcPr>
          <w:p w14:paraId="3B6E5EB9">
            <w:pPr>
              <w:widowControl w:val="0"/>
              <w:wordWrap w:val="0"/>
              <w:rPr>
                <w:rFonts w:hint="eastAsia" w:ascii="仿宋_GB2312" w:hAnsi="仿宋_GB2312" w:eastAsia="仿宋_GB2312" w:cs="仿宋_GB2312"/>
                <w:color w:val="444444"/>
                <w:sz w:val="24"/>
                <w:szCs w:val="24"/>
                <w:lang w:eastAsia="zh-CN"/>
              </w:rPr>
            </w:pPr>
            <w:r>
              <w:rPr>
                <w:rFonts w:hint="eastAsia" w:ascii="仿宋_GB2312" w:hAnsi="仿宋_GB2312" w:eastAsia="仿宋_GB2312" w:cs="仿宋_GB2312"/>
                <w:sz w:val="24"/>
                <w:szCs w:val="24"/>
                <w:lang w:eastAsia="zh-CN" w:bidi="ar"/>
              </w:rPr>
              <w:t>实验室安全管理人员、实验人员完成不少于16学时的准入安全培训，之后每年完成不少于4学时的安全培训（以上均含应急演练）；每年开展不少于1次应急演练（含针对重要危险源的应急演练）</w:t>
            </w:r>
          </w:p>
        </w:tc>
        <w:tc>
          <w:tcPr>
            <w:tcW w:w="2030" w:type="dxa"/>
            <w:tcMar>
              <w:top w:w="0" w:type="dxa"/>
              <w:left w:w="0" w:type="dxa"/>
              <w:bottom w:w="0" w:type="dxa"/>
              <w:right w:w="0" w:type="dxa"/>
            </w:tcMar>
          </w:tcPr>
          <w:p w14:paraId="1434BBD2">
            <w:pPr>
              <w:widowControl w:val="0"/>
              <w:wordWrap w:val="0"/>
              <w:rPr>
                <w:rFonts w:hint="eastAsia" w:ascii="仿宋_GB2312" w:hAnsi="仿宋_GB2312" w:eastAsia="仿宋_GB2312" w:cs="仿宋_GB2312"/>
                <w:color w:val="444444"/>
                <w:sz w:val="24"/>
                <w:szCs w:val="24"/>
                <w:lang w:eastAsia="zh-CN"/>
              </w:rPr>
            </w:pPr>
            <w:r>
              <w:rPr>
                <w:rFonts w:hint="eastAsia" w:ascii="仿宋_GB2312" w:hAnsi="仿宋_GB2312" w:eastAsia="仿宋_GB2312" w:cs="仿宋_GB2312"/>
                <w:sz w:val="24"/>
                <w:szCs w:val="24"/>
                <w:lang w:eastAsia="zh-CN" w:bidi="ar"/>
              </w:rPr>
              <w:t>实验室安全管理人员、实验人员完成不少于8学时的准入安全培训，之后每年完成不少于2学时的安全培训（以上均含应急演练）；实验室每年开展不少于1次应急演练</w:t>
            </w:r>
          </w:p>
        </w:tc>
        <w:tc>
          <w:tcPr>
            <w:tcW w:w="2031" w:type="dxa"/>
            <w:tcMar>
              <w:top w:w="0" w:type="dxa"/>
              <w:left w:w="0" w:type="dxa"/>
              <w:bottom w:w="0" w:type="dxa"/>
              <w:right w:w="0" w:type="dxa"/>
            </w:tcMar>
          </w:tcPr>
          <w:p w14:paraId="46162E3F">
            <w:pPr>
              <w:widowControl w:val="0"/>
              <w:wordWrap w:val="0"/>
              <w:rPr>
                <w:rFonts w:hint="eastAsia" w:ascii="仿宋_GB2312" w:hAnsi="仿宋_GB2312" w:eastAsia="仿宋_GB2312" w:cs="仿宋_GB2312"/>
                <w:color w:val="444444"/>
                <w:sz w:val="24"/>
                <w:szCs w:val="24"/>
                <w:lang w:eastAsia="zh-CN"/>
              </w:rPr>
            </w:pPr>
            <w:r>
              <w:rPr>
                <w:rFonts w:hint="eastAsia" w:ascii="仿宋_GB2312" w:hAnsi="仿宋_GB2312" w:eastAsia="仿宋_GB2312" w:cs="仿宋_GB2312"/>
                <w:sz w:val="24"/>
                <w:szCs w:val="24"/>
                <w:lang w:eastAsia="zh-CN" w:bidi="ar"/>
              </w:rPr>
              <w:t>实验室安全管理人员、实验人员完成不少于4学时的准入安全培训，之后每年根据学校实际需要安排适量的安全培训（以上均含应急演练）；每年开展不少于1次应急演练</w:t>
            </w:r>
          </w:p>
        </w:tc>
      </w:tr>
      <w:tr w14:paraId="6DEE7B90">
        <w:trPr>
          <w:trHeight w:val="480" w:hRule="atLeast"/>
        </w:trPr>
        <w:tc>
          <w:tcPr>
            <w:tcW w:w="421" w:type="dxa"/>
            <w:tcMar>
              <w:top w:w="0" w:type="dxa"/>
              <w:left w:w="0" w:type="dxa"/>
              <w:bottom w:w="0" w:type="dxa"/>
              <w:right w:w="0" w:type="dxa"/>
            </w:tcMar>
            <w:vAlign w:val="center"/>
          </w:tcPr>
          <w:p w14:paraId="7AB1D055">
            <w:pPr>
              <w:widowControl w:val="0"/>
              <w:wordWrap w:val="0"/>
              <w:jc w:val="center"/>
              <w:rPr>
                <w:rFonts w:hint="eastAsia" w:ascii="仿宋_GB2312" w:hAnsi="仿宋_GB2312" w:eastAsia="仿宋_GB2312" w:cs="仿宋_GB2312"/>
                <w:color w:val="444444"/>
                <w:sz w:val="24"/>
                <w:szCs w:val="24"/>
              </w:rPr>
            </w:pPr>
            <w:r>
              <w:rPr>
                <w:rFonts w:hint="eastAsia" w:ascii="仿宋_GB2312" w:hAnsi="仿宋_GB2312" w:eastAsia="仿宋_GB2312" w:cs="仿宋_GB2312"/>
                <w:sz w:val="24"/>
                <w:szCs w:val="24"/>
                <w:lang w:eastAsia="zh-CN" w:bidi="ar"/>
              </w:rPr>
              <w:t>安全评估</w:t>
            </w:r>
          </w:p>
        </w:tc>
        <w:tc>
          <w:tcPr>
            <w:tcW w:w="2030" w:type="dxa"/>
            <w:tcMar>
              <w:top w:w="0" w:type="dxa"/>
              <w:left w:w="0" w:type="dxa"/>
              <w:bottom w:w="0" w:type="dxa"/>
              <w:right w:w="0" w:type="dxa"/>
            </w:tcMar>
          </w:tcPr>
          <w:p w14:paraId="12925627">
            <w:pPr>
              <w:widowControl w:val="0"/>
              <w:wordWrap w:val="0"/>
              <w:rPr>
                <w:rFonts w:hint="eastAsia" w:ascii="仿宋_GB2312" w:hAnsi="仿宋_GB2312" w:eastAsia="仿宋_GB2312" w:cs="仿宋_GB2312"/>
                <w:color w:val="444444"/>
                <w:sz w:val="24"/>
                <w:szCs w:val="24"/>
                <w:lang w:eastAsia="zh-CN"/>
              </w:rPr>
            </w:pPr>
            <w:r>
              <w:rPr>
                <w:rFonts w:hint="eastAsia" w:ascii="仿宋_GB2312" w:hAnsi="仿宋_GB2312" w:eastAsia="仿宋_GB2312" w:cs="仿宋_GB2312"/>
                <w:sz w:val="24"/>
                <w:szCs w:val="24"/>
                <w:lang w:eastAsia="zh-CN" w:bidi="ar"/>
              </w:rPr>
              <w:t>科研项目、学生课题等实验活动应进行安全风险评估；涉及重要危险源的实验活动应在教学科研机构备案，学院不定期抽查；针对重要危险源制定相应的管理办法和应急措施，责任到人；每年开展不少于1次针对重要危险源的应急演练</w:t>
            </w:r>
          </w:p>
        </w:tc>
        <w:tc>
          <w:tcPr>
            <w:tcW w:w="2030" w:type="dxa"/>
            <w:tcMar>
              <w:top w:w="0" w:type="dxa"/>
              <w:left w:w="0" w:type="dxa"/>
              <w:bottom w:w="0" w:type="dxa"/>
              <w:right w:w="0" w:type="dxa"/>
            </w:tcMar>
          </w:tcPr>
          <w:p w14:paraId="12FFC0A8">
            <w:pPr>
              <w:widowControl w:val="0"/>
              <w:wordWrap w:val="0"/>
              <w:rPr>
                <w:rFonts w:hint="eastAsia" w:ascii="仿宋_GB2312" w:hAnsi="仿宋_GB2312" w:eastAsia="仿宋_GB2312" w:cs="仿宋_GB2312"/>
                <w:color w:val="444444"/>
                <w:sz w:val="24"/>
                <w:szCs w:val="24"/>
                <w:lang w:eastAsia="zh-CN"/>
              </w:rPr>
            </w:pPr>
            <w:r>
              <w:rPr>
                <w:rFonts w:hint="eastAsia" w:ascii="仿宋_GB2312" w:hAnsi="仿宋_GB2312" w:eastAsia="仿宋_GB2312" w:cs="仿宋_GB2312"/>
                <w:sz w:val="24"/>
                <w:szCs w:val="24"/>
                <w:lang w:eastAsia="zh-CN" w:bidi="ar"/>
              </w:rPr>
              <w:t>科研项目、学生课题等实验活动应进行安全风险评估；涉及重要危险源的实验活动应在教学科研机构备案，学院不定期抽查；针对重要危险源制定相应的管理办法和应急措施，责任到人；每年开展不少于1次针对重要危险源的应急演练</w:t>
            </w:r>
          </w:p>
        </w:tc>
        <w:tc>
          <w:tcPr>
            <w:tcW w:w="2030" w:type="dxa"/>
            <w:tcMar>
              <w:top w:w="0" w:type="dxa"/>
              <w:left w:w="0" w:type="dxa"/>
              <w:bottom w:w="0" w:type="dxa"/>
              <w:right w:w="0" w:type="dxa"/>
            </w:tcMar>
          </w:tcPr>
          <w:p w14:paraId="788EA021">
            <w:pPr>
              <w:widowControl w:val="0"/>
              <w:wordWrap w:val="0"/>
              <w:rPr>
                <w:rFonts w:hint="eastAsia" w:ascii="仿宋_GB2312" w:hAnsi="仿宋_GB2312" w:eastAsia="仿宋_GB2312" w:cs="仿宋_GB2312"/>
                <w:color w:val="444444"/>
                <w:sz w:val="24"/>
                <w:szCs w:val="24"/>
                <w:lang w:eastAsia="zh-CN"/>
              </w:rPr>
            </w:pPr>
            <w:r>
              <w:rPr>
                <w:rFonts w:hint="eastAsia" w:ascii="仿宋_GB2312" w:hAnsi="仿宋_GB2312" w:eastAsia="仿宋_GB2312" w:cs="仿宋_GB2312"/>
                <w:sz w:val="24"/>
                <w:szCs w:val="24"/>
                <w:lang w:eastAsia="zh-CN" w:bidi="ar"/>
              </w:rPr>
              <w:t>科研项目、学生课题等实验活动应进行安全风险评估；涉及重要危险源的实验活动应在教学科研机构备案，教学科研机构不定期抽查；教学科研机构判断如有必要，可临时按更高等级实验室安全要求进行管理</w:t>
            </w:r>
          </w:p>
        </w:tc>
        <w:tc>
          <w:tcPr>
            <w:tcW w:w="2031" w:type="dxa"/>
            <w:tcMar>
              <w:top w:w="0" w:type="dxa"/>
              <w:left w:w="0" w:type="dxa"/>
              <w:bottom w:w="0" w:type="dxa"/>
              <w:right w:w="0" w:type="dxa"/>
            </w:tcMar>
          </w:tcPr>
          <w:p w14:paraId="12A20D8C">
            <w:pPr>
              <w:widowControl w:val="0"/>
              <w:wordWrap w:val="0"/>
              <w:rPr>
                <w:rFonts w:hint="eastAsia" w:ascii="仿宋_GB2312" w:hAnsi="仿宋_GB2312" w:eastAsia="仿宋_GB2312" w:cs="仿宋_GB2312"/>
                <w:color w:val="444444"/>
                <w:sz w:val="24"/>
                <w:szCs w:val="24"/>
                <w:lang w:eastAsia="zh-CN"/>
              </w:rPr>
            </w:pPr>
            <w:r>
              <w:rPr>
                <w:rFonts w:hint="eastAsia" w:ascii="仿宋_GB2312" w:hAnsi="仿宋_GB2312" w:eastAsia="仿宋_GB2312" w:cs="仿宋_GB2312"/>
                <w:sz w:val="24"/>
                <w:szCs w:val="24"/>
                <w:lang w:eastAsia="zh-CN" w:bidi="ar"/>
              </w:rPr>
              <w:t>科研项目、学生课题等实验活动应进行安全风险评估；涉及重要危险源的实验活动应在教学科研机构备案，教学科研机构不定期抽查；院系判断如有必要，可临时按更高等级实验室安全要求进行管理</w:t>
            </w:r>
          </w:p>
        </w:tc>
      </w:tr>
      <w:tr w14:paraId="26F3B95E">
        <w:tc>
          <w:tcPr>
            <w:tcW w:w="421" w:type="dxa"/>
            <w:tcMar>
              <w:top w:w="0" w:type="dxa"/>
              <w:left w:w="0" w:type="dxa"/>
              <w:bottom w:w="0" w:type="dxa"/>
              <w:right w:w="0" w:type="dxa"/>
            </w:tcMar>
            <w:vAlign w:val="center"/>
          </w:tcPr>
          <w:p w14:paraId="71073CFE">
            <w:pPr>
              <w:widowControl w:val="0"/>
              <w:wordWrap w:val="0"/>
              <w:jc w:val="center"/>
              <w:rPr>
                <w:rFonts w:hint="eastAsia" w:ascii="仿宋_GB2312" w:hAnsi="仿宋_GB2312" w:eastAsia="仿宋_GB2312" w:cs="仿宋_GB2312"/>
                <w:color w:val="444444"/>
                <w:sz w:val="24"/>
                <w:szCs w:val="24"/>
              </w:rPr>
            </w:pPr>
            <w:r>
              <w:rPr>
                <w:rFonts w:hint="eastAsia" w:ascii="仿宋_GB2312" w:hAnsi="仿宋_GB2312" w:eastAsia="仿宋_GB2312" w:cs="仿宋_GB2312"/>
                <w:sz w:val="24"/>
                <w:szCs w:val="24"/>
                <w:lang w:eastAsia="zh-CN" w:bidi="ar"/>
              </w:rPr>
              <w:t>条件保障</w:t>
            </w:r>
          </w:p>
        </w:tc>
        <w:tc>
          <w:tcPr>
            <w:tcW w:w="2030" w:type="dxa"/>
            <w:tcMar>
              <w:top w:w="0" w:type="dxa"/>
              <w:left w:w="0" w:type="dxa"/>
              <w:bottom w:w="0" w:type="dxa"/>
              <w:right w:w="0" w:type="dxa"/>
            </w:tcMar>
          </w:tcPr>
          <w:p w14:paraId="3DBBDBE0">
            <w:pPr>
              <w:widowControl w:val="0"/>
              <w:wordWrap w:val="0"/>
              <w:rPr>
                <w:rFonts w:hint="eastAsia" w:ascii="仿宋_GB2312" w:hAnsi="仿宋_GB2312" w:eastAsia="仿宋_GB2312" w:cs="仿宋_GB2312"/>
                <w:color w:val="444444"/>
                <w:sz w:val="24"/>
                <w:szCs w:val="24"/>
                <w:lang w:eastAsia="zh-CN"/>
              </w:rPr>
            </w:pPr>
            <w:r>
              <w:rPr>
                <w:rFonts w:hint="eastAsia" w:ascii="仿宋_GB2312" w:hAnsi="仿宋_GB2312" w:eastAsia="仿宋_GB2312" w:cs="仿宋_GB2312"/>
                <w:sz w:val="24"/>
                <w:szCs w:val="24"/>
                <w:lang w:eastAsia="zh-CN" w:bidi="ar"/>
              </w:rPr>
              <w:t>高风险点位安装监控和必要的监测报警装置；危化品等重要危险源存储严格执行治安管控或其他部门监管要求；配备充足的专职实验室安全管理人员；配备必要的个体防护设备设施</w:t>
            </w:r>
          </w:p>
        </w:tc>
        <w:tc>
          <w:tcPr>
            <w:tcW w:w="2030" w:type="dxa"/>
            <w:tcMar>
              <w:top w:w="0" w:type="dxa"/>
              <w:left w:w="0" w:type="dxa"/>
              <w:bottom w:w="0" w:type="dxa"/>
              <w:right w:w="0" w:type="dxa"/>
            </w:tcMar>
          </w:tcPr>
          <w:p w14:paraId="6AEF0719">
            <w:pPr>
              <w:widowControl w:val="0"/>
              <w:wordWrap w:val="0"/>
              <w:rPr>
                <w:rFonts w:hint="eastAsia" w:ascii="仿宋_GB2312" w:hAnsi="仿宋_GB2312" w:eastAsia="仿宋_GB2312" w:cs="仿宋_GB2312"/>
                <w:color w:val="444444"/>
                <w:sz w:val="24"/>
                <w:szCs w:val="24"/>
                <w:lang w:eastAsia="zh-CN"/>
              </w:rPr>
            </w:pPr>
            <w:r>
              <w:rPr>
                <w:rFonts w:hint="eastAsia" w:ascii="仿宋_GB2312" w:hAnsi="仿宋_GB2312" w:eastAsia="仿宋_GB2312" w:cs="仿宋_GB2312"/>
                <w:sz w:val="24"/>
                <w:szCs w:val="24"/>
                <w:lang w:eastAsia="zh-CN" w:bidi="ar"/>
              </w:rPr>
              <w:t>高风险点位安装监控和必要的监测报警装置；危化品等重要危险源存储严格执行治安管控或其他部门监管要求；配备充足的专职实验室安全管理人员；配备必要的个体防护设备设施</w:t>
            </w:r>
          </w:p>
        </w:tc>
        <w:tc>
          <w:tcPr>
            <w:tcW w:w="2030" w:type="dxa"/>
            <w:tcMar>
              <w:top w:w="0" w:type="dxa"/>
              <w:left w:w="0" w:type="dxa"/>
              <w:bottom w:w="0" w:type="dxa"/>
              <w:right w:w="0" w:type="dxa"/>
            </w:tcMar>
          </w:tcPr>
          <w:p w14:paraId="6EF04B68">
            <w:pPr>
              <w:widowControl w:val="0"/>
              <w:wordWrap w:val="0"/>
              <w:rPr>
                <w:rFonts w:hint="eastAsia" w:ascii="仿宋_GB2312" w:hAnsi="仿宋_GB2312" w:eastAsia="仿宋_GB2312" w:cs="仿宋_GB2312"/>
                <w:color w:val="444444"/>
                <w:sz w:val="24"/>
                <w:szCs w:val="24"/>
                <w:lang w:eastAsia="zh-CN"/>
              </w:rPr>
            </w:pPr>
            <w:r>
              <w:rPr>
                <w:rFonts w:hint="eastAsia" w:ascii="仿宋_GB2312" w:hAnsi="仿宋_GB2312" w:eastAsia="仿宋_GB2312" w:cs="仿宋_GB2312"/>
                <w:sz w:val="24"/>
                <w:szCs w:val="24"/>
                <w:lang w:eastAsia="zh-CN" w:bidi="ar"/>
              </w:rPr>
              <w:t>在重要风险点位安装监控和必要的监测报警装置；配备充足的兼职实验室安全管理人员；配备必要的个体防护设备设施</w:t>
            </w:r>
          </w:p>
        </w:tc>
        <w:tc>
          <w:tcPr>
            <w:tcW w:w="2031" w:type="dxa"/>
            <w:tcMar>
              <w:top w:w="0" w:type="dxa"/>
              <w:left w:w="0" w:type="dxa"/>
              <w:bottom w:w="0" w:type="dxa"/>
              <w:right w:w="0" w:type="dxa"/>
            </w:tcMar>
          </w:tcPr>
          <w:p w14:paraId="1389C268">
            <w:pPr>
              <w:widowControl w:val="0"/>
              <w:wordWrap w:val="0"/>
              <w:spacing w:after="240"/>
              <w:rPr>
                <w:rFonts w:hint="eastAsia" w:ascii="仿宋_GB2312" w:hAnsi="仿宋_GB2312" w:eastAsia="仿宋_GB2312" w:cs="仿宋_GB2312"/>
                <w:color w:val="444444"/>
                <w:sz w:val="24"/>
                <w:szCs w:val="24"/>
                <w:lang w:eastAsia="zh-CN"/>
              </w:rPr>
            </w:pPr>
            <w:r>
              <w:rPr>
                <w:rFonts w:hint="eastAsia" w:ascii="仿宋_GB2312" w:hAnsi="仿宋_GB2312" w:eastAsia="仿宋_GB2312" w:cs="仿宋_GB2312"/>
                <w:sz w:val="24"/>
                <w:szCs w:val="24"/>
                <w:lang w:eastAsia="zh-CN" w:bidi="ar"/>
              </w:rPr>
              <w:t>配备必要的兼职实验室安全管理人员；配备必要的个体防护设备设施</w:t>
            </w:r>
          </w:p>
        </w:tc>
      </w:tr>
    </w:tbl>
    <w:p w14:paraId="6F1B1DB8">
      <w:pPr>
        <w:pStyle w:val="6"/>
        <w:widowControl w:val="0"/>
        <w:spacing w:before="0" w:beforeAutospacing="0" w:after="150" w:afterAutospacing="0"/>
        <w:rPr>
          <w:rFonts w:hint="eastAsia" w:ascii="仿宋_GB2312" w:hAnsi="仿宋_GB2312" w:eastAsia="仿宋_GB2312" w:cs="仿宋_GB2312"/>
          <w:lang w:eastAsia="zh-CN"/>
        </w:rPr>
      </w:pPr>
    </w:p>
    <w:p w14:paraId="7E4FFC20">
      <w:pPr>
        <w:pStyle w:val="3"/>
        <w:widowControl w:val="0"/>
        <w:spacing w:before="177" w:line="222" w:lineRule="auto"/>
        <w:rPr>
          <w:rFonts w:hint="eastAsia" w:ascii="仿宋_GB2312" w:hAnsi="仿宋_GB2312" w:eastAsia="仿宋_GB2312" w:cs="仿宋_GB2312"/>
          <w:lang w:eastAsia="zh-CN"/>
        </w:rPr>
      </w:pPr>
    </w:p>
    <w:sectPr>
      <w:footerReference r:id="rId8" w:type="default"/>
      <w:pgSz w:w="11907" w:h="16839"/>
      <w:pgMar w:top="1431" w:right="1570" w:bottom="1199" w:left="1785" w:header="0" w:footer="95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FangSong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Times New Roman Regular">
    <w:panose1 w:val="02020503050405090304"/>
    <w:charset w:val="00"/>
    <w:family w:val="auto"/>
    <w:pitch w:val="default"/>
    <w:sig w:usb0="E0000AFF" w:usb1="00007843" w:usb2="00000001" w:usb3="00000000" w:csb0="400001BF" w:csb1="DFF70000"/>
  </w:font>
  <w:font w:name="寰蒋闆呴粦">
    <w:altName w:val="苹方-简"/>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宋体-简">
    <w:panose1 w:val="02010800040101010101"/>
    <w:charset w:val="86"/>
    <w:family w:val="auto"/>
    <w:pitch w:val="default"/>
    <w:sig w:usb0="00000001" w:usb1="080F0000" w:usb2="00000000"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 w:name="微软雅黑">
    <w:panose1 w:val="020B0503020204020204"/>
    <w:charset w:val="86"/>
    <w:family w:val="auto"/>
    <w:pitch w:val="default"/>
    <w:sig w:usb0="80000287" w:usb1="2A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A6A7F">
    <w:pPr>
      <w:spacing w:line="234" w:lineRule="auto"/>
      <w:ind w:left="4129"/>
      <w:rPr>
        <w:rFonts w:hint="eastAsia" w:ascii="等线" w:hAnsi="等线" w:eastAsia="等线" w:cs="等线"/>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FE325B">
                          <w:pPr>
                            <w:pStyle w:val="4"/>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1FE325B">
                    <w:pPr>
                      <w:pStyle w:val="4"/>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9A267">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D4C22">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9CD59">
    <w:pPr>
      <w:spacing w:line="234" w:lineRule="auto"/>
      <w:ind w:left="4128"/>
      <w:rPr>
        <w:rFonts w:hint="eastAsia" w:ascii="等线" w:hAnsi="等线" w:eastAsia="等线" w:cs="等线"/>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7005" cy="1828800"/>
              <wp:effectExtent l="0" t="0" r="5080" b="14605"/>
              <wp:wrapNone/>
              <wp:docPr id="2" name="文本框 2"/>
              <wp:cNvGraphicFramePr/>
              <a:graphic xmlns:a="http://schemas.openxmlformats.org/drawingml/2006/main">
                <a:graphicData uri="http://schemas.microsoft.com/office/word/2010/wordprocessingShape">
                  <wps:wsp>
                    <wps:cNvSpPr txBox="1"/>
                    <wps:spPr>
                      <a:xfrm>
                        <a:off x="0" y="0"/>
                        <a:ext cx="166977"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675B10">
                          <w:pPr>
                            <w:pStyle w:val="4"/>
                            <w:jc w:val="center"/>
                          </w:pPr>
                          <w:r>
                            <w:t xml:space="preserve">— </w:t>
                          </w:r>
                          <w:r>
                            <w:fldChar w:fldCharType="begin"/>
                          </w:r>
                          <w:r>
                            <w:instrText xml:space="preserve"> PAGE  \* MERGEFORMAT </w:instrText>
                          </w:r>
                          <w:r>
                            <w:fldChar w:fldCharType="separate"/>
                          </w:r>
                          <w:r>
                            <w:t>5</w:t>
                          </w:r>
                          <w:r>
                            <w:fldChar w:fldCharType="end"/>
                          </w:r>
                          <w:r>
                            <w:t xml:space="preserve"> —</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3.15pt;mso-position-horizontal:center;mso-position-horizontal-relative:margin;z-index:251660288;mso-width-relative:page;mso-height-relative:page;" filled="f" stroked="f" coordsize="21600,21600" o:gfxdata="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lE+se0wAAAAQBAAAPAAAAAAAAAAEAIAAAACIAAABkcnMvZG93bnJldi54bWxQSwEC&#10;FAAUAAAACACHTuJAR0OF5DICAABWBAAADgAAAAAAAAABACAAAAAiAQAAZHJzL2Uyb0RvYy54bWxQ&#10;SwUGAAAAAAYABgBZAQAAxgUAAAAA&#10;">
              <v:fill on="f" focussize="0,0"/>
              <v:stroke on="f" weight="0.5pt"/>
              <v:imagedata o:title=""/>
              <o:lock v:ext="edit" aspectratio="f"/>
              <v:textbox inset="0mm,0mm,0mm,0mm" style="mso-fit-shape-to-text:t;">
                <w:txbxContent>
                  <w:p w14:paraId="4F675B10">
                    <w:pPr>
                      <w:pStyle w:val="4"/>
                      <w:jc w:val="center"/>
                    </w:pPr>
                    <w:r>
                      <w:t xml:space="preserve">— </w:t>
                    </w:r>
                    <w:r>
                      <w:fldChar w:fldCharType="begin"/>
                    </w:r>
                    <w:r>
                      <w:instrText xml:space="preserve"> PAGE  \* MERGEFORMAT </w:instrText>
                    </w:r>
                    <w:r>
                      <w:fldChar w:fldCharType="separate"/>
                    </w:r>
                    <w:r>
                      <w:t>5</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B3401">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67816">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FDFF4A"/>
    <w:multiLevelType w:val="singleLevel"/>
    <w:tmpl w:val="B5FDFF4A"/>
    <w:lvl w:ilvl="0" w:tentative="0">
      <w:start w:val="1"/>
      <w:numFmt w:val="decimal"/>
      <w:suff w:val="nothing"/>
      <w:lvlText w:val="%1."/>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isplayBackgroundShape w:val="1"/>
  <w:bordersDoNotSurroundHeader w:val="1"/>
  <w:bordersDoNotSurroundFooter w:val="1"/>
  <w:documentProtection w:enforcement="0"/>
  <w:defaultTabStop w:val="420"/>
  <w:noPunctuationKerning w:val="1"/>
  <w:characterSpacingControl w:val="doNotCompress"/>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5BD"/>
    <w:rsid w:val="00010721"/>
    <w:rsid w:val="00061ACA"/>
    <w:rsid w:val="00101CCC"/>
    <w:rsid w:val="001175A1"/>
    <w:rsid w:val="001B26C8"/>
    <w:rsid w:val="001E6F33"/>
    <w:rsid w:val="00220B41"/>
    <w:rsid w:val="0039428C"/>
    <w:rsid w:val="0039704B"/>
    <w:rsid w:val="003A3870"/>
    <w:rsid w:val="003A45BD"/>
    <w:rsid w:val="004D3414"/>
    <w:rsid w:val="004E0E3B"/>
    <w:rsid w:val="00542EC1"/>
    <w:rsid w:val="00543028"/>
    <w:rsid w:val="0060747D"/>
    <w:rsid w:val="006722D4"/>
    <w:rsid w:val="006864E2"/>
    <w:rsid w:val="00715775"/>
    <w:rsid w:val="00765EA4"/>
    <w:rsid w:val="007D3D0C"/>
    <w:rsid w:val="00851DF2"/>
    <w:rsid w:val="008A63FF"/>
    <w:rsid w:val="008A6710"/>
    <w:rsid w:val="008C0674"/>
    <w:rsid w:val="008E3E49"/>
    <w:rsid w:val="00915D54"/>
    <w:rsid w:val="00971C89"/>
    <w:rsid w:val="009B4C37"/>
    <w:rsid w:val="00A53AAD"/>
    <w:rsid w:val="00AC160B"/>
    <w:rsid w:val="00AE20F6"/>
    <w:rsid w:val="00B43879"/>
    <w:rsid w:val="00C71CFE"/>
    <w:rsid w:val="00C92A37"/>
    <w:rsid w:val="00D10F6A"/>
    <w:rsid w:val="00D500F0"/>
    <w:rsid w:val="00D86C47"/>
    <w:rsid w:val="00DA08EE"/>
    <w:rsid w:val="00DC4BC5"/>
    <w:rsid w:val="00E458AB"/>
    <w:rsid w:val="00EE410A"/>
    <w:rsid w:val="00FA4FF5"/>
    <w:rsid w:val="00FC0056"/>
    <w:rsid w:val="00FC6FAE"/>
    <w:rsid w:val="02896486"/>
    <w:rsid w:val="09735648"/>
    <w:rsid w:val="0EB151D7"/>
    <w:rsid w:val="0F79566A"/>
    <w:rsid w:val="1239D50C"/>
    <w:rsid w:val="15C874A8"/>
    <w:rsid w:val="1FE20EBB"/>
    <w:rsid w:val="2A5FC554"/>
    <w:rsid w:val="2C0255F1"/>
    <w:rsid w:val="39A74872"/>
    <w:rsid w:val="3AF26AC9"/>
    <w:rsid w:val="3BF70754"/>
    <w:rsid w:val="3C7E2FEB"/>
    <w:rsid w:val="3CCC4058"/>
    <w:rsid w:val="3D6F6104"/>
    <w:rsid w:val="438F0643"/>
    <w:rsid w:val="43D95B60"/>
    <w:rsid w:val="55134E80"/>
    <w:rsid w:val="5D437615"/>
    <w:rsid w:val="5EF76E8D"/>
    <w:rsid w:val="62F87F24"/>
    <w:rsid w:val="6EAC5618"/>
    <w:rsid w:val="734688AA"/>
    <w:rsid w:val="7E523B5A"/>
    <w:rsid w:val="7F6C5F79"/>
    <w:rsid w:val="7FFF5439"/>
    <w:rsid w:val="B8E7CF54"/>
    <w:rsid w:val="DDE5583C"/>
    <w:rsid w:val="F897F105"/>
    <w:rsid w:val="FF7FEB34"/>
    <w:rsid w:val="FFDFA4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5"/>
    <w:qFormat/>
    <w:uiPriority w:val="0"/>
  </w:style>
  <w:style w:type="paragraph" w:styleId="3">
    <w:name w:val="Body Text"/>
    <w:basedOn w:val="1"/>
    <w:semiHidden/>
    <w:qFormat/>
    <w:uiPriority w:val="0"/>
    <w:rPr>
      <w:rFonts w:ascii="仿宋" w:hAnsi="仿宋" w:eastAsia="仿宋" w:cs="仿宋"/>
      <w:sz w:val="31"/>
      <w:szCs w:val="31"/>
    </w:rPr>
  </w:style>
  <w:style w:type="paragraph" w:styleId="4">
    <w:name w:val="footer"/>
    <w:basedOn w:val="1"/>
    <w:unhideWhenUsed/>
    <w:qFormat/>
    <w:uiPriority w:val="99"/>
    <w:pPr>
      <w:tabs>
        <w:tab w:val="center" w:pos="4153"/>
        <w:tab w:val="right" w:pos="8306"/>
      </w:tabs>
    </w:pPr>
    <w:rPr>
      <w:sz w:val="18"/>
      <w:szCs w:val="18"/>
    </w:rPr>
  </w:style>
  <w:style w:type="paragraph" w:styleId="5">
    <w:name w:val="header"/>
    <w:basedOn w:val="1"/>
    <w:link w:val="18"/>
    <w:uiPriority w:val="0"/>
    <w:pPr>
      <w:tabs>
        <w:tab w:val="center" w:pos="4153"/>
        <w:tab w:val="right" w:pos="8306"/>
      </w:tabs>
      <w:jc w:val="center"/>
    </w:pPr>
    <w:rPr>
      <w:sz w:val="18"/>
      <w:szCs w:val="18"/>
    </w:rPr>
  </w:style>
  <w:style w:type="paragraph" w:styleId="6">
    <w:name w:val="Normal (Web)"/>
    <w:basedOn w:val="1"/>
    <w:unhideWhenUsed/>
    <w:qFormat/>
    <w:uiPriority w:val="99"/>
    <w:pPr>
      <w:spacing w:before="100" w:beforeAutospacing="1" w:after="100" w:afterAutospacing="1"/>
    </w:pPr>
    <w:rPr>
      <w:sz w:val="24"/>
    </w:rPr>
  </w:style>
  <w:style w:type="paragraph" w:styleId="7">
    <w:name w:val="annotation subject"/>
    <w:basedOn w:val="2"/>
    <w:next w:val="2"/>
    <w:link w:val="16"/>
    <w:uiPriority w:val="0"/>
    <w:rPr>
      <w:b/>
      <w:bCs/>
    </w:rPr>
  </w:style>
  <w:style w:type="character" w:styleId="10">
    <w:name w:val="annotation reference"/>
    <w:basedOn w:val="9"/>
    <w:qFormat/>
    <w:uiPriority w:val="0"/>
    <w:rPr>
      <w:sz w:val="21"/>
      <w:szCs w:val="21"/>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仿宋" w:hAnsi="仿宋" w:eastAsia="仿宋" w:cs="仿宋"/>
      <w:sz w:val="28"/>
      <w:szCs w:val="28"/>
    </w:rPr>
  </w:style>
  <w:style w:type="paragraph" w:customStyle="1" w:styleId="13">
    <w:name w:val="修订1"/>
    <w:hidden/>
    <w:unhideWhenUsed/>
    <w:qFormat/>
    <w:uiPriority w:val="99"/>
    <w:rPr>
      <w:rFonts w:ascii="Arial" w:hAnsi="Arial" w:eastAsia="Arial" w:cs="Arial"/>
      <w:snapToGrid w:val="0"/>
      <w:color w:val="000000"/>
      <w:sz w:val="21"/>
      <w:szCs w:val="21"/>
      <w:lang w:val="en-US" w:eastAsia="en-US" w:bidi="ar-SA"/>
    </w:rPr>
  </w:style>
  <w:style w:type="paragraph" w:customStyle="1" w:styleId="14">
    <w:name w:val="修订2"/>
    <w:hidden/>
    <w:unhideWhenUsed/>
    <w:uiPriority w:val="99"/>
    <w:rPr>
      <w:rFonts w:ascii="Arial" w:hAnsi="Arial" w:eastAsia="Arial" w:cs="Arial"/>
      <w:snapToGrid w:val="0"/>
      <w:color w:val="000000"/>
      <w:sz w:val="21"/>
      <w:szCs w:val="21"/>
      <w:lang w:val="en-US" w:eastAsia="en-US" w:bidi="ar-SA"/>
    </w:rPr>
  </w:style>
  <w:style w:type="character" w:customStyle="1" w:styleId="15">
    <w:name w:val="批注文字 字符"/>
    <w:basedOn w:val="9"/>
    <w:link w:val="2"/>
    <w:qFormat/>
    <w:uiPriority w:val="0"/>
    <w:rPr>
      <w:rFonts w:ascii="Arial" w:hAnsi="Arial" w:eastAsia="Arial" w:cs="Arial"/>
      <w:snapToGrid w:val="0"/>
      <w:color w:val="000000"/>
      <w:sz w:val="21"/>
      <w:szCs w:val="21"/>
      <w:lang w:eastAsia="en-US"/>
    </w:rPr>
  </w:style>
  <w:style w:type="character" w:customStyle="1" w:styleId="16">
    <w:name w:val="批注主题 字符"/>
    <w:basedOn w:val="15"/>
    <w:link w:val="7"/>
    <w:qFormat/>
    <w:uiPriority w:val="0"/>
    <w:rPr>
      <w:rFonts w:ascii="Arial" w:hAnsi="Arial" w:eastAsia="Arial" w:cs="Arial"/>
      <w:b/>
      <w:bCs/>
      <w:snapToGrid w:val="0"/>
      <w:color w:val="000000"/>
      <w:sz w:val="21"/>
      <w:szCs w:val="21"/>
      <w:lang w:eastAsia="en-US"/>
    </w:rPr>
  </w:style>
  <w:style w:type="paragraph" w:customStyle="1" w:styleId="17">
    <w:name w:val="修订3"/>
    <w:hidden/>
    <w:unhideWhenUsed/>
    <w:uiPriority w:val="99"/>
    <w:rPr>
      <w:rFonts w:ascii="Arial" w:hAnsi="Arial" w:eastAsia="Arial" w:cs="Arial"/>
      <w:snapToGrid w:val="0"/>
      <w:color w:val="000000"/>
      <w:sz w:val="21"/>
      <w:szCs w:val="21"/>
      <w:lang w:val="en-US" w:eastAsia="en-US" w:bidi="ar-SA"/>
    </w:rPr>
  </w:style>
  <w:style w:type="character" w:customStyle="1" w:styleId="18">
    <w:name w:val="页眉 字符"/>
    <w:basedOn w:val="9"/>
    <w:link w:val="5"/>
    <w:qFormat/>
    <w:uiPriority w:val="0"/>
    <w:rPr>
      <w:rFonts w:ascii="Arial" w:hAnsi="Arial" w:eastAsia="Arial" w:cs="Arial"/>
      <w:snapToGrid w:val="0"/>
      <w:color w:val="000000"/>
      <w:sz w:val="18"/>
      <w:szCs w:val="18"/>
      <w:lang w:eastAsia="en-US"/>
    </w:rPr>
  </w:style>
  <w:style w:type="paragraph" w:customStyle="1" w:styleId="19">
    <w:name w:val="列出段落1"/>
    <w:basedOn w:val="1"/>
    <w:qFormat/>
    <w:uiPriority w:val="34"/>
    <w:pPr>
      <w:ind w:firstLine="420" w:firstLineChars="200"/>
    </w:pPr>
  </w:style>
  <w:style w:type="paragraph" w:customStyle="1" w:styleId="20">
    <w:name w:val="Revision"/>
    <w:hidden/>
    <w:unhideWhenUsed/>
    <w:uiPriority w:val="99"/>
    <w:rPr>
      <w:rFonts w:ascii="Arial" w:hAnsi="Arial" w:eastAsia="Arial" w:cs="Arial"/>
      <w:snapToGrid w:val="0"/>
      <w:color w:val="000000"/>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FF3B458-E912-40BB-A1E4-8CC67FE1F336}">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2325</Words>
  <Characters>2399</Characters>
  <Lines>225</Lines>
  <Paragraphs>167</Paragraphs>
  <TotalTime>6</TotalTime>
  <ScaleCrop>false</ScaleCrop>
  <LinksUpToDate>false</LinksUpToDate>
  <CharactersWithSpaces>2432</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2026-01-07T09:44:00Z</dcterms:created>
  <dc:creator>Eunice</dc:creator>
  <cp:lastModifiedBy>谭沙丽</cp:lastModifiedBy>
  <dcterms:modified xsi:type="dcterms:W3CDTF">2026-01-13T14:52:11Z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2025-08-22T15:30:04Z</vt:filetime>
  </property>
  <property fmtid="{D5CDD505-2E9C-101B-9397-08002B2CF9AE}" pid="4" name="KSOTemplateDocerSaveRecord">
    <vt:lpwstr>eyJoZGlkIjoiYmJiNDY5ODA2NTFiODdlMmM3NTkwZGM3Y2QwMzI4NDYiLCJ1c2VySWQiOiIyNDk0NzU3ODcifQ==</vt:lpwstr>
  </property>
  <property fmtid="{D5CDD505-2E9C-101B-9397-08002B2CF9AE}" pid="5" name="KSOProductBuildVer">
    <vt:lpwstr>2052-12.1.24031.24031</vt:lpwstr>
  </property>
  <property fmtid="{D5CDD505-2E9C-101B-9397-08002B2CF9AE}" pid="6" name="ICV">
    <vt:lpwstr>DF70FC5011E19F7A95DE5B695C8A26F9_43</vt:lpwstr>
  </property>
</Properties>
</file>