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F2805">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bookmarkStart w:id="0" w:name="OLE_LINK1"/>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27</w:t>
      </w:r>
      <w:bookmarkStart w:id="1" w:name="_GoBack"/>
      <w:bookmarkEnd w:id="1"/>
      <w:r>
        <w:rPr>
          <w:rFonts w:hint="eastAsia" w:ascii="FangSong_GB2312" w:hAnsi="FangSong_GB2312" w:eastAsia="FangSong_GB2312" w:cs="FangSong_GB2312"/>
          <w:color w:val="000000"/>
          <w:sz w:val="32"/>
          <w:szCs w:val="32"/>
        </w:rPr>
        <w:t>号</w:t>
      </w:r>
    </w:p>
    <w:p w14:paraId="7B0F5DBA">
      <w:pPr>
        <w:spacing w:after="0" w:line="560" w:lineRule="exact"/>
        <w:jc w:val="center"/>
        <w:rPr>
          <w:rFonts w:hint="eastAsia" w:ascii="方正小标宋简体" w:eastAsia="方正小标宋简体"/>
          <w:sz w:val="36"/>
          <w:szCs w:val="36"/>
        </w:rPr>
      </w:pPr>
    </w:p>
    <w:p w14:paraId="0754360D">
      <w:pPr>
        <w:spacing w:after="0" w:line="560" w:lineRule="exact"/>
        <w:jc w:val="center"/>
        <w:rPr>
          <w:rFonts w:hint="eastAsia" w:ascii="方正小标宋简体" w:eastAsia="方正小标宋简体"/>
          <w:sz w:val="36"/>
          <w:szCs w:val="36"/>
        </w:rPr>
      </w:pPr>
      <w:r>
        <w:rPr>
          <w:rFonts w:hint="eastAsia" w:ascii="方正小标宋简体" w:eastAsia="方正小标宋简体"/>
          <w:sz w:val="36"/>
          <w:szCs w:val="36"/>
        </w:rPr>
        <w:t>清华大学深圳国际研究生院国际学生管理办法</w:t>
      </w:r>
    </w:p>
    <w:bookmarkEnd w:id="0"/>
    <w:p w14:paraId="6BE05537">
      <w:pPr>
        <w:snapToGrid/>
        <w:spacing w:after="0" w:line="560" w:lineRule="exact"/>
        <w:ind w:firstLine="0" w:firstLineChars="0"/>
        <w:jc w:val="center"/>
        <w:rPr>
          <w:rFonts w:hint="eastAsia" w:ascii="仿宋_GB2312" w:eastAsia="仿宋_GB2312" w:hAnsiTheme="minorHAnsi"/>
          <w:sz w:val="30"/>
          <w:szCs w:val="30"/>
        </w:rPr>
      </w:pPr>
      <w:r>
        <w:rPr>
          <w:rFonts w:hint="eastAsia" w:ascii="仿宋_GB2312" w:eastAsia="仿宋_GB2312" w:hAnsiTheme="minorHAnsi"/>
          <w:sz w:val="30"/>
          <w:szCs w:val="30"/>
        </w:rPr>
        <w:t>二〇一三年第三次院务会（2013年3月29日）</w:t>
      </w:r>
      <w:r>
        <w:rPr>
          <w:rFonts w:hint="eastAsia" w:ascii="仿宋_GB2312" w:eastAsia="仿宋_GB2312" w:hAnsiTheme="minorHAnsi"/>
          <w:sz w:val="30"/>
          <w:szCs w:val="30"/>
          <w:lang w:val="en-US" w:eastAsia="zh-CN"/>
        </w:rPr>
        <w:t>审议</w:t>
      </w:r>
      <w:r>
        <w:rPr>
          <w:rFonts w:hint="eastAsia" w:ascii="仿宋_GB2312" w:eastAsia="仿宋_GB2312" w:hAnsiTheme="minorHAnsi"/>
          <w:sz w:val="30"/>
          <w:szCs w:val="30"/>
        </w:rPr>
        <w:t>通过</w:t>
      </w:r>
    </w:p>
    <w:p w14:paraId="7E47798E">
      <w:pPr>
        <w:snapToGrid/>
        <w:spacing w:after="0" w:line="560" w:lineRule="exact"/>
        <w:ind w:firstLine="0" w:firstLineChars="0"/>
        <w:jc w:val="center"/>
        <w:rPr>
          <w:rFonts w:hint="eastAsia" w:ascii="仿宋_GB2312" w:eastAsia="仿宋_GB2312" w:hAnsiTheme="minorHAnsi"/>
          <w:sz w:val="30"/>
          <w:szCs w:val="30"/>
          <w:lang w:eastAsia="zh-CN"/>
        </w:rPr>
      </w:pPr>
      <w:r>
        <w:rPr>
          <w:rFonts w:hint="eastAsia" w:ascii="仿宋_GB2312" w:eastAsia="仿宋_GB2312" w:hAnsiTheme="minorHAnsi"/>
          <w:sz w:val="30"/>
          <w:szCs w:val="30"/>
        </w:rPr>
        <w:t>二〇</w:t>
      </w:r>
      <w:r>
        <w:rPr>
          <w:rFonts w:hint="eastAsia" w:ascii="仿宋_GB2312" w:eastAsia="仿宋_GB2312" w:hAnsiTheme="minorHAnsi"/>
          <w:sz w:val="30"/>
          <w:szCs w:val="30"/>
          <w:lang w:eastAsia="zh-Hans"/>
        </w:rPr>
        <w:t>二</w:t>
      </w:r>
      <w:r>
        <w:rPr>
          <w:rFonts w:hint="eastAsia" w:ascii="仿宋_GB2312" w:eastAsia="仿宋_GB2312" w:hAnsiTheme="minorHAnsi"/>
          <w:sz w:val="30"/>
          <w:szCs w:val="30"/>
          <w:lang w:val="en-US" w:eastAsia="zh-CN"/>
        </w:rPr>
        <w:t>五</w:t>
      </w:r>
      <w:r>
        <w:rPr>
          <w:rFonts w:hint="eastAsia" w:ascii="仿宋_GB2312" w:eastAsia="仿宋_GB2312" w:hAnsiTheme="minorHAnsi"/>
          <w:sz w:val="30"/>
          <w:szCs w:val="30"/>
          <w:lang w:eastAsia="zh-Hans"/>
        </w:rPr>
        <w:t>年第</w:t>
      </w:r>
      <w:r>
        <w:rPr>
          <w:rFonts w:hint="eastAsia" w:ascii="仿宋_GB2312" w:eastAsia="仿宋_GB2312" w:hAnsiTheme="minorHAnsi"/>
          <w:sz w:val="30"/>
          <w:szCs w:val="30"/>
          <w:lang w:val="en-US" w:eastAsia="zh-CN"/>
        </w:rPr>
        <w:t>七十一</w:t>
      </w:r>
      <w:r>
        <w:rPr>
          <w:rFonts w:hint="eastAsia" w:ascii="仿宋_GB2312" w:eastAsia="仿宋_GB2312" w:hAnsiTheme="minorHAnsi"/>
          <w:sz w:val="30"/>
          <w:szCs w:val="30"/>
          <w:lang w:eastAsia="zh-Hans"/>
        </w:rPr>
        <w:t>次</w:t>
      </w:r>
      <w:r>
        <w:rPr>
          <w:rFonts w:hint="eastAsia" w:ascii="仿宋_GB2312" w:eastAsia="仿宋_GB2312" w:hAnsiTheme="minorHAnsi"/>
          <w:sz w:val="30"/>
          <w:szCs w:val="30"/>
        </w:rPr>
        <w:t>党政联席会议</w:t>
      </w:r>
      <w:r>
        <w:rPr>
          <w:rFonts w:hint="eastAsia" w:ascii="仿宋_GB2312" w:eastAsia="仿宋_GB2312" w:hAnsiTheme="minorHAnsi"/>
          <w:sz w:val="30"/>
          <w:szCs w:val="30"/>
          <w:lang w:eastAsia="zh-Hans"/>
        </w:rPr>
        <w:t>（</w:t>
      </w:r>
      <w:r>
        <w:rPr>
          <w:rFonts w:hint="eastAsia" w:ascii="仿宋_GB2312" w:eastAsia="仿宋_GB2312" w:hAnsiTheme="minorHAnsi"/>
          <w:sz w:val="30"/>
          <w:szCs w:val="30"/>
          <w:lang w:val="en-US" w:eastAsia="zh-CN"/>
        </w:rPr>
        <w:t>2025</w:t>
      </w:r>
      <w:r>
        <w:rPr>
          <w:rFonts w:hint="eastAsia" w:ascii="仿宋_GB2312" w:eastAsia="仿宋_GB2312" w:hAnsiTheme="minorHAnsi"/>
          <w:sz w:val="30"/>
          <w:szCs w:val="30"/>
          <w:lang w:eastAsia="zh-Hans"/>
        </w:rPr>
        <w:t>年</w:t>
      </w:r>
      <w:r>
        <w:rPr>
          <w:rFonts w:hint="eastAsia" w:ascii="仿宋_GB2312" w:eastAsia="仿宋_GB2312" w:hAnsiTheme="minorHAnsi"/>
          <w:sz w:val="30"/>
          <w:szCs w:val="30"/>
          <w:lang w:val="en-US" w:eastAsia="zh-CN"/>
        </w:rPr>
        <w:t>12</w:t>
      </w:r>
      <w:r>
        <w:rPr>
          <w:rFonts w:hint="eastAsia" w:ascii="仿宋_GB2312" w:eastAsia="仿宋_GB2312" w:hAnsiTheme="minorHAnsi"/>
          <w:sz w:val="30"/>
          <w:szCs w:val="30"/>
          <w:lang w:eastAsia="zh-Hans"/>
        </w:rPr>
        <w:t>月</w:t>
      </w:r>
      <w:r>
        <w:rPr>
          <w:rFonts w:hint="eastAsia" w:ascii="仿宋_GB2312" w:eastAsia="仿宋_GB2312" w:hAnsiTheme="minorHAnsi"/>
          <w:sz w:val="30"/>
          <w:szCs w:val="30"/>
          <w:lang w:val="en-US" w:eastAsia="zh-CN"/>
        </w:rPr>
        <w:t>17</w:t>
      </w:r>
      <w:r>
        <w:rPr>
          <w:rFonts w:hint="eastAsia" w:ascii="仿宋_GB2312" w:eastAsia="仿宋_GB2312" w:hAnsiTheme="minorHAnsi"/>
          <w:sz w:val="30"/>
          <w:szCs w:val="30"/>
          <w:lang w:eastAsia="zh-Hans"/>
        </w:rPr>
        <w:t>日）</w:t>
      </w:r>
      <w:r>
        <w:rPr>
          <w:rFonts w:hint="eastAsia" w:ascii="仿宋_GB2312" w:eastAsia="仿宋_GB2312"/>
          <w:sz w:val="30"/>
          <w:szCs w:val="30"/>
          <w:lang w:val="en-US" w:eastAsia="zh-CN"/>
        </w:rPr>
        <w:t>修订</w:t>
      </w:r>
    </w:p>
    <w:p w14:paraId="7C106FD9">
      <w:pPr>
        <w:spacing w:after="0" w:line="560" w:lineRule="exact"/>
        <w:ind w:firstLine="640" w:firstLineChars="200"/>
        <w:rPr>
          <w:rFonts w:hint="eastAsia" w:ascii="仿宋_GB2312" w:eastAsia="仿宋_GB2312"/>
          <w:sz w:val="32"/>
          <w:szCs w:val="32"/>
        </w:rPr>
      </w:pPr>
    </w:p>
    <w:p w14:paraId="2E4C350D">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第一条</w:t>
      </w:r>
      <w:r>
        <w:rPr>
          <w:rFonts w:hint="eastAsia" w:ascii="仿宋_GB2312" w:eastAsia="仿宋_GB2312"/>
          <w:sz w:val="32"/>
          <w:szCs w:val="32"/>
        </w:rPr>
        <w:t xml:space="preserve"> 为规范清华大学深圳国际研究生院（以下简称学院）招收、培养、管理国际学生的行为，为国际学生在学院学习提供便利，增进教育对外交流与合作，提高教育国际化水平，根据教育部《学校招收和培养国际学生管理办法》，结合学院实际，制定本办法。</w:t>
      </w:r>
    </w:p>
    <w:p w14:paraId="3C9BF73C">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第二条</w:t>
      </w:r>
      <w:r>
        <w:rPr>
          <w:rFonts w:hint="eastAsia" w:ascii="仿宋_GB2312" w:eastAsia="仿宋_GB2312"/>
          <w:sz w:val="32"/>
          <w:szCs w:val="32"/>
        </w:rPr>
        <w:t xml:space="preserve"> 本办法所称的国际学生，是指根据《中华人民共和国国籍法》不具有中国国籍，且在学院接受教育的外国学生，包括被</w:t>
      </w:r>
      <w:r>
        <w:rPr>
          <w:rFonts w:hint="eastAsia" w:ascii="仿宋_GB2312" w:eastAsia="仿宋_GB2312"/>
          <w:sz w:val="32"/>
          <w:szCs w:val="32"/>
          <w:highlight w:val="none"/>
        </w:rPr>
        <w:t>学</w:t>
      </w:r>
      <w:r>
        <w:rPr>
          <w:rFonts w:hint="eastAsia" w:ascii="仿宋_GB2312" w:eastAsia="仿宋_GB2312"/>
          <w:sz w:val="32"/>
          <w:szCs w:val="32"/>
        </w:rPr>
        <w:t>院录取、具有清华大学学籍的外国籍研究生（以下简称学位国际学生），来自签订校级或者院级学生交换协议的国际伙伴学校的交换学生，以及来华从事一段时间访问研究工作的访问学生</w:t>
      </w:r>
      <w:r>
        <w:rPr>
          <w:rFonts w:hint="eastAsia" w:ascii="仿宋_GB2312" w:eastAsia="仿宋_GB2312"/>
          <w:sz w:val="32"/>
          <w:szCs w:val="32"/>
          <w:lang w:eastAsia="zh-CN"/>
        </w:rPr>
        <w:t>，</w:t>
      </w:r>
      <w:r>
        <w:rPr>
          <w:rFonts w:hint="eastAsia" w:ascii="仿宋_GB2312" w:eastAsia="仿宋_GB2312"/>
          <w:sz w:val="32"/>
          <w:szCs w:val="32"/>
        </w:rPr>
        <w:t>交换学生</w:t>
      </w:r>
      <w:r>
        <w:rPr>
          <w:rFonts w:hint="eastAsia" w:ascii="仿宋_GB2312" w:eastAsia="仿宋_GB2312"/>
          <w:sz w:val="32"/>
          <w:szCs w:val="32"/>
          <w:lang w:eastAsia="zh-CN"/>
        </w:rPr>
        <w:t>、</w:t>
      </w:r>
      <w:r>
        <w:rPr>
          <w:rFonts w:hint="eastAsia" w:ascii="仿宋_GB2312" w:eastAsia="仿宋_GB2312"/>
          <w:sz w:val="32"/>
          <w:szCs w:val="32"/>
        </w:rPr>
        <w:t>访问学生统称专业进修生。</w:t>
      </w:r>
    </w:p>
    <w:p w14:paraId="32D73F85">
      <w:pPr>
        <w:spacing w:after="0" w:line="560" w:lineRule="exact"/>
        <w:ind w:firstLine="643" w:firstLineChars="200"/>
        <w:rPr>
          <w:rFonts w:hint="eastAsia"/>
        </w:rPr>
      </w:pPr>
      <w:r>
        <w:rPr>
          <w:rFonts w:hint="eastAsia" w:ascii="仿宋_GB2312" w:eastAsia="仿宋_GB2312"/>
          <w:b/>
          <w:bCs/>
          <w:sz w:val="32"/>
          <w:szCs w:val="32"/>
        </w:rPr>
        <w:t>第三条</w:t>
      </w:r>
      <w:r>
        <w:rPr>
          <w:rFonts w:hint="eastAsia" w:ascii="仿宋_GB2312" w:eastAsia="仿宋_GB2312"/>
          <w:sz w:val="32"/>
          <w:szCs w:val="32"/>
        </w:rPr>
        <w:t xml:space="preserve"> 全球事务办公室、培养处、学生工作办公室、总务办公室等相关部门应与各教学科研机构密切配合，做好国际学生的学习、课外活动、安全、生活等各方面的组织、管理及服务工作。</w:t>
      </w:r>
    </w:p>
    <w:p w14:paraId="40B35142">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第四条</w:t>
      </w:r>
      <w:r>
        <w:rPr>
          <w:rFonts w:hint="eastAsia" w:ascii="仿宋_GB2312" w:eastAsia="仿宋_GB2312"/>
          <w:sz w:val="32"/>
          <w:szCs w:val="32"/>
        </w:rPr>
        <w:t xml:space="preserve"> </w:t>
      </w:r>
      <w:r>
        <w:rPr>
          <w:rFonts w:hint="eastAsia" w:ascii="仿宋_GB2312" w:eastAsia="仿宋_GB2312"/>
          <w:sz w:val="32"/>
          <w:szCs w:val="32"/>
          <w:lang w:val="en-US" w:eastAsia="zh-CN"/>
        </w:rPr>
        <w:t>学位国际学生招生和专业进修生录取工作由培养处具体负责。</w:t>
      </w:r>
    </w:p>
    <w:p w14:paraId="38ACD182">
      <w:pPr>
        <w:numPr>
          <w:ilvl w:val="255"/>
          <w:numId w:val="0"/>
        </w:numPr>
        <w:spacing w:after="0" w:line="560" w:lineRule="exact"/>
        <w:ind w:firstLine="643" w:firstLineChars="200"/>
        <w:rPr>
          <w:rFonts w:hint="eastAsia" w:ascii="仿宋_GB2312" w:eastAsia="仿宋_GB2312"/>
          <w:sz w:val="32"/>
          <w:szCs w:val="32"/>
          <w:highlight w:val="none"/>
        </w:rPr>
      </w:pPr>
      <w:r>
        <w:rPr>
          <w:rFonts w:hint="eastAsia" w:ascii="仿宋_GB2312" w:eastAsia="仿宋_GB2312"/>
          <w:b/>
          <w:bCs/>
          <w:sz w:val="32"/>
          <w:szCs w:val="32"/>
          <w:highlight w:val="none"/>
        </w:rPr>
        <w:t>第五条</w:t>
      </w:r>
      <w:r>
        <w:rPr>
          <w:rFonts w:hint="eastAsia" w:ascii="仿宋_GB2312" w:eastAsia="仿宋_GB2312"/>
          <w:sz w:val="32"/>
          <w:szCs w:val="32"/>
          <w:highlight w:val="none"/>
        </w:rPr>
        <w:t xml:space="preserve"> 国际学生入学报到由全球事务办公室</w:t>
      </w:r>
      <w:r>
        <w:rPr>
          <w:rFonts w:hint="eastAsia" w:ascii="仿宋_GB2312" w:eastAsia="仿宋_GB2312"/>
          <w:sz w:val="32"/>
          <w:szCs w:val="32"/>
          <w:highlight w:val="none"/>
          <w:lang w:val="en-US" w:eastAsia="zh-CN"/>
        </w:rPr>
        <w:t>具体负责</w:t>
      </w:r>
      <w:r>
        <w:rPr>
          <w:rFonts w:hint="eastAsia" w:ascii="仿宋_GB2312" w:eastAsia="仿宋_GB2312"/>
          <w:sz w:val="32"/>
          <w:szCs w:val="32"/>
          <w:highlight w:val="none"/>
        </w:rPr>
        <w:t>。</w:t>
      </w:r>
    </w:p>
    <w:p w14:paraId="655AD365">
      <w:pPr>
        <w:numPr>
          <w:ilvl w:val="255"/>
          <w:numId w:val="0"/>
        </w:num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第六条</w:t>
      </w:r>
      <w:r>
        <w:rPr>
          <w:rFonts w:hint="eastAsia" w:ascii="仿宋_GB2312" w:eastAsia="仿宋_GB2312"/>
          <w:sz w:val="32"/>
          <w:szCs w:val="32"/>
        </w:rPr>
        <w:t xml:space="preserve"> 学位国际学生的学籍管理工作，按照清华大学有关国际学生的学籍管理规定，由培养处归口管理。</w:t>
      </w:r>
    </w:p>
    <w:p w14:paraId="422A8014">
      <w:pPr>
        <w:numPr>
          <w:ilvl w:val="255"/>
          <w:numId w:val="0"/>
        </w:num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第七条</w:t>
      </w:r>
      <w:r>
        <w:rPr>
          <w:rFonts w:hint="eastAsia" w:ascii="仿宋_GB2312" w:eastAsia="仿宋_GB2312"/>
          <w:sz w:val="32"/>
          <w:szCs w:val="32"/>
        </w:rPr>
        <w:t xml:space="preserve"> </w:t>
      </w:r>
      <w:r>
        <w:rPr>
          <w:rFonts w:ascii="仿宋_GB2312" w:eastAsia="仿宋_GB2312"/>
          <w:sz w:val="32"/>
          <w:szCs w:val="32"/>
        </w:rPr>
        <w:t>进入各专业学习的</w:t>
      </w:r>
      <w:r>
        <w:rPr>
          <w:rFonts w:hint="eastAsia" w:ascii="仿宋_GB2312" w:eastAsia="仿宋_GB2312"/>
          <w:sz w:val="32"/>
          <w:szCs w:val="32"/>
          <w:lang w:val="en-US" w:eastAsia="zh-CN"/>
        </w:rPr>
        <w:t>专业</w:t>
      </w:r>
      <w:r>
        <w:rPr>
          <w:rFonts w:ascii="仿宋_GB2312" w:eastAsia="仿宋_GB2312"/>
          <w:sz w:val="32"/>
          <w:szCs w:val="32"/>
        </w:rPr>
        <w:t>进修生，由指导教师安排研究工作。学院可按照派出学校要求，根据实际情况出具学生学习或科研的证明</w:t>
      </w:r>
      <w:r>
        <w:rPr>
          <w:rFonts w:hint="eastAsia" w:ascii="仿宋_GB2312" w:eastAsia="仿宋_GB2312"/>
          <w:sz w:val="32"/>
          <w:szCs w:val="32"/>
          <w:lang w:val="en-US" w:eastAsia="zh-CN"/>
        </w:rPr>
        <w:t>材料</w:t>
      </w:r>
      <w:r>
        <w:rPr>
          <w:rFonts w:ascii="仿宋_GB2312" w:eastAsia="仿宋_GB2312"/>
          <w:sz w:val="32"/>
          <w:szCs w:val="32"/>
        </w:rPr>
        <w:t>。</w:t>
      </w:r>
    </w:p>
    <w:p w14:paraId="2E6C013A">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第八条</w:t>
      </w:r>
      <w:r>
        <w:rPr>
          <w:rFonts w:hint="eastAsia" w:ascii="仿宋_GB2312" w:eastAsia="仿宋_GB2312"/>
          <w:b w:val="0"/>
          <w:bCs w:val="0"/>
          <w:sz w:val="32"/>
          <w:szCs w:val="32"/>
        </w:rPr>
        <w:t xml:space="preserve"> </w:t>
      </w:r>
      <w:r>
        <w:rPr>
          <w:rFonts w:hint="eastAsia" w:ascii="仿宋_GB2312" w:eastAsia="仿宋_GB2312"/>
          <w:sz w:val="32"/>
          <w:szCs w:val="32"/>
        </w:rPr>
        <w:t>国际学生生活补贴由培养处</w:t>
      </w:r>
      <w:r>
        <w:rPr>
          <w:rFonts w:hint="eastAsia" w:ascii="仿宋_GB2312" w:eastAsia="仿宋_GB2312"/>
          <w:sz w:val="32"/>
          <w:szCs w:val="32"/>
          <w:lang w:val="en-US" w:eastAsia="zh-CN"/>
        </w:rPr>
        <w:t>负责</w:t>
      </w:r>
      <w:r>
        <w:rPr>
          <w:rFonts w:hint="eastAsia" w:ascii="仿宋_GB2312" w:eastAsia="仿宋_GB2312"/>
          <w:sz w:val="32"/>
          <w:szCs w:val="32"/>
        </w:rPr>
        <w:t>管理。</w:t>
      </w:r>
    </w:p>
    <w:p w14:paraId="6E828C2F">
      <w:pPr>
        <w:spacing w:after="0" w:line="560" w:lineRule="exact"/>
        <w:ind w:firstLine="643" w:firstLineChars="200"/>
        <w:rPr>
          <w:rFonts w:hint="eastAsia" w:ascii="仿宋_GB2312" w:eastAsia="仿宋_GB2312"/>
          <w:sz w:val="32"/>
          <w:szCs w:val="32"/>
          <w:highlight w:val="none"/>
        </w:rPr>
      </w:pPr>
      <w:r>
        <w:rPr>
          <w:rFonts w:hint="eastAsia" w:ascii="仿宋_GB2312" w:eastAsia="仿宋_GB2312"/>
          <w:b/>
          <w:bCs/>
          <w:sz w:val="32"/>
          <w:szCs w:val="32"/>
          <w:highlight w:val="none"/>
        </w:rPr>
        <w:t>第九条</w:t>
      </w:r>
      <w:r>
        <w:rPr>
          <w:rFonts w:hint="eastAsia" w:ascii="仿宋_GB2312" w:eastAsia="仿宋_GB2312"/>
          <w:sz w:val="32"/>
          <w:szCs w:val="32"/>
          <w:highlight w:val="none"/>
        </w:rPr>
        <w:t xml:space="preserve"> 国际学生入境事务等涉外管理和服务工作由全球事务办公室具体负责。</w:t>
      </w:r>
    </w:p>
    <w:p w14:paraId="6171550D">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第十条</w:t>
      </w:r>
      <w:r>
        <w:rPr>
          <w:rFonts w:hint="eastAsia" w:ascii="仿宋_GB2312" w:eastAsia="仿宋_GB2312"/>
          <w:sz w:val="32"/>
          <w:szCs w:val="32"/>
        </w:rPr>
        <w:t xml:space="preserve"> 教学科研机构负责国际学生签证材料初审、基础数据管理，组织落实国际学生考勤，及时反馈国际学生动态。</w:t>
      </w:r>
    </w:p>
    <w:p w14:paraId="1824F06A">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第十一条</w:t>
      </w:r>
      <w:r>
        <w:rPr>
          <w:rFonts w:hint="eastAsia" w:ascii="仿宋_GB2312" w:eastAsia="仿宋_GB2312"/>
          <w:sz w:val="32"/>
          <w:szCs w:val="32"/>
        </w:rPr>
        <w:t xml:space="preserve"> 国际学生的收费项目和标准，按照清华大学和深圳市有关规定执行。</w:t>
      </w:r>
    </w:p>
    <w:p w14:paraId="6EF5E09D">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第十二条</w:t>
      </w:r>
      <w:r>
        <w:rPr>
          <w:rFonts w:hint="eastAsia" w:ascii="仿宋_GB2312" w:eastAsia="仿宋_GB2312"/>
          <w:sz w:val="32"/>
          <w:szCs w:val="32"/>
        </w:rPr>
        <w:t xml:space="preserve"> 国际学生在华期间必须按照国家有关规定和学校要求投保。</w:t>
      </w:r>
    </w:p>
    <w:p w14:paraId="4062E553">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第十三条</w:t>
      </w:r>
      <w:r>
        <w:rPr>
          <w:rFonts w:hint="eastAsia" w:ascii="仿宋_GB2312" w:eastAsia="仿宋_GB2312"/>
          <w:sz w:val="32"/>
          <w:szCs w:val="32"/>
        </w:rPr>
        <w:t xml:space="preserve"> 学院鼓励国际学生参加有益于身心健康的文体活动，为其参加文体活动提供便利条件。国际学生可以自愿参加公益活动、中国重大节日的庆祝活动。</w:t>
      </w:r>
    </w:p>
    <w:p w14:paraId="07FDAB68">
      <w:pPr>
        <w:spacing w:after="0" w:line="560" w:lineRule="exact"/>
        <w:ind w:firstLine="643" w:firstLineChars="200"/>
        <w:rPr>
          <w:rFonts w:hint="eastAsia" w:ascii="仿宋_GB2312" w:hAnsi="仿宋_GB2312" w:eastAsia="仿宋_GB2312" w:cs="仿宋_GB2312"/>
          <w:color w:val="333333"/>
          <w:sz w:val="32"/>
          <w:szCs w:val="32"/>
          <w:shd w:val="clear" w:color="auto" w:fill="FFFFFF"/>
        </w:rPr>
      </w:pPr>
      <w:r>
        <w:rPr>
          <w:rFonts w:hint="eastAsia" w:ascii="仿宋_GB2312" w:eastAsia="仿宋_GB2312"/>
          <w:b/>
          <w:bCs/>
          <w:sz w:val="32"/>
          <w:szCs w:val="32"/>
        </w:rPr>
        <w:t>第十四条</w:t>
      </w:r>
      <w:r>
        <w:rPr>
          <w:rFonts w:hint="eastAsia" w:ascii="仿宋_GB2312" w:eastAsia="仿宋_GB2312"/>
          <w:sz w:val="32"/>
          <w:szCs w:val="32"/>
        </w:rPr>
        <w:t xml:space="preserve"> 学院尊重国际学生的民族习俗和宗教信仰，但不提供宗教活动场所。在院期间不得进行传教、宗教聚会等活动。</w:t>
      </w:r>
    </w:p>
    <w:p w14:paraId="0D4ECE21">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第十五条</w:t>
      </w:r>
      <w:r>
        <w:rPr>
          <w:rFonts w:hint="eastAsia" w:ascii="仿宋_GB2312" w:eastAsia="仿宋_GB2312"/>
          <w:sz w:val="32"/>
          <w:szCs w:val="32"/>
        </w:rPr>
        <w:t xml:space="preserve"> 学院为国际学生提供食宿等必要的生活服务设施。住宿管理按照</w:t>
      </w:r>
      <w:r>
        <w:rPr>
          <w:rFonts w:hint="eastAsia" w:ascii="仿宋_GB2312" w:eastAsia="仿宋_GB2312"/>
          <w:sz w:val="32"/>
          <w:szCs w:val="32"/>
          <w:lang w:val="en-US" w:eastAsia="zh-CN"/>
        </w:rPr>
        <w:t>学院</w:t>
      </w:r>
      <w:r>
        <w:rPr>
          <w:rFonts w:hint="eastAsia" w:ascii="仿宋_GB2312" w:eastAsia="仿宋_GB2312"/>
          <w:sz w:val="32"/>
          <w:szCs w:val="32"/>
        </w:rPr>
        <w:t>学生公寓住宿管理</w:t>
      </w:r>
      <w:r>
        <w:rPr>
          <w:rFonts w:hint="eastAsia" w:ascii="仿宋_GB2312" w:eastAsia="仿宋_GB2312"/>
          <w:sz w:val="32"/>
          <w:szCs w:val="32"/>
          <w:lang w:val="en-US" w:eastAsia="zh-CN"/>
        </w:rPr>
        <w:t>有关规定</w:t>
      </w:r>
      <w:r>
        <w:rPr>
          <w:rFonts w:hint="eastAsia" w:ascii="仿宋_GB2312" w:eastAsia="仿宋_GB2312"/>
          <w:sz w:val="32"/>
          <w:szCs w:val="32"/>
        </w:rPr>
        <w:t>执行。</w:t>
      </w:r>
    </w:p>
    <w:p w14:paraId="247A1162">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第十六条</w:t>
      </w:r>
      <w:r>
        <w:rPr>
          <w:rFonts w:hint="eastAsia" w:ascii="仿宋_GB2312" w:eastAsia="仿宋_GB2312"/>
          <w:sz w:val="32"/>
          <w:szCs w:val="32"/>
        </w:rPr>
        <w:t xml:space="preserve"> 国际学生在</w:t>
      </w:r>
      <w:r>
        <w:rPr>
          <w:rFonts w:hint="eastAsia" w:ascii="仿宋_GB2312" w:eastAsia="仿宋_GB2312"/>
          <w:sz w:val="32"/>
          <w:szCs w:val="32"/>
          <w:lang w:val="en-US" w:eastAsia="zh-CN"/>
        </w:rPr>
        <w:t>学院</w:t>
      </w:r>
      <w:r>
        <w:rPr>
          <w:rFonts w:hint="eastAsia" w:ascii="仿宋_GB2312" w:eastAsia="仿宋_GB2312"/>
          <w:sz w:val="32"/>
          <w:szCs w:val="32"/>
        </w:rPr>
        <w:t>学习期间可以参加勤工助学活动，但不得就业、经商或从事其他经营性活动。</w:t>
      </w:r>
    </w:p>
    <w:p w14:paraId="0025FD57">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第十七条</w:t>
      </w:r>
      <w:r>
        <w:rPr>
          <w:rFonts w:hint="eastAsia" w:ascii="仿宋_GB2312" w:eastAsia="仿宋_GB2312"/>
          <w:sz w:val="32"/>
          <w:szCs w:val="32"/>
        </w:rPr>
        <w:t xml:space="preserve"> 国际学生如需在</w:t>
      </w:r>
      <w:r>
        <w:rPr>
          <w:rFonts w:hint="eastAsia" w:ascii="仿宋_GB2312" w:eastAsia="仿宋_GB2312"/>
          <w:sz w:val="32"/>
          <w:szCs w:val="32"/>
          <w:lang w:val="en-US" w:eastAsia="zh-CN"/>
        </w:rPr>
        <w:t>院</w:t>
      </w:r>
      <w:r>
        <w:rPr>
          <w:rFonts w:hint="eastAsia" w:ascii="仿宋_GB2312" w:eastAsia="仿宋_GB2312"/>
          <w:sz w:val="32"/>
          <w:szCs w:val="32"/>
        </w:rPr>
        <w:t>外实习，须提前办理居留证件实习加注。接收单位及企业必须安排专人进行指导和管理，并负责访问期间国际学生的人身安全。</w:t>
      </w:r>
    </w:p>
    <w:p w14:paraId="263FDAF8">
      <w:pPr>
        <w:spacing w:after="0" w:line="560" w:lineRule="exact"/>
        <w:ind w:firstLine="643" w:firstLineChars="200"/>
        <w:rPr>
          <w:rFonts w:hint="eastAsia" w:ascii="仿宋_GB2312" w:eastAsia="仿宋_GB2312"/>
          <w:sz w:val="32"/>
          <w:szCs w:val="32"/>
        </w:rPr>
      </w:pPr>
      <w:r>
        <w:rPr>
          <w:rFonts w:hint="eastAsia" w:ascii="仿宋_GB2312" w:eastAsia="仿宋_GB2312"/>
          <w:b/>
          <w:bCs/>
          <w:sz w:val="32"/>
          <w:szCs w:val="32"/>
        </w:rPr>
        <w:t>第十</w:t>
      </w:r>
      <w:r>
        <w:rPr>
          <w:rFonts w:hint="eastAsia" w:ascii="仿宋_GB2312" w:eastAsia="仿宋_GB2312"/>
          <w:b/>
          <w:bCs/>
          <w:sz w:val="32"/>
          <w:szCs w:val="32"/>
          <w:lang w:val="en-US" w:eastAsia="zh-CN"/>
        </w:rPr>
        <w:t>八</w:t>
      </w:r>
      <w:r>
        <w:rPr>
          <w:rFonts w:hint="eastAsia" w:ascii="仿宋_GB2312" w:eastAsia="仿宋_GB2312"/>
          <w:b/>
          <w:bCs/>
          <w:sz w:val="32"/>
          <w:szCs w:val="32"/>
        </w:rPr>
        <w:t>条</w:t>
      </w:r>
      <w:r>
        <w:rPr>
          <w:rFonts w:hint="eastAsia" w:ascii="仿宋_GB2312" w:eastAsia="仿宋_GB2312"/>
          <w:sz w:val="32"/>
          <w:szCs w:val="32"/>
        </w:rPr>
        <w:t xml:space="preserve"> 本办法由全球事务办公室负责解释。</w:t>
      </w:r>
    </w:p>
    <w:p w14:paraId="45C2DFED">
      <w:pPr>
        <w:spacing w:after="0" w:line="560" w:lineRule="exact"/>
        <w:ind w:firstLine="643" w:firstLineChars="200"/>
        <w:rPr>
          <w:rFonts w:hint="eastAsia"/>
        </w:rPr>
      </w:pPr>
      <w:r>
        <w:rPr>
          <w:rFonts w:hint="eastAsia" w:ascii="仿宋_GB2312" w:eastAsia="仿宋_GB2312"/>
          <w:b/>
          <w:bCs/>
          <w:sz w:val="32"/>
          <w:szCs w:val="32"/>
        </w:rPr>
        <w:t>第十</w:t>
      </w:r>
      <w:r>
        <w:rPr>
          <w:rFonts w:hint="eastAsia" w:ascii="仿宋_GB2312" w:eastAsia="仿宋_GB2312"/>
          <w:b/>
          <w:bCs/>
          <w:sz w:val="32"/>
          <w:szCs w:val="32"/>
          <w:lang w:val="en-US" w:eastAsia="zh-CN"/>
        </w:rPr>
        <w:t>九</w:t>
      </w:r>
      <w:r>
        <w:rPr>
          <w:rFonts w:hint="eastAsia" w:ascii="仿宋_GB2312" w:eastAsia="仿宋_GB2312"/>
          <w:b/>
          <w:bCs/>
          <w:sz w:val="32"/>
          <w:szCs w:val="32"/>
        </w:rPr>
        <w:t>条</w:t>
      </w:r>
      <w:r>
        <w:rPr>
          <w:rFonts w:hint="eastAsia" w:ascii="仿宋_GB2312" w:eastAsia="仿宋_GB2312"/>
          <w:sz w:val="32"/>
          <w:szCs w:val="32"/>
        </w:rPr>
        <w:t xml:space="preserve"> 本办法自公布之日起施行</w:t>
      </w:r>
      <w:r>
        <w:rPr>
          <w:rFonts w:hint="eastAsia" w:ascii="仿宋_GB2312" w:eastAsia="仿宋_GB2312"/>
          <w:sz w:val="32"/>
          <w:szCs w:val="32"/>
          <w:lang w:eastAsia="zh-CN"/>
        </w:rPr>
        <w:t>。</w:t>
      </w:r>
    </w:p>
    <w:sectPr>
      <w:footerReference r:id="rId5" w:type="default"/>
      <w:pgSz w:w="11906" w:h="16838"/>
      <w:pgMar w:top="1440" w:right="1746" w:bottom="1440" w:left="1746"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7AFF">
    <w:pPr>
      <w:pStyle w:val="12"/>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99F19">
                          <w:pPr>
                            <w:pStyle w:val="12"/>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BB99F19">
                    <w:pPr>
                      <w:pStyle w:val="12"/>
                      <w:rPr>
                        <w:rFonts w:hint="eastAsia"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912"/>
    <w:rsid w:val="000E70C4"/>
    <w:rsid w:val="00160242"/>
    <w:rsid w:val="00276288"/>
    <w:rsid w:val="003A1288"/>
    <w:rsid w:val="00464714"/>
    <w:rsid w:val="004650BA"/>
    <w:rsid w:val="00466F42"/>
    <w:rsid w:val="005672BE"/>
    <w:rsid w:val="005819FC"/>
    <w:rsid w:val="005B5E1A"/>
    <w:rsid w:val="005C212B"/>
    <w:rsid w:val="005F6163"/>
    <w:rsid w:val="00611F31"/>
    <w:rsid w:val="00651A30"/>
    <w:rsid w:val="00726129"/>
    <w:rsid w:val="007543B6"/>
    <w:rsid w:val="007D7515"/>
    <w:rsid w:val="008153DB"/>
    <w:rsid w:val="009C062E"/>
    <w:rsid w:val="009C6C43"/>
    <w:rsid w:val="00AB2D61"/>
    <w:rsid w:val="00AE5912"/>
    <w:rsid w:val="00B30017"/>
    <w:rsid w:val="00B614D0"/>
    <w:rsid w:val="00BA3849"/>
    <w:rsid w:val="00C93C65"/>
    <w:rsid w:val="00CB5D51"/>
    <w:rsid w:val="00DA454F"/>
    <w:rsid w:val="00E67402"/>
    <w:rsid w:val="00EB5A43"/>
    <w:rsid w:val="00F81648"/>
    <w:rsid w:val="00FE64A2"/>
    <w:rsid w:val="00FF730D"/>
    <w:rsid w:val="06813824"/>
    <w:rsid w:val="0AD83203"/>
    <w:rsid w:val="0AE84FF2"/>
    <w:rsid w:val="0B323AEC"/>
    <w:rsid w:val="0B335E2A"/>
    <w:rsid w:val="0DA75331"/>
    <w:rsid w:val="0E7A53A4"/>
    <w:rsid w:val="0ECB666C"/>
    <w:rsid w:val="0F39623B"/>
    <w:rsid w:val="105477D0"/>
    <w:rsid w:val="11462FD9"/>
    <w:rsid w:val="1191235E"/>
    <w:rsid w:val="11A52A60"/>
    <w:rsid w:val="1517701E"/>
    <w:rsid w:val="1588725F"/>
    <w:rsid w:val="1AA41354"/>
    <w:rsid w:val="1ADE4254"/>
    <w:rsid w:val="1B192484"/>
    <w:rsid w:val="229A60AD"/>
    <w:rsid w:val="26E541DF"/>
    <w:rsid w:val="2E36374D"/>
    <w:rsid w:val="2E5F07FF"/>
    <w:rsid w:val="2FA45F37"/>
    <w:rsid w:val="2FED29FE"/>
    <w:rsid w:val="37D074F3"/>
    <w:rsid w:val="38F52709"/>
    <w:rsid w:val="3A6E6DEA"/>
    <w:rsid w:val="3ADD7202"/>
    <w:rsid w:val="3AE752A4"/>
    <w:rsid w:val="3C756255"/>
    <w:rsid w:val="3E3B831E"/>
    <w:rsid w:val="4097633A"/>
    <w:rsid w:val="412E05E0"/>
    <w:rsid w:val="439E42E3"/>
    <w:rsid w:val="44EE3048"/>
    <w:rsid w:val="472B40E0"/>
    <w:rsid w:val="47C1559E"/>
    <w:rsid w:val="486401D4"/>
    <w:rsid w:val="49AB1508"/>
    <w:rsid w:val="4AB50890"/>
    <w:rsid w:val="4E1458CD"/>
    <w:rsid w:val="56896AC4"/>
    <w:rsid w:val="58ED7447"/>
    <w:rsid w:val="599E394D"/>
    <w:rsid w:val="5B6010E5"/>
    <w:rsid w:val="60F0013B"/>
    <w:rsid w:val="62BC3044"/>
    <w:rsid w:val="63242567"/>
    <w:rsid w:val="67544B35"/>
    <w:rsid w:val="695A3BB1"/>
    <w:rsid w:val="6A2632B2"/>
    <w:rsid w:val="6D0F1D09"/>
    <w:rsid w:val="6D943EDD"/>
    <w:rsid w:val="6EBD76D7"/>
    <w:rsid w:val="6FFF4B7A"/>
    <w:rsid w:val="720A137D"/>
    <w:rsid w:val="72574E94"/>
    <w:rsid w:val="72D54D7C"/>
    <w:rsid w:val="73C60B68"/>
    <w:rsid w:val="73FF9D55"/>
    <w:rsid w:val="73FFBF77"/>
    <w:rsid w:val="76342DF5"/>
    <w:rsid w:val="798132AD"/>
    <w:rsid w:val="7EBBA00E"/>
    <w:rsid w:val="7FFF4060"/>
    <w:rsid w:val="97EB3CD0"/>
    <w:rsid w:val="CC7D9848"/>
    <w:rsid w:val="D5793B43"/>
    <w:rsid w:val="D5FF5628"/>
    <w:rsid w:val="DF7F6437"/>
    <w:rsid w:val="EDF1514E"/>
    <w:rsid w:val="F3F9A5FD"/>
    <w:rsid w:val="F4F696C6"/>
    <w:rsid w:val="FBBFED76"/>
    <w:rsid w:val="FDD82E9B"/>
    <w:rsid w:val="FEEF816A"/>
    <w:rsid w:val="FF5C2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3"/>
    <w:unhideWhenUsed/>
    <w:qFormat/>
    <w:uiPriority w:val="99"/>
  </w:style>
  <w:style w:type="paragraph" w:styleId="12">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4"/>
    <w:semiHidden/>
    <w:unhideWhenUsed/>
    <w:qFormat/>
    <w:uiPriority w:val="99"/>
    <w:rPr>
      <w:b/>
      <w:bCs/>
    </w:rPr>
  </w:style>
  <w:style w:type="character" w:styleId="19">
    <w:name w:val="annotation reference"/>
    <w:basedOn w:val="18"/>
    <w:semiHidden/>
    <w:unhideWhenUsed/>
    <w:qFormat/>
    <w:uiPriority w:val="99"/>
    <w:rPr>
      <w:sz w:val="21"/>
      <w:szCs w:val="21"/>
    </w:rPr>
  </w:style>
  <w:style w:type="character" w:customStyle="1" w:styleId="20">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semiHidden/>
    <w:qFormat/>
    <w:uiPriority w:val="9"/>
    <w:rPr>
      <w:rFonts w:cstheme="majorBidi"/>
      <w:color w:val="2F5597" w:themeColor="accent1" w:themeShade="BF"/>
      <w:sz w:val="28"/>
      <w:szCs w:val="28"/>
    </w:rPr>
  </w:style>
  <w:style w:type="character" w:customStyle="1" w:styleId="24">
    <w:name w:val="标题 5 字符"/>
    <w:basedOn w:val="18"/>
    <w:link w:val="6"/>
    <w:semiHidden/>
    <w:qFormat/>
    <w:uiPriority w:val="9"/>
    <w:rPr>
      <w:rFonts w:cstheme="majorBidi"/>
      <w:color w:val="2F5597" w:themeColor="accent1" w:themeShade="BF"/>
      <w:sz w:val="24"/>
    </w:rPr>
  </w:style>
  <w:style w:type="character" w:customStyle="1" w:styleId="25">
    <w:name w:val="标题 6 字符"/>
    <w:basedOn w:val="18"/>
    <w:link w:val="7"/>
    <w:semiHidden/>
    <w:qFormat/>
    <w:uiPriority w:val="9"/>
    <w:rPr>
      <w:rFonts w:cstheme="majorBidi"/>
      <w:b/>
      <w:bCs/>
      <w:color w:val="2F5597"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8"/>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明显参考1"/>
    <w:basedOn w:val="18"/>
    <w:qFormat/>
    <w:uiPriority w:val="32"/>
    <w:rPr>
      <w:b/>
      <w:bCs/>
      <w:smallCaps/>
      <w:color w:val="2F5597" w:themeColor="accent1" w:themeShade="BF"/>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 w:type="paragraph" w:customStyle="1" w:styleId="40">
    <w:name w:val="修订1"/>
    <w:hidden/>
    <w:semiHidden/>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1">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2">
    <w:name w:val="修订3"/>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43">
    <w:name w:val="批注文字 字符"/>
    <w:basedOn w:val="18"/>
    <w:link w:val="11"/>
    <w:qFormat/>
    <w:uiPriority w:val="99"/>
    <w:rPr>
      <w:kern w:val="2"/>
      <w:sz w:val="22"/>
      <w:szCs w:val="24"/>
      <w14:ligatures w14:val="standardContextual"/>
    </w:rPr>
  </w:style>
  <w:style w:type="character" w:customStyle="1" w:styleId="44">
    <w:name w:val="批注主题 字符"/>
    <w:basedOn w:val="43"/>
    <w:link w:val="16"/>
    <w:semiHidden/>
    <w:qFormat/>
    <w:uiPriority w:val="99"/>
    <w:rPr>
      <w:b/>
      <w:bCs/>
      <w:kern w:val="2"/>
      <w:sz w:val="22"/>
      <w:szCs w:val="24"/>
      <w14:ligatures w14:val="standardContextual"/>
    </w:rPr>
  </w:style>
  <w:style w:type="paragraph" w:customStyle="1" w:styleId="45">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7F53EB-E642-476C-9A69-C091622F5B1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538</Words>
  <Characters>550</Characters>
  <Lines>88</Lines>
  <Paragraphs>80</Paragraphs>
  <TotalTime>0</TotalTime>
  <ScaleCrop>false</ScaleCrop>
  <LinksUpToDate>false</LinksUpToDate>
  <CharactersWithSpaces>557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2025-11-30T02:29:00Z</dcterms:created>
  <dc:creator>COOKIE J</dc:creator>
  <cp:lastModifiedBy>maojie</cp:lastModifiedBy>
  <dcterms:modified xsi:type="dcterms:W3CDTF">2026-01-27T05:54:02Z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85fede04-489d-4a62-a91c-16f8d12c736c</vt:lpwstr>
  </property>
  <property fmtid="{D5CDD505-2E9C-101B-9397-08002B2CF9AE}" pid="3" name="KSOTemplateDocerSaveRecord">
    <vt:lpwstr>eyJoZGlkIjoiM2M1MTExOWE5ZGVmNzcwM2FhZDgzMTI4OGU2OGRiOWMiLCJ1c2VySWQiOiIyNDk0NzU3ODcifQ==</vt:lpwstr>
  </property>
  <property fmtid="{D5CDD505-2E9C-101B-9397-08002B2CF9AE}" pid="4" name="KSOProductBuildVer">
    <vt:lpwstr>2052-12.1.0.24034</vt:lpwstr>
  </property>
  <property fmtid="{D5CDD505-2E9C-101B-9397-08002B2CF9AE}" pid="5" name="ICV">
    <vt:lpwstr>7286ADDE50644E0FAF23027C20337E5E_13</vt:lpwstr>
  </property>
</Properties>
</file>