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BEBF5">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snapToGrid/>
          <w:color w:val="000000"/>
          <w:kern w:val="2"/>
          <w:sz w:val="32"/>
          <w:szCs w:val="32"/>
          <w:lang w:val="en-US" w:eastAsia="zh-CN"/>
        </w:rPr>
      </w:pPr>
    </w:p>
    <w:p w14:paraId="58C7B635">
      <w:pPr>
        <w:widowControl w:val="0"/>
        <w:kinsoku/>
        <w:autoSpaceDE/>
        <w:autoSpaceDN/>
        <w:adjustRightInd/>
        <w:snapToGrid/>
        <w:spacing w:after="0" w:afterLines="0" w:line="560" w:lineRule="exact"/>
        <w:ind w:firstLine="0" w:firstLineChars="0"/>
        <w:jc w:val="right"/>
        <w:textAlignment w:val="auto"/>
      </w:pPr>
      <w:r>
        <w:rPr>
          <w:rFonts w:hint="eastAsia" w:ascii="仿宋_GB2312" w:hAnsi="仿宋_GB2312" w:eastAsia="仿宋_GB2312" w:cs="仿宋_GB2312"/>
          <w:snapToGrid/>
          <w:color w:val="000000"/>
          <w:kern w:val="2"/>
          <w:sz w:val="32"/>
          <w:szCs w:val="32"/>
          <w:lang w:val="en-US" w:eastAsia="zh-CN"/>
        </w:rPr>
        <w:t>清深国院规〔2026〕57</w:t>
      </w:r>
      <w:bookmarkStart w:id="0" w:name="_GoBack"/>
      <w:bookmarkEnd w:id="0"/>
      <w:r>
        <w:rPr>
          <w:rFonts w:hint="eastAsia" w:ascii="仿宋_GB2312" w:hAnsi="仿宋_GB2312" w:eastAsia="仿宋_GB2312" w:cs="仿宋_GB2312"/>
          <w:snapToGrid/>
          <w:color w:val="000000"/>
          <w:kern w:val="2"/>
          <w:sz w:val="32"/>
          <w:szCs w:val="32"/>
          <w:lang w:val="en-US" w:eastAsia="zh-CN"/>
        </w:rPr>
        <w:t>号</w:t>
      </w:r>
    </w:p>
    <w:p w14:paraId="31AE69C8">
      <w:pPr>
        <w:widowControl w:val="0"/>
        <w:kinsoku/>
        <w:autoSpaceDE/>
        <w:autoSpaceDN/>
        <w:adjustRightInd/>
        <w:snapToGrid/>
        <w:spacing w:after="0" w:afterLines="0" w:line="560" w:lineRule="exact"/>
        <w:ind w:firstLine="0" w:firstLineChars="0"/>
        <w:jc w:val="right"/>
        <w:textAlignment w:val="auto"/>
        <w:rPr>
          <w:rFonts w:hint="eastAsia" w:ascii="仿宋_GB2312" w:hAnsi="仿宋_GB2312" w:eastAsia="仿宋_GB2312" w:cs="仿宋_GB2312"/>
          <w:b w:val="0"/>
          <w:bCs w:val="0"/>
          <w:kern w:val="44"/>
          <w:sz w:val="32"/>
          <w:szCs w:val="32"/>
        </w:rPr>
      </w:pPr>
    </w:p>
    <w:p w14:paraId="73B5F69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kern w:val="44"/>
          <w:sz w:val="44"/>
          <w:szCs w:val="44"/>
        </w:rPr>
      </w:pPr>
      <w:r>
        <w:rPr>
          <w:rFonts w:hint="eastAsia" w:ascii="方正小标宋简体" w:hAnsi="方正小标宋简体" w:eastAsia="方正小标宋简体" w:cs="方正小标宋简体"/>
          <w:b w:val="0"/>
          <w:bCs w:val="0"/>
          <w:kern w:val="44"/>
          <w:sz w:val="44"/>
          <w:szCs w:val="44"/>
        </w:rPr>
        <w:t>清华大学深圳国际研究生院预算绩效管理实施办法</w:t>
      </w:r>
    </w:p>
    <w:p w14:paraId="3596049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二〇二三年第一次院务会（2023年1月2日）审议通过</w:t>
      </w:r>
    </w:p>
    <w:p w14:paraId="190EDD1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二〇二六年第十五次党政联席会议（2026年5月5日）修订</w:t>
      </w:r>
    </w:p>
    <w:p w14:paraId="69A9BD1C">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ascii="黑体" w:hAnsi="黑体" w:eastAsia="黑体" w:cs="Times New Roman"/>
          <w:sz w:val="32"/>
          <w:szCs w:val="32"/>
        </w:rPr>
      </w:pPr>
    </w:p>
    <w:p w14:paraId="7A3084EF">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ascii="黑体" w:hAnsi="黑体" w:eastAsia="黑体" w:cs="Times New Roman"/>
          <w:sz w:val="32"/>
          <w:szCs w:val="32"/>
        </w:rPr>
      </w:pPr>
      <w:r>
        <w:rPr>
          <w:rFonts w:ascii="黑体" w:hAnsi="黑体" w:eastAsia="黑体" w:cs="Times New Roman"/>
          <w:sz w:val="32"/>
          <w:szCs w:val="32"/>
        </w:rPr>
        <w:t>第一章 总则</w:t>
      </w:r>
    </w:p>
    <w:p w14:paraId="37725436">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Times New Roman" w:cs="Times New Roman"/>
          <w:bCs/>
          <w:sz w:val="32"/>
          <w:szCs w:val="32"/>
        </w:rPr>
      </w:pPr>
      <w:r>
        <w:rPr>
          <w:rFonts w:hint="eastAsia" w:ascii="仿宋_GB2312" w:hAnsi="Times New Roman" w:cs="Times New Roman"/>
          <w:b/>
          <w:bCs w:val="0"/>
          <w:sz w:val="32"/>
          <w:szCs w:val="32"/>
          <w:lang w:val="en-US" w:eastAsia="zh-CN"/>
        </w:rPr>
        <w:t>第一条</w:t>
      </w:r>
      <w:r>
        <w:rPr>
          <w:rFonts w:hint="eastAsia" w:ascii="仿宋_GB2312" w:hAnsi="Times New Roman" w:cs="Times New Roman"/>
          <w:bCs/>
          <w:sz w:val="32"/>
          <w:szCs w:val="32"/>
          <w:lang w:val="en-US" w:eastAsia="zh-CN"/>
        </w:rPr>
        <w:t xml:space="preserve"> </w:t>
      </w:r>
      <w:r>
        <w:rPr>
          <w:rFonts w:ascii="仿宋_GB2312" w:hAnsi="Times New Roman" w:cs="Times New Roman"/>
          <w:bCs/>
          <w:sz w:val="32"/>
          <w:szCs w:val="32"/>
        </w:rPr>
        <w:t>为</w:t>
      </w:r>
      <w:r>
        <w:rPr>
          <w:rFonts w:hint="eastAsia" w:ascii="仿宋_GB2312" w:hAnsi="Times New Roman" w:cs="Times New Roman"/>
          <w:bCs/>
          <w:sz w:val="32"/>
          <w:szCs w:val="32"/>
          <w:lang w:val="en-US" w:eastAsia="zh-CN"/>
        </w:rPr>
        <w:t>了深入贯彻落实</w:t>
      </w:r>
      <w:r>
        <w:rPr>
          <w:rFonts w:hint="eastAsia" w:ascii="仿宋_GB2312" w:hAnsi="Times New Roman" w:cs="Times New Roman"/>
          <w:bCs/>
          <w:sz w:val="32"/>
          <w:szCs w:val="32"/>
        </w:rPr>
        <w:t>《中共中央 国务院关于全面实施预算绩效管理的意见》（中发〔2018〕34号）</w:t>
      </w:r>
      <w:r>
        <w:rPr>
          <w:rFonts w:hint="eastAsia" w:ascii="仿宋_GB2312" w:hAnsi="Times New Roman" w:cs="Times New Roman"/>
          <w:bCs/>
          <w:sz w:val="32"/>
          <w:szCs w:val="32"/>
          <w:lang w:val="en-US" w:eastAsia="zh-CN"/>
        </w:rPr>
        <w:t>以及</w:t>
      </w:r>
      <w:r>
        <w:rPr>
          <w:rFonts w:hint="eastAsia" w:ascii="仿宋_GB2312" w:hAnsi="Times New Roman" w:cs="Times New Roman"/>
          <w:bCs/>
          <w:sz w:val="32"/>
          <w:szCs w:val="32"/>
        </w:rPr>
        <w:t>《教育部关于全面实施预算绩效管理的意见》（教财〔2019〕6号）</w:t>
      </w:r>
      <w:r>
        <w:rPr>
          <w:rFonts w:hint="eastAsia" w:ascii="仿宋_GB2312" w:hAnsi="Times New Roman" w:cs="Times New Roman"/>
          <w:bCs/>
          <w:sz w:val="32"/>
          <w:szCs w:val="32"/>
          <w:lang w:val="en-US" w:eastAsia="zh-CN"/>
        </w:rPr>
        <w:t>的相关</w:t>
      </w:r>
      <w:r>
        <w:rPr>
          <w:rFonts w:hint="eastAsia" w:ascii="仿宋_GB2312" w:hAnsi="Times New Roman" w:cs="Times New Roman"/>
          <w:bCs/>
          <w:sz w:val="32"/>
          <w:szCs w:val="32"/>
        </w:rPr>
        <w:t>精神</w:t>
      </w:r>
      <w:r>
        <w:rPr>
          <w:rFonts w:ascii="仿宋_GB2312" w:hAnsi="Times New Roman" w:cs="Times New Roman"/>
          <w:bCs/>
          <w:sz w:val="32"/>
          <w:szCs w:val="32"/>
        </w:rPr>
        <w:t>，</w:t>
      </w:r>
      <w:r>
        <w:rPr>
          <w:rFonts w:hint="eastAsia" w:ascii="仿宋_GB2312" w:hAnsi="Times New Roman" w:cs="Times New Roman"/>
          <w:bCs/>
          <w:sz w:val="32"/>
          <w:szCs w:val="32"/>
          <w:lang w:val="en-US" w:eastAsia="zh-CN"/>
        </w:rPr>
        <w:t>依据《清华大学预算绩效管理实施办法》</w:t>
      </w:r>
      <w:r>
        <w:rPr>
          <w:rFonts w:hint="eastAsia" w:ascii="仿宋_GB2312" w:hAnsi="Times New Roman" w:cs="Times New Roman"/>
          <w:bCs/>
          <w:sz w:val="32"/>
          <w:szCs w:val="32"/>
        </w:rPr>
        <w:t>（</w:t>
      </w:r>
      <w:r>
        <w:rPr>
          <w:rFonts w:hint="eastAsia" w:ascii="仿宋_GB2312" w:hAnsi="Times New Roman" w:cs="Times New Roman"/>
          <w:bCs/>
          <w:sz w:val="32"/>
          <w:szCs w:val="32"/>
          <w:lang w:val="en-US" w:eastAsia="zh-CN"/>
        </w:rPr>
        <w:t>清校发</w:t>
      </w:r>
      <w:r>
        <w:rPr>
          <w:rFonts w:hint="eastAsia" w:ascii="仿宋_GB2312" w:hAnsi="Times New Roman" w:cs="Times New Roman"/>
          <w:bCs/>
          <w:sz w:val="32"/>
          <w:szCs w:val="32"/>
        </w:rPr>
        <w:t>〔20</w:t>
      </w:r>
      <w:r>
        <w:rPr>
          <w:rFonts w:hint="eastAsia" w:ascii="仿宋_GB2312" w:hAnsi="Times New Roman" w:cs="Times New Roman"/>
          <w:bCs/>
          <w:sz w:val="32"/>
          <w:szCs w:val="32"/>
          <w:lang w:val="en-US" w:eastAsia="zh-CN"/>
        </w:rPr>
        <w:t>21</w:t>
      </w:r>
      <w:r>
        <w:rPr>
          <w:rFonts w:hint="eastAsia" w:ascii="仿宋_GB2312" w:hAnsi="Times New Roman" w:cs="Times New Roman"/>
          <w:bCs/>
          <w:sz w:val="32"/>
          <w:szCs w:val="32"/>
        </w:rPr>
        <w:t>〕</w:t>
      </w:r>
      <w:r>
        <w:rPr>
          <w:rFonts w:hint="eastAsia" w:ascii="仿宋_GB2312" w:hAnsi="Times New Roman" w:cs="Times New Roman"/>
          <w:bCs/>
          <w:sz w:val="32"/>
          <w:szCs w:val="32"/>
          <w:lang w:val="en-US" w:eastAsia="zh-CN"/>
        </w:rPr>
        <w:t>4</w:t>
      </w:r>
      <w:r>
        <w:rPr>
          <w:rFonts w:hint="eastAsia" w:ascii="仿宋_GB2312" w:hAnsi="Times New Roman" w:cs="Times New Roman"/>
          <w:bCs/>
          <w:sz w:val="32"/>
          <w:szCs w:val="32"/>
        </w:rPr>
        <w:t>号）</w:t>
      </w:r>
      <w:r>
        <w:rPr>
          <w:rFonts w:hint="eastAsia" w:ascii="仿宋_GB2312" w:hAnsi="Times New Roman" w:cs="Times New Roman"/>
          <w:bCs/>
          <w:sz w:val="32"/>
          <w:szCs w:val="32"/>
          <w:lang w:eastAsia="zh-CN"/>
        </w:rPr>
        <w:t>，</w:t>
      </w:r>
      <w:r>
        <w:rPr>
          <w:rFonts w:hint="eastAsia" w:ascii="仿宋_GB2312" w:hAnsi="Times New Roman" w:cs="Times New Roman"/>
          <w:bCs/>
          <w:sz w:val="32"/>
          <w:szCs w:val="32"/>
          <w:lang w:val="en-US" w:eastAsia="zh-CN"/>
        </w:rPr>
        <w:t>进一步规范学院预算绩效管理、优化资源配置、提高经费使用效益，</w:t>
      </w:r>
      <w:r>
        <w:rPr>
          <w:rFonts w:ascii="仿宋_GB2312" w:hAnsi="Times New Roman" w:cs="Times New Roman"/>
          <w:bCs/>
          <w:sz w:val="32"/>
          <w:szCs w:val="32"/>
        </w:rPr>
        <w:t>制定本办法。</w:t>
      </w:r>
    </w:p>
    <w:p w14:paraId="265AE33F">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Times New Roman" w:cs="Times New Roman"/>
          <w:bCs/>
          <w:sz w:val="32"/>
          <w:szCs w:val="32"/>
        </w:rPr>
      </w:pPr>
      <w:r>
        <w:rPr>
          <w:rFonts w:hint="eastAsia" w:ascii="仿宋_GB2312" w:hAnsi="Times New Roman" w:cs="Times New Roman"/>
          <w:b/>
          <w:bCs w:val="0"/>
          <w:sz w:val="32"/>
          <w:szCs w:val="32"/>
          <w:lang w:val="en-US" w:eastAsia="zh-CN"/>
        </w:rPr>
        <w:t>第二条</w:t>
      </w:r>
      <w:r>
        <w:rPr>
          <w:rFonts w:hint="eastAsia" w:ascii="仿宋_GB2312" w:hAnsi="Times New Roman" w:cs="Times New Roman"/>
          <w:bCs/>
          <w:sz w:val="32"/>
          <w:szCs w:val="32"/>
          <w:lang w:val="en-US" w:eastAsia="zh-CN"/>
        </w:rPr>
        <w:t xml:space="preserve"> </w:t>
      </w:r>
      <w:r>
        <w:rPr>
          <w:rFonts w:hint="eastAsia" w:ascii="仿宋_GB2312" w:hAnsi="Times New Roman" w:cs="Times New Roman"/>
          <w:bCs/>
          <w:sz w:val="32"/>
          <w:szCs w:val="32"/>
        </w:rPr>
        <w:t>本办法适用于</w:t>
      </w:r>
      <w:r>
        <w:rPr>
          <w:rFonts w:hint="eastAsia" w:ascii="仿宋_GB2312" w:hAnsi="Times New Roman" w:cs="Times New Roman"/>
          <w:bCs/>
          <w:sz w:val="32"/>
          <w:szCs w:val="32"/>
          <w:lang w:val="en-US" w:eastAsia="zh-CN"/>
        </w:rPr>
        <w:t>所有</w:t>
      </w:r>
      <w:r>
        <w:rPr>
          <w:rFonts w:hint="eastAsia" w:ascii="仿宋_GB2312" w:hAnsi="Times New Roman" w:cs="Times New Roman"/>
          <w:bCs/>
          <w:sz w:val="32"/>
          <w:szCs w:val="32"/>
        </w:rPr>
        <w:t>纳入</w:t>
      </w:r>
      <w:r>
        <w:rPr>
          <w:rFonts w:hint="eastAsia" w:ascii="仿宋_GB2312" w:hAnsi="Times New Roman" w:cs="Times New Roman"/>
          <w:bCs/>
          <w:sz w:val="32"/>
          <w:szCs w:val="32"/>
          <w:lang w:val="en-US" w:eastAsia="zh-CN"/>
        </w:rPr>
        <w:t>学院</w:t>
      </w:r>
      <w:r>
        <w:rPr>
          <w:rFonts w:hint="eastAsia" w:ascii="仿宋_GB2312" w:hAnsi="Times New Roman" w:cs="Times New Roman"/>
          <w:bCs/>
          <w:sz w:val="32"/>
          <w:szCs w:val="32"/>
        </w:rPr>
        <w:t>预算管理的资金。</w:t>
      </w:r>
    </w:p>
    <w:p w14:paraId="591BA331">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Times New Roman" w:cs="Times New Roman"/>
          <w:bCs/>
          <w:sz w:val="32"/>
          <w:szCs w:val="32"/>
        </w:rPr>
      </w:pPr>
      <w:r>
        <w:rPr>
          <w:rFonts w:hint="eastAsia" w:ascii="仿宋_GB2312" w:hAnsi="仿宋_GB2312" w:cs="仿宋_GB2312"/>
          <w:b/>
          <w:bCs/>
          <w:color w:val="auto"/>
          <w:kern w:val="0"/>
          <w:sz w:val="32"/>
          <w:szCs w:val="32"/>
          <w:lang w:val="en-US" w:eastAsia="zh-CN"/>
        </w:rPr>
        <w:t>第三条</w:t>
      </w:r>
      <w:r>
        <w:rPr>
          <w:rFonts w:hint="eastAsia" w:ascii="仿宋_GB2312" w:hAnsi="仿宋_GB2312" w:cs="仿宋_GB2312"/>
          <w:color w:val="auto"/>
          <w:kern w:val="0"/>
          <w:sz w:val="32"/>
          <w:szCs w:val="32"/>
          <w:lang w:val="en-US" w:eastAsia="zh-CN"/>
        </w:rPr>
        <w:t xml:space="preserve"> 学院</w:t>
      </w:r>
      <w:r>
        <w:rPr>
          <w:rFonts w:hint="eastAsia" w:ascii="仿宋_GB2312" w:hAnsi="Times New Roman" w:cs="Times New Roman"/>
          <w:bCs/>
          <w:sz w:val="32"/>
          <w:szCs w:val="32"/>
        </w:rPr>
        <w:t>全面推进实施预算绩效管理，坚持以结果为导向，将预算绩效理念深度融入预算管理，将预算绩效目标设定、跟踪、评价及结果应用纳入预算编制、执行、监督全过程，着力构建全方位、全过程、全覆盖的预算绩效管理体系。</w:t>
      </w:r>
    </w:p>
    <w:p w14:paraId="3E42A8F8">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default" w:ascii="黑体" w:hAnsi="黑体" w:eastAsia="黑体" w:cs="Times New Roman"/>
          <w:sz w:val="32"/>
          <w:szCs w:val="32"/>
          <w:lang w:val="en-US" w:eastAsia="zh-CN"/>
        </w:rPr>
      </w:pPr>
      <w:r>
        <w:rPr>
          <w:rFonts w:hint="eastAsia" w:ascii="黑体" w:hAnsi="黑体" w:eastAsia="黑体" w:cs="Times New Roman"/>
          <w:sz w:val="32"/>
          <w:szCs w:val="32"/>
        </w:rPr>
        <w:t xml:space="preserve">第二章 </w:t>
      </w:r>
      <w:r>
        <w:rPr>
          <w:rFonts w:hint="eastAsia" w:ascii="黑体" w:hAnsi="黑体" w:eastAsia="黑体" w:cs="Times New Roman"/>
          <w:sz w:val="32"/>
          <w:szCs w:val="32"/>
          <w:lang w:val="en-US" w:eastAsia="zh-CN"/>
        </w:rPr>
        <w:t>管理机构与职责</w:t>
      </w:r>
    </w:p>
    <w:p w14:paraId="2C9BACC4">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Times New Roman" w:cs="Times New Roman"/>
          <w:bCs/>
          <w:sz w:val="32"/>
          <w:szCs w:val="32"/>
        </w:rPr>
      </w:pPr>
      <w:r>
        <w:rPr>
          <w:rFonts w:hint="eastAsia" w:ascii="仿宋_GB2312" w:hAnsi="Times New Roman" w:cs="Times New Roman"/>
          <w:b/>
          <w:bCs w:val="0"/>
          <w:sz w:val="32"/>
          <w:szCs w:val="32"/>
          <w:lang w:val="en-US" w:eastAsia="zh-CN"/>
        </w:rPr>
        <w:t>第四条</w:t>
      </w:r>
      <w:r>
        <w:rPr>
          <w:rFonts w:hint="eastAsia" w:ascii="仿宋_GB2312" w:hAnsi="Times New Roman" w:cs="Times New Roman"/>
          <w:bCs/>
          <w:sz w:val="32"/>
          <w:szCs w:val="32"/>
          <w:lang w:val="en-US" w:eastAsia="zh-CN"/>
        </w:rPr>
        <w:t xml:space="preserve"> 党政联席会议</w:t>
      </w:r>
      <w:r>
        <w:rPr>
          <w:sz w:val="32"/>
          <w:szCs w:val="32"/>
        </w:rPr>
        <w:t>研究决定学</w:t>
      </w:r>
      <w:r>
        <w:rPr>
          <w:rFonts w:hint="eastAsia"/>
          <w:sz w:val="32"/>
          <w:szCs w:val="32"/>
        </w:rPr>
        <w:t>院</w:t>
      </w:r>
      <w:r>
        <w:rPr>
          <w:sz w:val="32"/>
          <w:szCs w:val="32"/>
        </w:rPr>
        <w:t>实施预算绩效管理重要事项。</w:t>
      </w:r>
    </w:p>
    <w:p w14:paraId="6D9940EC">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Times New Roman" w:cs="Times New Roman"/>
          <w:bCs/>
          <w:sz w:val="32"/>
          <w:szCs w:val="32"/>
        </w:rPr>
      </w:pPr>
      <w:r>
        <w:rPr>
          <w:rFonts w:hint="eastAsia" w:ascii="仿宋_GB2312" w:hAnsi="Times New Roman" w:cs="Times New Roman"/>
          <w:b/>
          <w:bCs w:val="0"/>
          <w:sz w:val="32"/>
          <w:szCs w:val="32"/>
          <w:lang w:val="en-US" w:eastAsia="zh-CN"/>
        </w:rPr>
        <w:t>第五条</w:t>
      </w:r>
      <w:r>
        <w:rPr>
          <w:rFonts w:hint="eastAsia" w:ascii="仿宋_GB2312" w:hAnsi="Times New Roman" w:cs="Times New Roman"/>
          <w:bCs/>
          <w:sz w:val="32"/>
          <w:szCs w:val="32"/>
          <w:lang w:val="en-US" w:eastAsia="zh-CN"/>
        </w:rPr>
        <w:t xml:space="preserve"> 学院计划与财经管理领导小组统筹协调学院预算绩效管理实施工作。</w:t>
      </w:r>
    </w:p>
    <w:p w14:paraId="5F876067">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Times New Roman" w:cs="Times New Roman"/>
          <w:bCs/>
          <w:sz w:val="32"/>
          <w:szCs w:val="32"/>
        </w:rPr>
      </w:pPr>
      <w:r>
        <w:rPr>
          <w:rFonts w:hint="eastAsia" w:ascii="仿宋_GB2312" w:hAnsi="Times New Roman" w:cs="Times New Roman"/>
          <w:b/>
          <w:bCs w:val="0"/>
          <w:sz w:val="32"/>
          <w:szCs w:val="32"/>
          <w:lang w:val="en-US" w:eastAsia="zh-CN"/>
        </w:rPr>
        <w:t>第六条</w:t>
      </w:r>
      <w:r>
        <w:rPr>
          <w:rFonts w:hint="eastAsia" w:ascii="仿宋_GB2312" w:hAnsi="Times New Roman" w:cs="Times New Roman"/>
          <w:bCs/>
          <w:sz w:val="32"/>
          <w:szCs w:val="32"/>
          <w:lang w:val="en-US" w:eastAsia="zh-CN"/>
        </w:rPr>
        <w:t xml:space="preserve"> 财务办公室作为学院计划与财经管理领导小组办事机构，负责组织协调预算绩效管理实施工作。</w:t>
      </w:r>
    </w:p>
    <w:p w14:paraId="7C0F7F1F">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0" w:firstLineChars="0"/>
        <w:textAlignment w:val="auto"/>
        <w:rPr>
          <w:rFonts w:hint="default" w:ascii="仿宋_GB2312" w:hAnsi="Times New Roman" w:cs="Times New Roman"/>
          <w:bCs/>
          <w:sz w:val="32"/>
          <w:szCs w:val="32"/>
          <w:lang w:val="en-US"/>
        </w:rPr>
      </w:pPr>
      <w:r>
        <w:rPr>
          <w:rFonts w:hint="eastAsia" w:ascii="仿宋_GB2312" w:hAnsi="Times New Roman" w:cs="Times New Roman"/>
          <w:bCs/>
          <w:sz w:val="32"/>
          <w:szCs w:val="32"/>
          <w:lang w:val="en-US" w:eastAsia="zh-CN"/>
        </w:rPr>
        <w:t xml:space="preserve">    相关业务归口部门在职责范围内负责项目预算绩效目 标审核、预算绩效监控、预算绩效自评以及组织落实评价整改等方面工作。</w:t>
      </w:r>
    </w:p>
    <w:p w14:paraId="61DC742F">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Times New Roman" w:cs="Times New Roman"/>
          <w:bCs/>
          <w:sz w:val="32"/>
          <w:szCs w:val="32"/>
        </w:rPr>
      </w:pPr>
      <w:r>
        <w:rPr>
          <w:rFonts w:hint="eastAsia" w:ascii="仿宋_GB2312" w:hAnsi="Times New Roman" w:cs="Times New Roman"/>
          <w:b/>
          <w:bCs w:val="0"/>
          <w:sz w:val="32"/>
          <w:szCs w:val="32"/>
          <w:lang w:val="en-US" w:eastAsia="zh-CN"/>
        </w:rPr>
        <w:t>第七条</w:t>
      </w:r>
      <w:r>
        <w:rPr>
          <w:rFonts w:hint="eastAsia" w:ascii="仿宋_GB2312" w:hAnsi="Times New Roman" w:cs="Times New Roman"/>
          <w:bCs/>
          <w:sz w:val="32"/>
          <w:szCs w:val="32"/>
          <w:lang w:val="en-US" w:eastAsia="zh-CN"/>
        </w:rPr>
        <w:t xml:space="preserve"> </w:t>
      </w:r>
      <w:r>
        <w:rPr>
          <w:rFonts w:hint="eastAsia" w:ascii="仿宋_GB2312" w:hAnsi="Times New Roman" w:cs="Times New Roman"/>
          <w:bCs/>
          <w:sz w:val="32"/>
          <w:szCs w:val="32"/>
        </w:rPr>
        <w:t>二级单位作为预算执行单位具体承担预算绩效目标设置、预算绩效日常监控、预算绩效单位自评等相关任务。</w:t>
      </w:r>
    </w:p>
    <w:p w14:paraId="3DD27598">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ascii="黑体" w:hAnsi="黑体" w:eastAsia="黑体" w:cs="Times New Roman"/>
          <w:sz w:val="32"/>
          <w:szCs w:val="32"/>
        </w:rPr>
      </w:pPr>
      <w:r>
        <w:rPr>
          <w:rFonts w:hint="eastAsia" w:ascii="黑体" w:hAnsi="黑体" w:eastAsia="黑体" w:cs="Times New Roman"/>
          <w:sz w:val="32"/>
          <w:szCs w:val="32"/>
        </w:rPr>
        <w:t>第</w:t>
      </w:r>
      <w:r>
        <w:rPr>
          <w:rFonts w:hint="eastAsia" w:ascii="黑体" w:hAnsi="黑体" w:eastAsia="黑体" w:cs="Times New Roman"/>
          <w:sz w:val="32"/>
          <w:szCs w:val="32"/>
          <w:lang w:val="en-US" w:eastAsia="zh-CN"/>
        </w:rPr>
        <w:t>三</w:t>
      </w:r>
      <w:r>
        <w:rPr>
          <w:rFonts w:hint="eastAsia" w:ascii="黑体" w:hAnsi="黑体" w:eastAsia="黑体" w:cs="Times New Roman"/>
          <w:sz w:val="32"/>
          <w:szCs w:val="32"/>
        </w:rPr>
        <w:t>章 预算绩效目标管理</w:t>
      </w:r>
    </w:p>
    <w:p w14:paraId="1B980705">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hint="eastAsia" w:ascii="仿宋_GB2312" w:hAnsi="ˎ̥" w:cs="宋体"/>
          <w:kern w:val="0"/>
          <w:sz w:val="32"/>
          <w:szCs w:val="32"/>
        </w:rPr>
      </w:pPr>
      <w:r>
        <w:rPr>
          <w:rFonts w:hint="eastAsia" w:ascii="仿宋_GB2312" w:hAnsi="ˎ̥" w:cs="宋体"/>
          <w:b/>
          <w:bCs/>
          <w:kern w:val="0"/>
          <w:sz w:val="32"/>
          <w:szCs w:val="32"/>
          <w:lang w:val="en-US" w:eastAsia="zh-CN"/>
        </w:rPr>
        <w:t>第八条</w:t>
      </w:r>
      <w:r>
        <w:rPr>
          <w:rFonts w:hint="eastAsia" w:ascii="仿宋_GB2312" w:hAnsi="ˎ̥" w:cs="宋体"/>
          <w:kern w:val="0"/>
          <w:sz w:val="32"/>
          <w:szCs w:val="32"/>
          <w:lang w:val="en-US" w:eastAsia="zh-CN"/>
        </w:rPr>
        <w:t xml:space="preserve"> </w:t>
      </w:r>
      <w:r>
        <w:rPr>
          <w:rFonts w:hint="eastAsia" w:ascii="仿宋_GB2312" w:hAnsi="ˎ̥" w:cs="宋体"/>
          <w:kern w:val="0"/>
          <w:sz w:val="32"/>
          <w:szCs w:val="32"/>
        </w:rPr>
        <w:t>预算绩效目标是指预算资金计划在一定期限内预期达到的产出和效果，是建设项目库、编制部门预算、实施预算绩效监控、开展预算绩效评价等的重要基础和依据，包括中长期预算绩效目标和年度预算绩效目标。</w:t>
      </w:r>
    </w:p>
    <w:p w14:paraId="78AF8FD2">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ˎ̥" w:cs="宋体"/>
          <w:kern w:val="0"/>
          <w:sz w:val="32"/>
          <w:szCs w:val="32"/>
        </w:rPr>
      </w:pPr>
      <w:r>
        <w:rPr>
          <w:rFonts w:hint="eastAsia" w:ascii="仿宋_GB2312" w:hAnsi="宋体" w:cs="仿宋_GB2312"/>
          <w:i w:val="0"/>
          <w:iCs w:val="0"/>
          <w:caps w:val="0"/>
          <w:color w:val="000000"/>
          <w:spacing w:val="0"/>
          <w:sz w:val="31"/>
          <w:szCs w:val="31"/>
          <w:shd w:val="clear" w:fill="FFFFFF"/>
          <w:lang w:val="en-US" w:eastAsia="zh-CN"/>
        </w:rPr>
        <w:t>预算绩效目标设置要求：</w:t>
      </w:r>
    </w:p>
    <w:p w14:paraId="50349E41">
      <w:pPr>
        <w:pStyle w:val="5"/>
        <w:keepNext w:val="0"/>
        <w:keepLines w:val="0"/>
        <w:pageBreakBefore w:val="0"/>
        <w:kinsoku/>
        <w:wordWrap/>
        <w:overflowPunct/>
        <w:topLinePunct w:val="0"/>
        <w:autoSpaceDE/>
        <w:autoSpaceDN/>
        <w:bidi w:val="0"/>
        <w:adjustRightInd/>
        <w:snapToGrid/>
        <w:spacing w:line="560" w:lineRule="exact"/>
        <w:textAlignment w:val="auto"/>
        <w:rPr>
          <w:rFonts w:ascii="仿宋_GB2312" w:hAnsi="ˎ̥" w:cs="宋体"/>
          <w:kern w:val="0"/>
          <w:sz w:val="32"/>
          <w:szCs w:val="32"/>
        </w:rPr>
      </w:pPr>
      <w:r>
        <w:rPr>
          <w:rFonts w:ascii="仿宋_GB2312" w:hAnsi="ˎ̥" w:cs="宋体"/>
          <w:kern w:val="0"/>
          <w:sz w:val="32"/>
          <w:szCs w:val="32"/>
        </w:rPr>
        <w:t>（一）指向明确。</w:t>
      </w:r>
      <w:r>
        <w:rPr>
          <w:rFonts w:hint="eastAsia" w:ascii="仿宋_GB2312" w:hAnsi="ˎ̥" w:cs="宋体"/>
          <w:kern w:val="0"/>
          <w:sz w:val="32"/>
          <w:szCs w:val="32"/>
          <w:lang w:val="en-US" w:eastAsia="zh-CN"/>
        </w:rPr>
        <w:t>预算</w:t>
      </w:r>
      <w:r>
        <w:rPr>
          <w:rFonts w:ascii="仿宋_GB2312" w:hAnsi="ˎ̥" w:cs="宋体"/>
          <w:kern w:val="0"/>
          <w:sz w:val="32"/>
          <w:szCs w:val="32"/>
        </w:rPr>
        <w:t>绩效目标</w:t>
      </w:r>
      <w:r>
        <w:rPr>
          <w:rFonts w:hint="eastAsia" w:ascii="仿宋_GB2312" w:hAnsi="ˎ̥" w:cs="宋体"/>
          <w:kern w:val="0"/>
          <w:sz w:val="32"/>
          <w:szCs w:val="32"/>
        </w:rPr>
        <w:t>应当</w:t>
      </w:r>
      <w:r>
        <w:rPr>
          <w:rFonts w:ascii="仿宋_GB2312" w:hAnsi="ˎ̥" w:cs="宋体"/>
          <w:kern w:val="0"/>
          <w:sz w:val="32"/>
          <w:szCs w:val="32"/>
        </w:rPr>
        <w:t>符合</w:t>
      </w:r>
      <w:r>
        <w:rPr>
          <w:rFonts w:hint="eastAsia" w:ascii="仿宋_GB2312" w:hAnsi="ˎ̥" w:cs="宋体"/>
          <w:kern w:val="0"/>
          <w:sz w:val="32"/>
          <w:szCs w:val="32"/>
        </w:rPr>
        <w:t>国民经济和社会发展规划、</w:t>
      </w:r>
      <w:r>
        <w:rPr>
          <w:rFonts w:hint="eastAsia" w:ascii="仿宋_GB2312" w:hAnsi="ˎ̥" w:cs="宋体"/>
          <w:kern w:val="0"/>
          <w:sz w:val="32"/>
          <w:szCs w:val="32"/>
          <w:lang w:val="en-US" w:eastAsia="zh-CN"/>
        </w:rPr>
        <w:t>学院</w:t>
      </w:r>
      <w:r>
        <w:rPr>
          <w:rFonts w:hint="eastAsia" w:ascii="仿宋_GB2312" w:hAnsi="ˎ̥" w:cs="宋体"/>
          <w:kern w:val="0"/>
          <w:sz w:val="32"/>
          <w:szCs w:val="32"/>
        </w:rPr>
        <w:t>事业发展规划等要求</w:t>
      </w:r>
      <w:r>
        <w:rPr>
          <w:rFonts w:ascii="仿宋_GB2312" w:hAnsi="ˎ̥" w:cs="宋体"/>
          <w:kern w:val="0"/>
          <w:sz w:val="32"/>
          <w:szCs w:val="32"/>
        </w:rPr>
        <w:t>，并与</w:t>
      </w:r>
      <w:r>
        <w:rPr>
          <w:rFonts w:hint="eastAsia" w:ascii="仿宋_GB2312" w:hAnsi="ˎ̥" w:cs="宋体"/>
          <w:kern w:val="0"/>
          <w:sz w:val="32"/>
          <w:szCs w:val="32"/>
        </w:rPr>
        <w:t>相应</w:t>
      </w:r>
      <w:r>
        <w:rPr>
          <w:rFonts w:ascii="仿宋_GB2312" w:hAnsi="ˎ̥" w:cs="宋体"/>
          <w:kern w:val="0"/>
          <w:sz w:val="32"/>
          <w:szCs w:val="32"/>
        </w:rPr>
        <w:t>预算支出内容、范围、方向、效果等紧密相关。</w:t>
      </w:r>
    </w:p>
    <w:p w14:paraId="7DBE62A0">
      <w:pPr>
        <w:pStyle w:val="5"/>
        <w:keepNext w:val="0"/>
        <w:keepLines w:val="0"/>
        <w:pageBreakBefore w:val="0"/>
        <w:kinsoku/>
        <w:wordWrap/>
        <w:overflowPunct/>
        <w:topLinePunct w:val="0"/>
        <w:autoSpaceDE/>
        <w:autoSpaceDN/>
        <w:bidi w:val="0"/>
        <w:adjustRightInd/>
        <w:snapToGrid/>
        <w:spacing w:line="560" w:lineRule="exact"/>
        <w:textAlignment w:val="auto"/>
        <w:rPr>
          <w:rFonts w:ascii="仿宋_GB2312" w:hAnsi="ˎ̥" w:cs="宋体"/>
          <w:kern w:val="0"/>
          <w:sz w:val="32"/>
          <w:szCs w:val="32"/>
        </w:rPr>
      </w:pPr>
      <w:r>
        <w:rPr>
          <w:rFonts w:ascii="仿宋_GB2312" w:hAnsi="ˎ̥" w:cs="宋体"/>
          <w:kern w:val="0"/>
          <w:sz w:val="32"/>
          <w:szCs w:val="32"/>
        </w:rPr>
        <w:t>（二）细化量化。</w:t>
      </w:r>
      <w:r>
        <w:rPr>
          <w:rFonts w:hint="eastAsia" w:ascii="仿宋_GB2312" w:hAnsi="ˎ̥" w:cs="宋体"/>
          <w:kern w:val="0"/>
          <w:sz w:val="32"/>
          <w:szCs w:val="32"/>
          <w:lang w:val="en-US" w:eastAsia="zh-CN"/>
        </w:rPr>
        <w:t>预算</w:t>
      </w:r>
      <w:r>
        <w:rPr>
          <w:rFonts w:ascii="仿宋_GB2312" w:hAnsi="ˎ̥" w:cs="宋体"/>
          <w:kern w:val="0"/>
          <w:sz w:val="32"/>
          <w:szCs w:val="32"/>
        </w:rPr>
        <w:t>绩效目标应当从</w:t>
      </w:r>
      <w:r>
        <w:rPr>
          <w:rFonts w:hint="eastAsia" w:ascii="仿宋_GB2312" w:hAnsi="ˎ̥" w:cs="宋体"/>
          <w:kern w:val="0"/>
          <w:sz w:val="32"/>
          <w:szCs w:val="32"/>
          <w:lang w:val="en-US" w:eastAsia="zh-CN"/>
        </w:rPr>
        <w:t>产出</w:t>
      </w:r>
      <w:r>
        <w:rPr>
          <w:rFonts w:ascii="仿宋_GB2312" w:hAnsi="ˎ̥" w:cs="宋体"/>
          <w:kern w:val="0"/>
          <w:sz w:val="32"/>
          <w:szCs w:val="32"/>
        </w:rPr>
        <w:t>、</w:t>
      </w:r>
      <w:r>
        <w:rPr>
          <w:rFonts w:hint="eastAsia" w:ascii="仿宋_GB2312" w:hAnsi="ˎ̥" w:cs="宋体"/>
          <w:kern w:val="0"/>
          <w:sz w:val="32"/>
          <w:szCs w:val="32"/>
          <w:lang w:val="en-US" w:eastAsia="zh-CN"/>
        </w:rPr>
        <w:t>效益、</w:t>
      </w:r>
      <w:r>
        <w:rPr>
          <w:rFonts w:ascii="仿宋_GB2312" w:hAnsi="ˎ̥" w:cs="宋体"/>
          <w:kern w:val="0"/>
          <w:sz w:val="32"/>
          <w:szCs w:val="32"/>
        </w:rPr>
        <w:t>满意度等方面进行细化，尽量定量表述。不能定量</w:t>
      </w:r>
      <w:r>
        <w:rPr>
          <w:rFonts w:hint="eastAsia" w:ascii="仿宋_GB2312" w:hAnsi="ˎ̥" w:cs="宋体"/>
          <w:kern w:val="0"/>
          <w:sz w:val="32"/>
          <w:szCs w:val="32"/>
          <w:lang w:val="en-US" w:eastAsia="zh-CN"/>
        </w:rPr>
        <w:t>表述</w:t>
      </w:r>
      <w:r>
        <w:rPr>
          <w:rFonts w:ascii="仿宋_GB2312" w:hAnsi="ˎ̥" w:cs="宋体"/>
          <w:kern w:val="0"/>
          <w:sz w:val="32"/>
          <w:szCs w:val="32"/>
        </w:rPr>
        <w:t>的，可</w:t>
      </w:r>
      <w:r>
        <w:rPr>
          <w:rFonts w:hint="eastAsia" w:ascii="仿宋_GB2312" w:hAnsi="ˎ̥" w:cs="宋体"/>
          <w:kern w:val="0"/>
          <w:sz w:val="32"/>
          <w:szCs w:val="32"/>
          <w:lang w:val="en-US" w:eastAsia="zh-CN"/>
        </w:rPr>
        <w:t>以</w:t>
      </w:r>
      <w:r>
        <w:rPr>
          <w:rFonts w:ascii="仿宋_GB2312" w:hAnsi="ˎ̥" w:cs="宋体"/>
          <w:kern w:val="0"/>
          <w:sz w:val="32"/>
          <w:szCs w:val="32"/>
        </w:rPr>
        <w:t>采用定性表述</w:t>
      </w:r>
      <w:r>
        <w:rPr>
          <w:rFonts w:hint="eastAsia" w:ascii="仿宋_GB2312" w:hAnsi="ˎ̥" w:cs="宋体"/>
          <w:kern w:val="0"/>
          <w:sz w:val="32"/>
          <w:szCs w:val="32"/>
          <w:lang w:eastAsia="zh-CN"/>
        </w:rPr>
        <w:t>，</w:t>
      </w:r>
      <w:r>
        <w:rPr>
          <w:rFonts w:hint="eastAsia" w:ascii="仿宋_GB2312" w:hAnsi="ˎ̥" w:cs="宋体"/>
          <w:kern w:val="0"/>
          <w:sz w:val="32"/>
          <w:szCs w:val="32"/>
          <w:lang w:val="en-US" w:eastAsia="zh-CN"/>
        </w:rPr>
        <w:t>但应当具有可衡量性</w:t>
      </w:r>
      <w:r>
        <w:rPr>
          <w:rFonts w:ascii="仿宋_GB2312" w:hAnsi="ˎ̥" w:cs="宋体"/>
          <w:kern w:val="0"/>
          <w:sz w:val="32"/>
          <w:szCs w:val="32"/>
        </w:rPr>
        <w:t>。</w:t>
      </w:r>
    </w:p>
    <w:p w14:paraId="4106A251">
      <w:pPr>
        <w:pStyle w:val="5"/>
        <w:keepNext w:val="0"/>
        <w:keepLines w:val="0"/>
        <w:pageBreakBefore w:val="0"/>
        <w:kinsoku/>
        <w:wordWrap/>
        <w:overflowPunct/>
        <w:topLinePunct w:val="0"/>
        <w:autoSpaceDE/>
        <w:autoSpaceDN/>
        <w:bidi w:val="0"/>
        <w:adjustRightInd/>
        <w:snapToGrid/>
        <w:spacing w:line="560" w:lineRule="exact"/>
        <w:textAlignment w:val="auto"/>
        <w:rPr>
          <w:rFonts w:ascii="仿宋_GB2312" w:hAnsi="ˎ̥" w:cs="宋体"/>
          <w:kern w:val="0"/>
          <w:sz w:val="32"/>
          <w:szCs w:val="32"/>
        </w:rPr>
      </w:pPr>
      <w:r>
        <w:rPr>
          <w:rFonts w:ascii="仿宋_GB2312" w:hAnsi="ˎ̥" w:cs="宋体"/>
          <w:kern w:val="0"/>
          <w:sz w:val="32"/>
          <w:szCs w:val="32"/>
        </w:rPr>
        <w:t>（三）合理可行。</w:t>
      </w:r>
      <w:r>
        <w:rPr>
          <w:rFonts w:hint="eastAsia" w:ascii="仿宋_GB2312" w:hAnsi="ˎ̥" w:cs="宋体"/>
          <w:kern w:val="0"/>
          <w:sz w:val="32"/>
          <w:szCs w:val="32"/>
          <w:lang w:val="en-US" w:eastAsia="zh-CN"/>
        </w:rPr>
        <w:t>设置预算</w:t>
      </w:r>
      <w:r>
        <w:rPr>
          <w:rFonts w:ascii="仿宋_GB2312" w:hAnsi="ˎ̥" w:cs="宋体"/>
          <w:kern w:val="0"/>
          <w:sz w:val="32"/>
          <w:szCs w:val="32"/>
        </w:rPr>
        <w:t>绩效目标时</w:t>
      </w:r>
      <w:r>
        <w:rPr>
          <w:rFonts w:hint="eastAsia" w:ascii="仿宋_GB2312" w:hAnsi="ˎ̥" w:cs="宋体"/>
          <w:kern w:val="0"/>
          <w:sz w:val="32"/>
          <w:szCs w:val="32"/>
          <w:lang w:val="en-US" w:eastAsia="zh-CN"/>
        </w:rPr>
        <w:t>应当</w:t>
      </w:r>
      <w:r>
        <w:rPr>
          <w:rFonts w:ascii="仿宋_GB2312" w:hAnsi="ˎ̥" w:cs="宋体"/>
          <w:kern w:val="0"/>
          <w:sz w:val="32"/>
          <w:szCs w:val="32"/>
        </w:rPr>
        <w:t>经过调查研究和科学论证，</w:t>
      </w:r>
      <w:r>
        <w:rPr>
          <w:rFonts w:hint="eastAsia" w:ascii="仿宋_GB2312" w:hAnsi="ˎ̥" w:cs="宋体"/>
          <w:kern w:val="0"/>
          <w:sz w:val="32"/>
          <w:szCs w:val="32"/>
        </w:rPr>
        <w:t>所设置目标应当</w:t>
      </w:r>
      <w:r>
        <w:rPr>
          <w:rFonts w:ascii="仿宋_GB2312" w:hAnsi="ˎ̥" w:cs="宋体"/>
          <w:kern w:val="0"/>
          <w:sz w:val="32"/>
          <w:szCs w:val="32"/>
        </w:rPr>
        <w:t>符合客观实际，能够在一定期限内</w:t>
      </w:r>
      <w:r>
        <w:rPr>
          <w:rFonts w:hint="eastAsia" w:ascii="仿宋_GB2312" w:hAnsi="ˎ̥" w:cs="宋体"/>
          <w:kern w:val="0"/>
          <w:sz w:val="32"/>
          <w:szCs w:val="32"/>
          <w:lang w:val="en-US" w:eastAsia="zh-CN"/>
        </w:rPr>
        <w:t>如期</w:t>
      </w:r>
      <w:r>
        <w:rPr>
          <w:rFonts w:ascii="仿宋_GB2312" w:hAnsi="ˎ̥" w:cs="宋体"/>
          <w:kern w:val="0"/>
          <w:sz w:val="32"/>
          <w:szCs w:val="32"/>
        </w:rPr>
        <w:t>实现。</w:t>
      </w:r>
    </w:p>
    <w:p w14:paraId="070A8527">
      <w:pPr>
        <w:pStyle w:val="5"/>
        <w:keepNext w:val="0"/>
        <w:keepLines w:val="0"/>
        <w:pageBreakBefore w:val="0"/>
        <w:kinsoku/>
        <w:wordWrap/>
        <w:overflowPunct/>
        <w:topLinePunct w:val="0"/>
        <w:autoSpaceDE/>
        <w:autoSpaceDN/>
        <w:bidi w:val="0"/>
        <w:adjustRightInd/>
        <w:snapToGrid/>
        <w:spacing w:line="560" w:lineRule="exact"/>
        <w:textAlignment w:val="auto"/>
        <w:rPr>
          <w:rFonts w:ascii="仿宋_GB2312" w:hAnsi="ˎ̥" w:cs="宋体"/>
          <w:kern w:val="0"/>
          <w:sz w:val="32"/>
          <w:szCs w:val="32"/>
        </w:rPr>
      </w:pPr>
      <w:r>
        <w:rPr>
          <w:rFonts w:ascii="仿宋_GB2312" w:hAnsi="ˎ̥" w:cs="宋体"/>
          <w:kern w:val="0"/>
          <w:sz w:val="32"/>
          <w:szCs w:val="32"/>
        </w:rPr>
        <w:t>（四）</w:t>
      </w:r>
      <w:r>
        <w:rPr>
          <w:rFonts w:hint="eastAsia" w:ascii="仿宋_GB2312" w:hAnsi="ˎ̥" w:cs="宋体"/>
          <w:kern w:val="0"/>
          <w:sz w:val="32"/>
          <w:szCs w:val="32"/>
          <w:lang w:val="en-US" w:eastAsia="zh-CN"/>
        </w:rPr>
        <w:t>相</w:t>
      </w:r>
      <w:r>
        <w:rPr>
          <w:rFonts w:ascii="仿宋_GB2312" w:hAnsi="ˎ̥" w:cs="宋体"/>
          <w:kern w:val="0"/>
          <w:sz w:val="32"/>
          <w:szCs w:val="32"/>
        </w:rPr>
        <w:t>应匹配。</w:t>
      </w:r>
      <w:r>
        <w:rPr>
          <w:rFonts w:hint="eastAsia" w:ascii="仿宋_GB2312" w:hAnsi="ˎ̥" w:cs="宋体"/>
          <w:kern w:val="0"/>
          <w:sz w:val="32"/>
          <w:szCs w:val="32"/>
          <w:lang w:val="en-US" w:eastAsia="zh-CN"/>
        </w:rPr>
        <w:t>预算</w:t>
      </w:r>
      <w:r>
        <w:rPr>
          <w:rFonts w:ascii="仿宋_GB2312" w:hAnsi="ˎ̥" w:cs="宋体"/>
          <w:kern w:val="0"/>
          <w:sz w:val="32"/>
          <w:szCs w:val="32"/>
        </w:rPr>
        <w:t>绩效目标</w:t>
      </w:r>
      <w:r>
        <w:rPr>
          <w:rFonts w:hint="eastAsia" w:ascii="仿宋_GB2312" w:hAnsi="ˎ̥" w:cs="宋体"/>
          <w:kern w:val="0"/>
          <w:sz w:val="32"/>
          <w:szCs w:val="32"/>
          <w:lang w:val="en-US" w:eastAsia="zh-CN"/>
        </w:rPr>
        <w:t>应当</w:t>
      </w:r>
      <w:r>
        <w:rPr>
          <w:rFonts w:ascii="仿宋_GB2312" w:hAnsi="ˎ̥" w:cs="宋体"/>
          <w:kern w:val="0"/>
          <w:sz w:val="32"/>
          <w:szCs w:val="32"/>
        </w:rPr>
        <w:t>与计划期内的任务数或计划数相对应，与预算确定的投资额或资金量相匹配</w:t>
      </w:r>
      <w:r>
        <w:rPr>
          <w:rFonts w:hint="eastAsia" w:ascii="仿宋_GB2312" w:hAnsi="ˎ̥" w:cs="宋体"/>
          <w:kern w:val="0"/>
          <w:sz w:val="32"/>
          <w:szCs w:val="32"/>
          <w:lang w:eastAsia="zh-CN"/>
        </w:rPr>
        <w:t>。</w:t>
      </w:r>
    </w:p>
    <w:p w14:paraId="3C75B7F5">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ˎ̥" w:cs="宋体"/>
          <w:kern w:val="0"/>
          <w:sz w:val="32"/>
          <w:szCs w:val="32"/>
        </w:rPr>
      </w:pPr>
      <w:r>
        <w:rPr>
          <w:rFonts w:hint="eastAsia" w:ascii="仿宋_GB2312" w:hAnsi="ˎ̥" w:cs="宋体"/>
          <w:b/>
          <w:bCs/>
          <w:kern w:val="0"/>
          <w:sz w:val="32"/>
          <w:szCs w:val="32"/>
          <w:lang w:val="en-US" w:eastAsia="zh-CN"/>
        </w:rPr>
        <w:t xml:space="preserve">第九条 </w:t>
      </w:r>
      <w:r>
        <w:rPr>
          <w:rFonts w:hint="eastAsia" w:ascii="仿宋_GB2312" w:hAnsi="ˎ̥" w:cs="宋体"/>
          <w:b w:val="0"/>
          <w:bCs w:val="0"/>
          <w:kern w:val="0"/>
          <w:sz w:val="32"/>
          <w:szCs w:val="32"/>
          <w:lang w:val="en-US" w:eastAsia="zh-CN"/>
        </w:rPr>
        <w:t>预算</w:t>
      </w:r>
      <w:r>
        <w:rPr>
          <w:rFonts w:hint="eastAsia" w:ascii="仿宋_GB2312" w:hAnsi="ˎ̥" w:cs="宋体"/>
          <w:kern w:val="0"/>
          <w:sz w:val="32"/>
          <w:szCs w:val="32"/>
          <w:lang w:val="en-US" w:eastAsia="zh-CN"/>
        </w:rPr>
        <w:t>绩效目标</w:t>
      </w:r>
      <w:r>
        <w:rPr>
          <w:rFonts w:ascii="仿宋_GB2312" w:hAnsi="ˎ̥" w:cs="宋体"/>
          <w:kern w:val="0"/>
          <w:sz w:val="32"/>
          <w:szCs w:val="32"/>
        </w:rPr>
        <w:t>按照</w:t>
      </w:r>
      <w:r>
        <w:rPr>
          <w:rFonts w:hint="eastAsia" w:ascii="仿宋_GB2312" w:hAnsi="ˎ̥" w:cs="宋体"/>
          <w:kern w:val="0"/>
          <w:sz w:val="32"/>
          <w:szCs w:val="32"/>
          <w:lang w:eastAsia="zh-CN"/>
        </w:rPr>
        <w:t>“</w:t>
      </w:r>
      <w:r>
        <w:rPr>
          <w:rFonts w:ascii="仿宋_GB2312" w:hAnsi="ˎ̥" w:cs="宋体"/>
          <w:kern w:val="0"/>
          <w:sz w:val="32"/>
          <w:szCs w:val="32"/>
        </w:rPr>
        <w:t>谁申请资金，谁设定目标</w:t>
      </w:r>
      <w:r>
        <w:rPr>
          <w:rFonts w:hint="eastAsia" w:ascii="仿宋_GB2312" w:hAnsi="ˎ̥" w:cs="宋体"/>
          <w:kern w:val="0"/>
          <w:sz w:val="32"/>
          <w:szCs w:val="32"/>
          <w:lang w:eastAsia="zh-CN"/>
        </w:rPr>
        <w:t>”</w:t>
      </w:r>
      <w:r>
        <w:rPr>
          <w:rFonts w:ascii="仿宋_GB2312" w:hAnsi="ˎ̥" w:cs="宋体"/>
          <w:kern w:val="0"/>
          <w:sz w:val="32"/>
          <w:szCs w:val="32"/>
        </w:rPr>
        <w:t>的原则</w:t>
      </w:r>
      <w:r>
        <w:rPr>
          <w:rFonts w:hint="eastAsia" w:ascii="仿宋_GB2312" w:hAnsi="ˎ̥" w:cs="宋体"/>
          <w:kern w:val="0"/>
          <w:sz w:val="32"/>
          <w:szCs w:val="32"/>
          <w:lang w:val="en-US" w:eastAsia="zh-CN"/>
        </w:rPr>
        <w:t>进行设置</w:t>
      </w:r>
      <w:r>
        <w:rPr>
          <w:rFonts w:ascii="仿宋_GB2312" w:hAnsi="ˎ̥" w:cs="宋体"/>
          <w:kern w:val="0"/>
          <w:sz w:val="32"/>
          <w:szCs w:val="32"/>
        </w:rPr>
        <w:t>，</w:t>
      </w:r>
      <w:r>
        <w:rPr>
          <w:spacing w:val="18"/>
        </w:rPr>
        <w:t>各单位编制预算时应当结合本单位实际</w:t>
      </w:r>
      <w:r>
        <w:rPr>
          <w:spacing w:val="16"/>
        </w:rPr>
        <w:t>情况，分解细化各项工作要求，自主设置预算绩效目标。</w:t>
      </w:r>
    </w:p>
    <w:p w14:paraId="4AF02631">
      <w:pPr>
        <w:keepNext w:val="0"/>
        <w:keepLines w:val="0"/>
        <w:pageBreakBefore w:val="0"/>
        <w:kinsoku/>
        <w:wordWrap/>
        <w:overflowPunct/>
        <w:topLinePunct w:val="0"/>
        <w:autoSpaceDE/>
        <w:autoSpaceDN/>
        <w:bidi w:val="0"/>
        <w:adjustRightInd/>
        <w:snapToGrid/>
        <w:jc w:val="center"/>
        <w:textAlignment w:val="auto"/>
        <w:outlineLvl w:val="0"/>
        <w:rPr>
          <w:rFonts w:ascii="仿宋_GB2312" w:hAnsi="ˎ̥" w:cs="宋体"/>
          <w:kern w:val="0"/>
          <w:sz w:val="32"/>
          <w:szCs w:val="32"/>
        </w:rPr>
      </w:pPr>
      <w:r>
        <w:rPr>
          <w:rFonts w:hint="eastAsia" w:ascii="黑体" w:hAnsi="黑体" w:eastAsia="黑体" w:cs="Times New Roman"/>
          <w:sz w:val="32"/>
          <w:szCs w:val="32"/>
        </w:rPr>
        <w:t>第</w:t>
      </w:r>
      <w:r>
        <w:rPr>
          <w:rFonts w:hint="eastAsia" w:ascii="黑体" w:hAnsi="黑体" w:eastAsia="黑体" w:cs="Times New Roman"/>
          <w:sz w:val="32"/>
          <w:szCs w:val="32"/>
          <w:lang w:val="en-US" w:eastAsia="zh-CN"/>
        </w:rPr>
        <w:t>四</w:t>
      </w:r>
      <w:r>
        <w:rPr>
          <w:rFonts w:hint="eastAsia" w:ascii="黑体" w:hAnsi="黑体" w:eastAsia="黑体" w:cs="Times New Roman"/>
          <w:sz w:val="32"/>
          <w:szCs w:val="32"/>
        </w:rPr>
        <w:t>章 预算绩效</w:t>
      </w:r>
      <w:r>
        <w:rPr>
          <w:rFonts w:hint="eastAsia" w:ascii="黑体" w:hAnsi="黑体" w:eastAsia="黑体" w:cs="Times New Roman"/>
          <w:sz w:val="32"/>
          <w:szCs w:val="32"/>
          <w:lang w:val="en-US" w:eastAsia="zh-CN"/>
        </w:rPr>
        <w:t>评估与</w:t>
      </w:r>
      <w:r>
        <w:rPr>
          <w:rFonts w:hint="eastAsia" w:ascii="黑体" w:hAnsi="黑体" w:eastAsia="黑体" w:cs="Times New Roman"/>
          <w:sz w:val="32"/>
          <w:szCs w:val="32"/>
        </w:rPr>
        <w:t>运行监控</w:t>
      </w:r>
    </w:p>
    <w:p w14:paraId="6B764BAD">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hint="eastAsia" w:ascii="仿宋_GB2312" w:hAnsi="ˎ̥" w:cs="宋体"/>
          <w:kern w:val="0"/>
          <w:sz w:val="32"/>
          <w:szCs w:val="32"/>
        </w:rPr>
      </w:pPr>
      <w:r>
        <w:rPr>
          <w:rFonts w:hint="eastAsia" w:ascii="仿宋_GB2312" w:hAnsi="ˎ̥" w:cs="宋体"/>
          <w:b/>
          <w:bCs/>
          <w:kern w:val="0"/>
          <w:sz w:val="32"/>
          <w:szCs w:val="32"/>
          <w:lang w:val="en-US" w:eastAsia="zh-CN"/>
        </w:rPr>
        <w:t>第十条</w:t>
      </w:r>
      <w:r>
        <w:rPr>
          <w:rFonts w:hint="eastAsia" w:ascii="仿宋_GB2312" w:hAnsi="ˎ̥" w:cs="宋体"/>
          <w:kern w:val="0"/>
          <w:sz w:val="32"/>
          <w:szCs w:val="32"/>
          <w:lang w:val="en-US" w:eastAsia="zh-CN"/>
        </w:rPr>
        <w:t xml:space="preserve"> </w:t>
      </w:r>
      <w:r>
        <w:rPr>
          <w:rFonts w:hint="eastAsia" w:ascii="仿宋_GB2312" w:hAnsi="ˎ̥" w:cs="宋体"/>
          <w:kern w:val="0"/>
          <w:sz w:val="32"/>
          <w:szCs w:val="32"/>
        </w:rPr>
        <w:t>结合预算评审、项目审批等，学院相关部门负责在职责范围内组织开展新出台重大政策、项目事前预算绩效评估相关工作，重点论证立项必要性、投入经济性、绩效目标合理性、实施方案可行性等，评估结果作为预算安排的重要参考依据。</w:t>
      </w:r>
    </w:p>
    <w:p w14:paraId="68976B74">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ˎ̥" w:cs="宋体"/>
          <w:kern w:val="0"/>
          <w:sz w:val="32"/>
          <w:szCs w:val="32"/>
        </w:rPr>
      </w:pPr>
      <w:r>
        <w:rPr>
          <w:rFonts w:hint="eastAsia" w:ascii="仿宋_GB2312" w:hAnsi="ˎ̥" w:cs="宋体"/>
          <w:b/>
          <w:bCs/>
          <w:kern w:val="0"/>
          <w:sz w:val="32"/>
          <w:szCs w:val="32"/>
          <w:lang w:val="en-US" w:eastAsia="zh-CN"/>
        </w:rPr>
        <w:t>第十一条</w:t>
      </w:r>
      <w:r>
        <w:rPr>
          <w:rFonts w:hint="eastAsia" w:ascii="仿宋_GB2312" w:hAnsi="ˎ̥" w:cs="宋体"/>
          <w:kern w:val="0"/>
          <w:sz w:val="32"/>
          <w:szCs w:val="32"/>
          <w:lang w:val="en-US" w:eastAsia="zh-CN"/>
        </w:rPr>
        <w:t xml:space="preserve"> </w:t>
      </w:r>
      <w:r>
        <w:rPr>
          <w:rFonts w:hint="eastAsia" w:ascii="仿宋_GB2312" w:hAnsi="ˎ̥" w:cs="宋体"/>
          <w:kern w:val="0"/>
          <w:sz w:val="32"/>
          <w:szCs w:val="32"/>
        </w:rPr>
        <w:t>预算绩效运行监控是指在预算执行过程中按照相关要求主要对预算执行情况和预算绩效目标实现程度开展的监督、控制和管理活动。</w:t>
      </w:r>
    </w:p>
    <w:p w14:paraId="6185AEF9">
      <w:pPr>
        <w:pStyle w:val="5"/>
        <w:keepNext w:val="0"/>
        <w:keepLines w:val="0"/>
        <w:pageBreakBefore w:val="0"/>
        <w:numPr>
          <w:ilvl w:val="255"/>
          <w:numId w:val="0"/>
        </w:numPr>
        <w:kinsoku/>
        <w:wordWrap/>
        <w:overflowPunct/>
        <w:topLinePunct w:val="0"/>
        <w:autoSpaceDE/>
        <w:autoSpaceDN/>
        <w:bidi w:val="0"/>
        <w:adjustRightInd/>
        <w:snapToGrid/>
        <w:spacing w:line="560" w:lineRule="exact"/>
        <w:ind w:firstLine="640" w:firstLineChars="200"/>
        <w:textAlignment w:val="auto"/>
        <w:rPr>
          <w:rFonts w:ascii="仿宋_GB2312" w:hAnsi="ˎ̥" w:cs="宋体"/>
          <w:kern w:val="0"/>
          <w:sz w:val="32"/>
          <w:szCs w:val="32"/>
        </w:rPr>
      </w:pPr>
      <w:r>
        <w:rPr>
          <w:rFonts w:hint="eastAsia" w:ascii="仿宋_GB2312" w:hAnsi="ˎ̥" w:cs="宋体"/>
          <w:kern w:val="0"/>
          <w:sz w:val="32"/>
          <w:szCs w:val="32"/>
          <w:lang w:val="en-US" w:eastAsia="zh-CN"/>
        </w:rPr>
        <w:t>学院预算</w:t>
      </w:r>
      <w:r>
        <w:rPr>
          <w:rFonts w:hint="eastAsia" w:ascii="仿宋_GB2312" w:hAnsi="ˎ̥" w:cs="宋体"/>
          <w:kern w:val="0"/>
          <w:sz w:val="32"/>
          <w:szCs w:val="32"/>
        </w:rPr>
        <w:t>绩效</w:t>
      </w:r>
      <w:r>
        <w:rPr>
          <w:rFonts w:hint="eastAsia" w:ascii="仿宋_GB2312" w:hAnsi="ˎ̥" w:cs="宋体"/>
          <w:kern w:val="0"/>
          <w:sz w:val="32"/>
          <w:szCs w:val="32"/>
          <w:lang w:val="en-US" w:eastAsia="zh-CN"/>
        </w:rPr>
        <w:t>运行</w:t>
      </w:r>
      <w:r>
        <w:rPr>
          <w:rFonts w:hint="eastAsia" w:ascii="仿宋_GB2312" w:hAnsi="ˎ̥" w:cs="宋体"/>
          <w:kern w:val="0"/>
          <w:sz w:val="32"/>
          <w:szCs w:val="32"/>
        </w:rPr>
        <w:t>监控坚持“全面覆盖、突出重点、权责对等、约束有力、结果运用、及时纠偏”的原则，对</w:t>
      </w:r>
      <w:r>
        <w:rPr>
          <w:rFonts w:hint="eastAsia" w:ascii="仿宋_GB2312" w:hAnsi="ˎ̥" w:cs="宋体"/>
          <w:kern w:val="0"/>
          <w:sz w:val="32"/>
          <w:szCs w:val="32"/>
          <w:lang w:val="en-US" w:eastAsia="zh-CN"/>
        </w:rPr>
        <w:t>预算</w:t>
      </w:r>
      <w:r>
        <w:rPr>
          <w:rFonts w:hint="eastAsia" w:ascii="仿宋_GB2312" w:hAnsi="ˎ̥" w:cs="宋体"/>
          <w:kern w:val="0"/>
          <w:sz w:val="32"/>
          <w:szCs w:val="32"/>
        </w:rPr>
        <w:t>绩效目标实现程度和预算执行进度</w:t>
      </w:r>
      <w:r>
        <w:rPr>
          <w:rFonts w:ascii="仿宋_GB2312" w:hAnsi="ˎ̥" w:cs="宋体"/>
          <w:kern w:val="0"/>
          <w:sz w:val="32"/>
          <w:szCs w:val="32"/>
        </w:rPr>
        <w:t>实行</w:t>
      </w:r>
      <w:r>
        <w:rPr>
          <w:rFonts w:hint="eastAsia" w:ascii="仿宋_GB2312" w:hAnsi="ˎ̥" w:cs="宋体"/>
          <w:kern w:val="0"/>
          <w:sz w:val="32"/>
          <w:szCs w:val="32"/>
          <w:lang w:eastAsia="zh-CN"/>
        </w:rPr>
        <w:t>“</w:t>
      </w:r>
      <w:r>
        <w:rPr>
          <w:rFonts w:ascii="仿宋_GB2312" w:hAnsi="ˎ̥" w:cs="宋体"/>
          <w:kern w:val="0"/>
          <w:sz w:val="32"/>
          <w:szCs w:val="32"/>
        </w:rPr>
        <w:t>双监控</w:t>
      </w:r>
      <w:r>
        <w:rPr>
          <w:rFonts w:hint="eastAsia" w:ascii="仿宋_GB2312" w:hAnsi="ˎ̥" w:cs="宋体"/>
          <w:kern w:val="0"/>
          <w:sz w:val="32"/>
          <w:szCs w:val="32"/>
          <w:lang w:eastAsia="zh-CN"/>
        </w:rPr>
        <w:t>”</w:t>
      </w:r>
      <w:r>
        <w:rPr>
          <w:rFonts w:hint="eastAsia" w:ascii="仿宋_GB2312" w:hAnsi="ˎ̥" w:cs="宋体"/>
          <w:kern w:val="0"/>
          <w:sz w:val="32"/>
          <w:szCs w:val="32"/>
        </w:rPr>
        <w:t>，由财务办公室牵头组织实施。按照“谁支出，谁负责”的原则，</w:t>
      </w:r>
      <w:r>
        <w:rPr>
          <w:rFonts w:hint="eastAsia" w:ascii="仿宋_GB2312" w:hAnsi="ˎ̥" w:cs="宋体"/>
          <w:kern w:val="0"/>
          <w:sz w:val="32"/>
          <w:szCs w:val="32"/>
          <w:lang w:val="en-US" w:eastAsia="zh-CN"/>
        </w:rPr>
        <w:t>预算执行</w:t>
      </w:r>
      <w:r>
        <w:rPr>
          <w:rFonts w:hint="eastAsia" w:ascii="仿宋_GB2312" w:hAnsi="ˎ̥" w:cs="宋体"/>
          <w:kern w:val="0"/>
          <w:sz w:val="32"/>
          <w:szCs w:val="32"/>
        </w:rPr>
        <w:t>单位承担预算绩效日常监控工作，负责按要求填报监控信息，分析预算绩效目标偏离原因，并及时采取纠偏措施。</w:t>
      </w:r>
    </w:p>
    <w:p w14:paraId="083AD8CF">
      <w:pPr>
        <w:pStyle w:val="5"/>
        <w:keepNext w:val="0"/>
        <w:keepLines w:val="0"/>
        <w:pageBreakBefore w:val="0"/>
        <w:numPr>
          <w:ilvl w:val="-1"/>
          <w:numId w:val="0"/>
        </w:numPr>
        <w:kinsoku/>
        <w:wordWrap/>
        <w:overflowPunct/>
        <w:topLinePunct w:val="0"/>
        <w:autoSpaceDE/>
        <w:autoSpaceDN/>
        <w:bidi w:val="0"/>
        <w:adjustRightInd/>
        <w:snapToGrid/>
        <w:spacing w:line="560" w:lineRule="exact"/>
        <w:textAlignment w:val="auto"/>
        <w:rPr>
          <w:rFonts w:hint="eastAsia" w:ascii="仿宋_GB2312" w:hAnsi="ˎ̥" w:cs="宋体"/>
          <w:kern w:val="0"/>
          <w:sz w:val="32"/>
          <w:szCs w:val="32"/>
        </w:rPr>
      </w:pPr>
      <w:r>
        <w:rPr>
          <w:rFonts w:hint="eastAsia" w:ascii="仿宋_GB2312" w:hAnsi="ˎ̥" w:cs="宋体"/>
          <w:kern w:val="0"/>
          <w:sz w:val="32"/>
          <w:szCs w:val="32"/>
        </w:rPr>
        <w:t>对存在严重问题的政策、项目，报经</w:t>
      </w:r>
      <w:r>
        <w:rPr>
          <w:rFonts w:hint="eastAsia" w:ascii="仿宋_GB2312" w:hAnsi="ˎ̥" w:cs="宋体"/>
          <w:kern w:val="0"/>
          <w:sz w:val="32"/>
          <w:szCs w:val="32"/>
          <w:lang w:val="en-US" w:eastAsia="zh-CN"/>
        </w:rPr>
        <w:t>学院党政联席</w:t>
      </w:r>
      <w:r>
        <w:rPr>
          <w:rFonts w:hint="eastAsia" w:ascii="仿宋_GB2312" w:hAnsi="ˎ̥" w:cs="宋体"/>
          <w:kern w:val="0"/>
          <w:sz w:val="32"/>
          <w:szCs w:val="32"/>
        </w:rPr>
        <w:t>会</w:t>
      </w:r>
      <w:r>
        <w:rPr>
          <w:rFonts w:hint="eastAsia" w:ascii="仿宋_GB2312" w:hAnsi="ˎ̥" w:cs="宋体"/>
          <w:kern w:val="0"/>
          <w:sz w:val="32"/>
          <w:szCs w:val="32"/>
          <w:lang w:val="en-US" w:eastAsia="zh-CN"/>
        </w:rPr>
        <w:t>议</w:t>
      </w:r>
      <w:r>
        <w:rPr>
          <w:rFonts w:hint="eastAsia" w:ascii="仿宋_GB2312" w:hAnsi="ˎ̥" w:cs="宋体"/>
          <w:kern w:val="0"/>
          <w:sz w:val="32"/>
          <w:szCs w:val="32"/>
        </w:rPr>
        <w:t>研究决定，由财务办公室负责暂缓预算资金安排或停止预算拨款，督促及时整改落实。</w:t>
      </w:r>
    </w:p>
    <w:p w14:paraId="1C97F928">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default" w:ascii="黑体" w:hAnsi="黑体" w:eastAsia="黑体" w:cs="Times New Roman"/>
          <w:sz w:val="32"/>
          <w:szCs w:val="32"/>
          <w:lang w:val="en-US" w:eastAsia="zh-CN"/>
        </w:rPr>
      </w:pPr>
      <w:r>
        <w:rPr>
          <w:rFonts w:hint="eastAsia" w:ascii="黑体" w:hAnsi="黑体" w:eastAsia="黑体" w:cs="Times New Roman"/>
          <w:sz w:val="32"/>
          <w:szCs w:val="32"/>
        </w:rPr>
        <w:t>第</w:t>
      </w:r>
      <w:r>
        <w:rPr>
          <w:rFonts w:hint="eastAsia" w:ascii="黑体" w:hAnsi="黑体" w:eastAsia="黑体" w:cs="Times New Roman"/>
          <w:sz w:val="32"/>
          <w:szCs w:val="32"/>
          <w:lang w:val="en-US" w:eastAsia="zh-CN"/>
        </w:rPr>
        <w:t>五</w:t>
      </w:r>
      <w:r>
        <w:rPr>
          <w:rFonts w:hint="eastAsia" w:ascii="黑体" w:hAnsi="黑体" w:eastAsia="黑体" w:cs="Times New Roman"/>
          <w:sz w:val="32"/>
          <w:szCs w:val="32"/>
        </w:rPr>
        <w:t xml:space="preserve">章 </w:t>
      </w:r>
      <w:r>
        <w:rPr>
          <w:rFonts w:hint="eastAsia" w:ascii="黑体" w:hAnsi="黑体" w:eastAsia="黑体" w:cs="Times New Roman"/>
          <w:sz w:val="32"/>
          <w:szCs w:val="32"/>
          <w:lang w:val="en-US" w:eastAsia="zh-CN"/>
        </w:rPr>
        <w:t>预算</w:t>
      </w:r>
      <w:r>
        <w:rPr>
          <w:rFonts w:hint="eastAsia" w:ascii="黑体" w:hAnsi="黑体" w:eastAsia="黑体" w:cs="Times New Roman"/>
          <w:sz w:val="32"/>
          <w:szCs w:val="32"/>
        </w:rPr>
        <w:t>绩效评价</w:t>
      </w:r>
      <w:r>
        <w:rPr>
          <w:rFonts w:hint="eastAsia" w:ascii="黑体" w:hAnsi="黑体" w:eastAsia="黑体" w:cs="Times New Roman"/>
          <w:sz w:val="32"/>
          <w:szCs w:val="32"/>
          <w:lang w:val="en-US" w:eastAsia="zh-CN"/>
        </w:rPr>
        <w:t>与结果应用</w:t>
      </w:r>
    </w:p>
    <w:p w14:paraId="6A7BC750">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hint="eastAsia" w:ascii="仿宋_GB2312" w:hAnsi="ˎ̥" w:cs="宋体"/>
          <w:kern w:val="0"/>
          <w:sz w:val="32"/>
          <w:szCs w:val="32"/>
        </w:rPr>
      </w:pPr>
      <w:r>
        <w:rPr>
          <w:rFonts w:hint="eastAsia" w:ascii="仿宋_GB2312" w:hAnsi="ˎ̥" w:cs="宋体"/>
          <w:b/>
          <w:bCs/>
          <w:kern w:val="0"/>
          <w:sz w:val="32"/>
          <w:szCs w:val="32"/>
          <w:lang w:val="en-US" w:eastAsia="zh-CN"/>
        </w:rPr>
        <w:t>第十二条</w:t>
      </w:r>
      <w:r>
        <w:rPr>
          <w:rFonts w:hint="eastAsia" w:ascii="仿宋_GB2312" w:hAnsi="ˎ̥" w:cs="宋体"/>
          <w:kern w:val="0"/>
          <w:sz w:val="32"/>
          <w:szCs w:val="32"/>
          <w:lang w:val="en-US" w:eastAsia="zh-CN"/>
        </w:rPr>
        <w:t xml:space="preserve"> 预算</w:t>
      </w:r>
      <w:r>
        <w:rPr>
          <w:rFonts w:hint="eastAsia" w:ascii="仿宋_GB2312" w:hAnsi="ˎ̥" w:cs="宋体"/>
          <w:kern w:val="0"/>
          <w:sz w:val="32"/>
          <w:szCs w:val="32"/>
        </w:rPr>
        <w:t>绩效评价</w:t>
      </w:r>
      <w:r>
        <w:rPr>
          <w:rFonts w:hint="eastAsia" w:ascii="仿宋_GB2312" w:hAnsi="ˎ̥" w:cs="宋体"/>
          <w:kern w:val="0"/>
          <w:sz w:val="32"/>
          <w:szCs w:val="32"/>
          <w:lang w:val="en-US" w:eastAsia="zh-CN"/>
        </w:rPr>
        <w:t>是指</w:t>
      </w:r>
      <w:r>
        <w:rPr>
          <w:rFonts w:hint="eastAsia" w:ascii="仿宋_GB2312" w:hAnsi="ˎ̥" w:cs="宋体"/>
          <w:kern w:val="0"/>
          <w:sz w:val="32"/>
          <w:szCs w:val="32"/>
        </w:rPr>
        <w:t>依据预算绩效目标对预算支出的经济性、效率性、效益性和公平性进行客观、公正的测量、分析和评判，分为单位自评、学</w:t>
      </w:r>
      <w:r>
        <w:rPr>
          <w:rFonts w:hint="eastAsia" w:ascii="仿宋_GB2312" w:hAnsi="ˎ̥" w:cs="宋体"/>
          <w:kern w:val="0"/>
          <w:sz w:val="32"/>
          <w:szCs w:val="32"/>
          <w:lang w:val="en-US" w:eastAsia="zh-CN"/>
        </w:rPr>
        <w:t>院</w:t>
      </w:r>
      <w:r>
        <w:rPr>
          <w:rFonts w:hint="eastAsia" w:ascii="仿宋_GB2312" w:hAnsi="ˎ̥" w:cs="宋体"/>
          <w:kern w:val="0"/>
          <w:sz w:val="32"/>
          <w:szCs w:val="32"/>
        </w:rPr>
        <w:t>评价和</w:t>
      </w:r>
      <w:r>
        <w:rPr>
          <w:rFonts w:hint="eastAsia" w:ascii="仿宋_GB2312" w:hAnsi="ˎ̥" w:cs="宋体"/>
          <w:kern w:val="0"/>
          <w:sz w:val="32"/>
          <w:szCs w:val="32"/>
          <w:lang w:val="en-US" w:eastAsia="zh-CN"/>
        </w:rPr>
        <w:t>深圳市</w:t>
      </w:r>
      <w:r>
        <w:rPr>
          <w:rFonts w:hint="eastAsia" w:ascii="仿宋_GB2312" w:hAnsi="ˎ̥" w:cs="宋体"/>
          <w:kern w:val="0"/>
          <w:sz w:val="32"/>
          <w:szCs w:val="32"/>
        </w:rPr>
        <w:t>财政评价三种方式。</w:t>
      </w:r>
    </w:p>
    <w:p w14:paraId="5FB0E15D">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hint="eastAsia" w:ascii="仿宋_GB2312" w:hAnsi="ˎ̥" w:cs="宋体"/>
          <w:kern w:val="0"/>
          <w:sz w:val="32"/>
          <w:szCs w:val="32"/>
          <w:lang w:val="en-US" w:eastAsia="zh-CN"/>
        </w:rPr>
      </w:pPr>
      <w:r>
        <w:rPr>
          <w:rFonts w:hint="eastAsia" w:ascii="仿宋_GB2312" w:hAnsi="ˎ̥" w:cs="宋体"/>
          <w:b/>
          <w:bCs/>
          <w:kern w:val="0"/>
          <w:sz w:val="32"/>
          <w:szCs w:val="32"/>
          <w:lang w:val="en-US" w:eastAsia="zh-CN"/>
        </w:rPr>
        <w:t>第十三条</w:t>
      </w:r>
      <w:r>
        <w:rPr>
          <w:rFonts w:hint="eastAsia" w:ascii="仿宋_GB2312" w:hAnsi="ˎ̥" w:cs="宋体"/>
          <w:kern w:val="0"/>
          <w:sz w:val="32"/>
          <w:szCs w:val="32"/>
          <w:lang w:val="en-US" w:eastAsia="zh-CN"/>
        </w:rPr>
        <w:t xml:space="preserve"> 预算绩效评价基本原则</w:t>
      </w:r>
    </w:p>
    <w:p w14:paraId="306DAF08">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ˎ̥" w:cs="宋体"/>
          <w:kern w:val="0"/>
          <w:sz w:val="32"/>
          <w:szCs w:val="32"/>
          <w:lang w:val="en-US" w:eastAsia="zh-CN"/>
        </w:rPr>
      </w:pPr>
      <w:r>
        <w:rPr>
          <w:rFonts w:hint="eastAsia" w:ascii="仿宋_GB2312" w:hAnsi="ˎ̥" w:cs="宋体"/>
          <w:kern w:val="0"/>
          <w:sz w:val="32"/>
          <w:szCs w:val="32"/>
          <w:lang w:val="en-US" w:eastAsia="zh-CN"/>
        </w:rPr>
        <w:t>（一）科学公正。预算绩效评价运用科学合理的方法， 按照规范程序，对预算绩效进行客观、公正的反映。</w:t>
      </w:r>
    </w:p>
    <w:p w14:paraId="43FD978F">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ˎ̥" w:cs="宋体"/>
          <w:kern w:val="0"/>
          <w:sz w:val="32"/>
          <w:szCs w:val="32"/>
          <w:lang w:val="en-US" w:eastAsia="zh-CN"/>
        </w:rPr>
      </w:pPr>
      <w:r>
        <w:rPr>
          <w:rFonts w:hint="eastAsia" w:ascii="仿宋_GB2312" w:hAnsi="ˎ̥" w:cs="宋体"/>
          <w:kern w:val="0"/>
          <w:sz w:val="32"/>
          <w:szCs w:val="32"/>
          <w:lang w:val="en-US" w:eastAsia="zh-CN"/>
        </w:rPr>
        <w:t>（二）统筹兼顾。预算执行单位自评、学院评价和深圳市财政评价各有侧重，相互衔接。</w:t>
      </w:r>
    </w:p>
    <w:p w14:paraId="7C7017C5">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ˎ̥" w:cs="宋体"/>
          <w:kern w:val="0"/>
          <w:sz w:val="32"/>
          <w:szCs w:val="32"/>
          <w:lang w:val="en-US" w:eastAsia="zh-CN"/>
        </w:rPr>
      </w:pPr>
      <w:r>
        <w:rPr>
          <w:rFonts w:hint="eastAsia" w:ascii="仿宋_GB2312" w:hAnsi="ˎ̥" w:cs="宋体"/>
          <w:kern w:val="0"/>
          <w:sz w:val="32"/>
          <w:szCs w:val="32"/>
          <w:lang w:val="en-US" w:eastAsia="zh-CN"/>
        </w:rPr>
        <w:t>（三）激励约束。预算绩效评价结果与预算安排、政策 调整、改进管理实质性挂钩，奖优罚劣。</w:t>
      </w:r>
    </w:p>
    <w:p w14:paraId="0F1EF14F">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ˎ̥" w:eastAsia="仿宋_GB2312" w:cs="宋体"/>
          <w:kern w:val="0"/>
          <w:sz w:val="32"/>
          <w:szCs w:val="32"/>
          <w:lang w:val="en-US" w:eastAsia="zh-CN"/>
        </w:rPr>
      </w:pPr>
      <w:r>
        <w:rPr>
          <w:rFonts w:hint="eastAsia" w:ascii="仿宋_GB2312" w:hAnsi="ˎ̥" w:cs="宋体"/>
          <w:kern w:val="0"/>
          <w:sz w:val="32"/>
          <w:szCs w:val="32"/>
          <w:lang w:val="en-US" w:eastAsia="zh-CN"/>
        </w:rPr>
        <w:t>（四）公开透明。预算绩效评价结果依法公开，自觉接 受监督。</w:t>
      </w:r>
    </w:p>
    <w:p w14:paraId="25608C71">
      <w:pPr>
        <w:pStyle w:val="5"/>
        <w:numPr>
          <w:ilvl w:val="0"/>
          <w:numId w:val="0"/>
        </w:numPr>
        <w:spacing w:line="560" w:lineRule="exact"/>
        <w:ind w:left="14" w:right="36" w:firstLine="643" w:firstLineChars="200"/>
        <w:rPr>
          <w:rFonts w:hint="eastAsia" w:ascii="仿宋_GB2312" w:hAnsi="ˎ̥" w:cs="宋体"/>
          <w:spacing w:val="0"/>
          <w:kern w:val="0"/>
          <w:szCs w:val="32"/>
        </w:rPr>
      </w:pPr>
      <w:r>
        <w:rPr>
          <w:rFonts w:hint="eastAsia" w:ascii="仿宋_GB2312" w:hAnsi="ˎ̥" w:cs="宋体"/>
          <w:b/>
          <w:bCs/>
          <w:kern w:val="0"/>
          <w:sz w:val="32"/>
          <w:szCs w:val="32"/>
          <w:lang w:val="en-US" w:eastAsia="zh-CN"/>
        </w:rPr>
        <w:t>第十四条</w:t>
      </w:r>
      <w:r>
        <w:rPr>
          <w:rFonts w:hint="eastAsia" w:ascii="仿宋_GB2312" w:hAnsi="ˎ̥" w:cs="宋体"/>
          <w:kern w:val="0"/>
          <w:sz w:val="32"/>
          <w:szCs w:val="32"/>
          <w:lang w:val="en-US" w:eastAsia="zh-CN"/>
        </w:rPr>
        <w:t xml:space="preserve"> </w:t>
      </w:r>
      <w:r>
        <w:rPr>
          <w:rFonts w:hint="eastAsia" w:ascii="仿宋_GB2312" w:hAnsi="ˎ̥" w:cs="宋体"/>
          <w:spacing w:val="0"/>
          <w:kern w:val="0"/>
          <w:szCs w:val="32"/>
        </w:rPr>
        <w:t>预算绩效单位自评由预算执行单位自行实施。学</w:t>
      </w:r>
      <w:r>
        <w:rPr>
          <w:rFonts w:hint="eastAsia" w:ascii="仿宋_GB2312" w:hAnsi="ˎ̥" w:cs="宋体"/>
          <w:spacing w:val="0"/>
          <w:kern w:val="0"/>
          <w:szCs w:val="32"/>
          <w:lang w:val="en-US" w:eastAsia="zh-CN"/>
        </w:rPr>
        <w:t>院</w:t>
      </w:r>
      <w:r>
        <w:rPr>
          <w:rFonts w:hint="eastAsia" w:ascii="仿宋_GB2312" w:hAnsi="ˎ̥" w:cs="宋体"/>
          <w:spacing w:val="0"/>
          <w:kern w:val="0"/>
          <w:szCs w:val="32"/>
        </w:rPr>
        <w:t>评价由学</w:t>
      </w:r>
      <w:r>
        <w:rPr>
          <w:rFonts w:hint="eastAsia" w:ascii="仿宋_GB2312" w:hAnsi="ˎ̥" w:cs="宋体"/>
          <w:spacing w:val="0"/>
          <w:kern w:val="0"/>
          <w:szCs w:val="32"/>
          <w:lang w:val="en-US" w:eastAsia="zh-CN"/>
        </w:rPr>
        <w:t>院</w:t>
      </w:r>
      <w:r>
        <w:rPr>
          <w:rFonts w:hint="eastAsia" w:ascii="仿宋_GB2312" w:hAnsi="ˎ̥" w:cs="宋体"/>
          <w:spacing w:val="0"/>
          <w:kern w:val="0"/>
          <w:szCs w:val="32"/>
        </w:rPr>
        <w:t>相关部门按照上级主管部门和学</w:t>
      </w:r>
      <w:r>
        <w:rPr>
          <w:rFonts w:hint="eastAsia" w:ascii="仿宋_GB2312" w:hAnsi="ˎ̥" w:cs="宋体"/>
          <w:spacing w:val="0"/>
          <w:kern w:val="0"/>
          <w:szCs w:val="32"/>
          <w:lang w:val="en-US" w:eastAsia="zh-CN"/>
        </w:rPr>
        <w:t>院</w:t>
      </w:r>
      <w:r>
        <w:rPr>
          <w:rFonts w:hint="eastAsia" w:ascii="仿宋_GB2312" w:hAnsi="ˎ̥" w:cs="宋体"/>
          <w:spacing w:val="0"/>
          <w:kern w:val="0"/>
          <w:szCs w:val="32"/>
        </w:rPr>
        <w:t>管理要求组织开展。对未完成预算绩效目标或较严重偏离预算绩效目标的，应当分析并说明原因，研究提出改进措施。</w:t>
      </w:r>
    </w:p>
    <w:p w14:paraId="5B34384D">
      <w:pPr>
        <w:pStyle w:val="5"/>
        <w:numPr>
          <w:ilvl w:val="0"/>
          <w:numId w:val="0"/>
        </w:numPr>
        <w:spacing w:line="560" w:lineRule="exact"/>
        <w:ind w:left="14" w:right="36" w:firstLine="715" w:firstLineChars="200"/>
        <w:rPr>
          <w:rFonts w:hint="eastAsia" w:ascii="仿宋_GB2312" w:hAnsi="ˎ̥" w:eastAsia="仿宋_GB2312" w:cs="宋体"/>
          <w:spacing w:val="0"/>
          <w:kern w:val="0"/>
          <w:sz w:val="32"/>
          <w:szCs w:val="32"/>
          <w:lang w:eastAsia="zh-CN"/>
        </w:rPr>
      </w:pPr>
      <w:r>
        <w:rPr>
          <w:rFonts w:hint="default" w:eastAsia="仿宋_GB2312" w:asciiTheme="minorHAnsi" w:hAnsiTheme="minorHAnsi" w:cstheme="minorBidi"/>
          <w:b/>
          <w:bCs/>
          <w:spacing w:val="18"/>
          <w:sz w:val="32"/>
          <w:szCs w:val="24"/>
          <w:lang w:val="en-US" w:eastAsia="zh-CN"/>
        </w:rPr>
        <w:t>第十五条</w:t>
      </w:r>
      <w:r>
        <w:rPr>
          <w:rFonts w:hint="default" w:eastAsia="仿宋_GB2312" w:asciiTheme="minorHAnsi" w:hAnsiTheme="minorHAnsi" w:cstheme="minorBidi"/>
          <w:spacing w:val="18"/>
          <w:sz w:val="32"/>
          <w:szCs w:val="24"/>
          <w:lang w:val="en-US" w:eastAsia="zh-CN"/>
        </w:rPr>
        <w:t xml:space="preserve"> </w:t>
      </w:r>
      <w:r>
        <w:rPr>
          <w:rFonts w:hint="eastAsia" w:ascii="仿宋_GB2312" w:hAnsi="ˎ̥" w:cs="宋体"/>
          <w:spacing w:val="0"/>
          <w:kern w:val="0"/>
          <w:szCs w:val="32"/>
          <w:lang w:eastAsia="zh-CN"/>
        </w:rPr>
        <w:t>预算执行单位应当按照学</w:t>
      </w:r>
      <w:r>
        <w:rPr>
          <w:rFonts w:hint="eastAsia" w:ascii="仿宋_GB2312" w:hAnsi="ˎ̥" w:eastAsia="仿宋_GB2312" w:cs="宋体"/>
          <w:spacing w:val="0"/>
          <w:kern w:val="0"/>
          <w:sz w:val="32"/>
          <w:szCs w:val="32"/>
          <w:lang w:val="en-US" w:eastAsia="zh-CN"/>
        </w:rPr>
        <w:t>院</w:t>
      </w:r>
      <w:r>
        <w:rPr>
          <w:rFonts w:hint="eastAsia" w:ascii="仿宋_GB2312" w:hAnsi="ˎ̥" w:cs="宋体"/>
          <w:spacing w:val="0"/>
          <w:kern w:val="0"/>
          <w:szCs w:val="32"/>
          <w:lang w:eastAsia="zh-CN"/>
        </w:rPr>
        <w:t>统一要求，针对预算绩效评价中发现的问题，及时提出对应措施，及时整改到位，并将整改情况以书面形式报业务归口部门和财务</w:t>
      </w:r>
      <w:r>
        <w:rPr>
          <w:rFonts w:hint="eastAsia" w:ascii="仿宋_GB2312" w:hAnsi="ˎ̥" w:eastAsia="仿宋_GB2312" w:cs="宋体"/>
          <w:spacing w:val="0"/>
          <w:kern w:val="0"/>
          <w:sz w:val="32"/>
          <w:szCs w:val="32"/>
          <w:lang w:val="en-US" w:eastAsia="zh-CN"/>
        </w:rPr>
        <w:t>办公室</w:t>
      </w:r>
      <w:r>
        <w:rPr>
          <w:rFonts w:hint="eastAsia" w:ascii="仿宋_GB2312" w:hAnsi="ˎ̥" w:cs="宋体"/>
          <w:spacing w:val="0"/>
          <w:kern w:val="0"/>
          <w:szCs w:val="32"/>
          <w:lang w:eastAsia="zh-CN"/>
        </w:rPr>
        <w:t>。</w:t>
      </w:r>
    </w:p>
    <w:p w14:paraId="3569BAEA">
      <w:pPr>
        <w:pStyle w:val="5"/>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715"/>
        <w:textAlignment w:val="auto"/>
        <w:rPr>
          <w:rFonts w:hint="eastAsia"/>
          <w:sz w:val="32"/>
          <w:szCs w:val="32"/>
          <w:lang w:val="en-US" w:eastAsia="zh-CN"/>
        </w:rPr>
      </w:pPr>
      <w:r>
        <w:rPr>
          <w:rFonts w:hint="eastAsia" w:cstheme="minorBidi"/>
          <w:b/>
          <w:bCs/>
          <w:spacing w:val="18"/>
          <w:sz w:val="32"/>
          <w:szCs w:val="24"/>
          <w:lang w:val="en-US" w:eastAsia="zh-CN"/>
        </w:rPr>
        <w:t>第十六条</w:t>
      </w:r>
      <w:r>
        <w:rPr>
          <w:rFonts w:hint="eastAsia" w:cstheme="minorBidi"/>
          <w:spacing w:val="18"/>
          <w:sz w:val="32"/>
          <w:szCs w:val="24"/>
          <w:lang w:val="en-US" w:eastAsia="zh-CN"/>
        </w:rPr>
        <w:t xml:space="preserve"> </w:t>
      </w:r>
      <w:r>
        <w:rPr>
          <w:sz w:val="32"/>
          <w:szCs w:val="32"/>
        </w:rPr>
        <w:t>预算绩效评价结果纳入</w:t>
      </w:r>
      <w:r>
        <w:rPr>
          <w:rFonts w:hint="eastAsia"/>
          <w:sz w:val="32"/>
          <w:szCs w:val="32"/>
          <w:lang w:val="en-US" w:eastAsia="zh-CN"/>
        </w:rPr>
        <w:t>二级</w:t>
      </w:r>
      <w:r>
        <w:rPr>
          <w:rFonts w:hint="eastAsia"/>
          <w:sz w:val="32"/>
          <w:szCs w:val="32"/>
          <w:lang w:val="en-US" w:eastAsia="zh-Hans"/>
        </w:rPr>
        <w:t>单位</w:t>
      </w:r>
      <w:r>
        <w:rPr>
          <w:sz w:val="32"/>
          <w:szCs w:val="32"/>
        </w:rPr>
        <w:t>年度绩效考核范围，并作为预算</w:t>
      </w:r>
      <w:r>
        <w:rPr>
          <w:rFonts w:hint="eastAsia"/>
          <w:sz w:val="32"/>
          <w:szCs w:val="32"/>
          <w:lang w:val="en-US" w:eastAsia="zh-CN"/>
        </w:rPr>
        <w:t>安排</w:t>
      </w:r>
      <w:r>
        <w:rPr>
          <w:sz w:val="32"/>
          <w:szCs w:val="32"/>
        </w:rPr>
        <w:t>的重要参考</w:t>
      </w:r>
      <w:r>
        <w:rPr>
          <w:rFonts w:hint="eastAsia"/>
          <w:sz w:val="32"/>
          <w:szCs w:val="32"/>
          <w:lang w:val="en-US" w:eastAsia="zh-CN"/>
        </w:rPr>
        <w:t>依据。</w:t>
      </w:r>
    </w:p>
    <w:p w14:paraId="69E7E4D6">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715"/>
        <w:textAlignment w:val="auto"/>
        <w:rPr>
          <w:rFonts w:ascii="仿宋_GB2312" w:hAnsi="ˎ̥" w:cs="宋体"/>
          <w:kern w:val="0"/>
          <w:sz w:val="32"/>
          <w:szCs w:val="32"/>
        </w:rPr>
      </w:pPr>
      <w:r>
        <w:rPr>
          <w:rFonts w:hint="eastAsia"/>
          <w:b/>
          <w:bCs/>
          <w:sz w:val="32"/>
          <w:szCs w:val="32"/>
          <w:lang w:val="en-US" w:eastAsia="zh-CN"/>
        </w:rPr>
        <w:t>第十七条</w:t>
      </w:r>
      <w:r>
        <w:rPr>
          <w:rFonts w:hint="eastAsia"/>
          <w:sz w:val="32"/>
          <w:szCs w:val="32"/>
          <w:lang w:val="en-US" w:eastAsia="zh-CN"/>
        </w:rPr>
        <w:t xml:space="preserve"> </w:t>
      </w:r>
      <w:r>
        <w:rPr>
          <w:rFonts w:hint="eastAsia" w:ascii="仿宋_GB2312" w:hAnsi="ˎ̥" w:cs="宋体"/>
          <w:kern w:val="0"/>
          <w:sz w:val="32"/>
          <w:szCs w:val="32"/>
        </w:rPr>
        <w:t>财务办公室应当逐步组织推进重要绩效目标、绩效评价结果等的信息公开工作，在一定范围内自觉接受师生</w:t>
      </w:r>
      <w:r>
        <w:rPr>
          <w:rFonts w:hint="eastAsia" w:ascii="仿宋_GB2312" w:hAnsi="ˎ̥" w:cs="宋体"/>
          <w:kern w:val="0"/>
          <w:sz w:val="32"/>
          <w:szCs w:val="32"/>
          <w:lang w:val="en-US" w:eastAsia="zh-CN"/>
        </w:rPr>
        <w:t>员工</w:t>
      </w:r>
      <w:r>
        <w:rPr>
          <w:rFonts w:hint="eastAsia" w:ascii="仿宋_GB2312" w:hAnsi="ˎ̥" w:cs="宋体"/>
          <w:kern w:val="0"/>
          <w:sz w:val="32"/>
          <w:szCs w:val="32"/>
        </w:rPr>
        <w:t>监督。</w:t>
      </w:r>
    </w:p>
    <w:p w14:paraId="23DB1CB6">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ascii="黑体" w:hAnsi="黑体" w:eastAsia="黑体" w:cs="Times New Roman"/>
          <w:sz w:val="32"/>
          <w:szCs w:val="32"/>
        </w:rPr>
      </w:pPr>
      <w:r>
        <w:rPr>
          <w:rFonts w:hint="eastAsia" w:ascii="黑体" w:hAnsi="黑体" w:eastAsia="黑体" w:cs="Times New Roman"/>
          <w:sz w:val="32"/>
          <w:szCs w:val="32"/>
        </w:rPr>
        <w:t>第</w:t>
      </w:r>
      <w:r>
        <w:rPr>
          <w:rFonts w:hint="eastAsia" w:ascii="黑体" w:hAnsi="黑体" w:eastAsia="黑体" w:cs="Times New Roman"/>
          <w:sz w:val="32"/>
          <w:szCs w:val="32"/>
          <w:lang w:val="en-US" w:eastAsia="zh-CN"/>
        </w:rPr>
        <w:t>六</w:t>
      </w:r>
      <w:r>
        <w:rPr>
          <w:rFonts w:hint="eastAsia" w:ascii="黑体" w:hAnsi="黑体" w:eastAsia="黑体" w:cs="Times New Roman"/>
          <w:sz w:val="32"/>
          <w:szCs w:val="32"/>
        </w:rPr>
        <w:t>章 监督与问责</w:t>
      </w:r>
    </w:p>
    <w:p w14:paraId="520356ED">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ˎ̥" w:cs="宋体"/>
          <w:kern w:val="0"/>
          <w:sz w:val="32"/>
          <w:szCs w:val="32"/>
        </w:rPr>
      </w:pPr>
      <w:r>
        <w:rPr>
          <w:rFonts w:hint="eastAsia"/>
          <w:b/>
          <w:bCs/>
          <w:sz w:val="32"/>
          <w:szCs w:val="32"/>
          <w:lang w:val="en-US" w:eastAsia="zh-CN"/>
        </w:rPr>
        <w:t>第十八条</w:t>
      </w:r>
      <w:r>
        <w:rPr>
          <w:rFonts w:hint="eastAsia"/>
          <w:sz w:val="32"/>
          <w:szCs w:val="32"/>
          <w:lang w:val="en-US" w:eastAsia="zh-CN"/>
        </w:rPr>
        <w:t xml:space="preserve"> </w:t>
      </w:r>
      <w:r>
        <w:rPr>
          <w:sz w:val="32"/>
          <w:szCs w:val="32"/>
        </w:rPr>
        <w:t>学</w:t>
      </w:r>
      <w:r>
        <w:rPr>
          <w:rFonts w:hint="eastAsia"/>
          <w:sz w:val="32"/>
          <w:szCs w:val="32"/>
        </w:rPr>
        <w:t>院</w:t>
      </w:r>
      <w:r>
        <w:rPr>
          <w:sz w:val="32"/>
          <w:szCs w:val="32"/>
        </w:rPr>
        <w:t>自觉接受</w:t>
      </w:r>
      <w:r>
        <w:rPr>
          <w:rFonts w:hint="eastAsia"/>
          <w:sz w:val="32"/>
          <w:szCs w:val="32"/>
          <w:lang w:val="en-US" w:eastAsia="zh-CN"/>
        </w:rPr>
        <w:t>上级主管部门和财政、审计等部门</w:t>
      </w:r>
      <w:r>
        <w:rPr>
          <w:sz w:val="32"/>
          <w:szCs w:val="32"/>
        </w:rPr>
        <w:t>的监督。</w:t>
      </w:r>
    </w:p>
    <w:p w14:paraId="414B0E6B">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hint="eastAsia" w:ascii="仿宋_GB2312" w:hAnsi="ˎ̥" w:cs="宋体"/>
          <w:kern w:val="0"/>
          <w:sz w:val="32"/>
          <w:szCs w:val="32"/>
        </w:rPr>
      </w:pPr>
      <w:r>
        <w:rPr>
          <w:rFonts w:hint="eastAsia" w:ascii="仿宋_GB2312" w:hAnsi="ˎ̥" w:cs="宋体"/>
          <w:b/>
          <w:bCs/>
          <w:kern w:val="0"/>
          <w:sz w:val="32"/>
          <w:szCs w:val="32"/>
          <w:lang w:val="en-US" w:eastAsia="zh-CN"/>
        </w:rPr>
        <w:t>第十九条</w:t>
      </w:r>
      <w:r>
        <w:rPr>
          <w:rFonts w:hint="eastAsia" w:ascii="仿宋_GB2312" w:hAnsi="ˎ̥" w:cs="宋体"/>
          <w:kern w:val="0"/>
          <w:sz w:val="32"/>
          <w:szCs w:val="32"/>
          <w:lang w:val="en-US" w:eastAsia="zh-CN"/>
        </w:rPr>
        <w:t xml:space="preserve"> 审计</w:t>
      </w:r>
      <w:r>
        <w:rPr>
          <w:rFonts w:hint="eastAsia" w:ascii="仿宋_GB2312" w:hAnsi="ˎ̥" w:cs="宋体"/>
          <w:kern w:val="0"/>
          <w:sz w:val="32"/>
          <w:szCs w:val="32"/>
        </w:rPr>
        <w:t>办公室负责对预算绩效管理情况开展审计监督，对审计发现的问题及时督促落实整改。</w:t>
      </w:r>
    </w:p>
    <w:p w14:paraId="7DA94620">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ˎ̥" w:cs="宋体"/>
          <w:kern w:val="0"/>
          <w:sz w:val="32"/>
          <w:szCs w:val="32"/>
        </w:rPr>
      </w:pPr>
      <w:r>
        <w:rPr>
          <w:rFonts w:hint="eastAsia" w:ascii="仿宋_GB2312" w:hAnsi="ˎ̥" w:cs="宋体"/>
          <w:kern w:val="0"/>
          <w:sz w:val="32"/>
          <w:szCs w:val="32"/>
          <w:lang w:val="en-US" w:eastAsia="zh-CN"/>
        </w:rPr>
        <w:t>二级</w:t>
      </w:r>
      <w:r>
        <w:rPr>
          <w:rFonts w:hint="eastAsia" w:ascii="仿宋_GB2312" w:hAnsi="ˎ̥" w:cs="宋体"/>
          <w:kern w:val="0"/>
          <w:sz w:val="32"/>
          <w:szCs w:val="32"/>
          <w:lang w:val="en-US" w:eastAsia="zh-Hans"/>
        </w:rPr>
        <w:t>单位</w:t>
      </w:r>
      <w:r>
        <w:rPr>
          <w:rFonts w:hint="eastAsia" w:ascii="仿宋_GB2312" w:hAnsi="ˎ̥" w:cs="宋体"/>
          <w:kern w:val="0"/>
          <w:sz w:val="32"/>
          <w:szCs w:val="32"/>
        </w:rPr>
        <w:t>应当自觉接受审计监督，配合做好审计相关工作。</w:t>
      </w:r>
    </w:p>
    <w:p w14:paraId="300B0E50">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ascii="仿宋_GB2312" w:hAnsi="ˎ̥" w:cs="宋体"/>
          <w:kern w:val="0"/>
          <w:sz w:val="32"/>
          <w:szCs w:val="32"/>
        </w:rPr>
      </w:pPr>
      <w:r>
        <w:rPr>
          <w:rFonts w:hint="eastAsia" w:ascii="仿宋_GB2312" w:hAnsi="ˎ̥" w:cs="宋体"/>
          <w:b/>
          <w:bCs/>
          <w:kern w:val="0"/>
          <w:sz w:val="32"/>
          <w:szCs w:val="32"/>
          <w:lang w:val="en-US" w:eastAsia="zh-CN"/>
        </w:rPr>
        <w:t xml:space="preserve">第二十条 </w:t>
      </w:r>
      <w:r>
        <w:rPr>
          <w:rFonts w:hint="eastAsia" w:ascii="仿宋_GB2312" w:hAnsi="ˎ̥" w:cs="宋体"/>
          <w:kern w:val="0"/>
          <w:sz w:val="32"/>
          <w:szCs w:val="32"/>
          <w:lang w:val="en-US" w:eastAsia="zh-CN"/>
        </w:rPr>
        <w:t>学院</w:t>
      </w:r>
      <w:r>
        <w:rPr>
          <w:rFonts w:hint="eastAsia" w:ascii="仿宋_GB2312" w:hAnsi="ˎ̥" w:cs="宋体"/>
          <w:kern w:val="0"/>
          <w:sz w:val="32"/>
          <w:szCs w:val="32"/>
        </w:rPr>
        <w:t>任何</w:t>
      </w:r>
      <w:r>
        <w:rPr>
          <w:rFonts w:hint="eastAsia" w:ascii="仿宋_GB2312" w:hAnsi="ˎ̥" w:cs="宋体"/>
          <w:kern w:val="0"/>
          <w:sz w:val="32"/>
          <w:szCs w:val="32"/>
          <w:lang w:val="en-US" w:eastAsia="zh-CN"/>
        </w:rPr>
        <w:t>单位</w:t>
      </w:r>
      <w:r>
        <w:rPr>
          <w:rFonts w:hint="eastAsia" w:ascii="仿宋_GB2312" w:hAnsi="ˎ̥" w:cs="宋体"/>
          <w:kern w:val="0"/>
          <w:sz w:val="32"/>
          <w:szCs w:val="32"/>
        </w:rPr>
        <w:t>和个人违反本办法相关规定的，</w:t>
      </w:r>
      <w:r>
        <w:rPr>
          <w:rFonts w:hint="eastAsia" w:ascii="仿宋_GB2312" w:hAnsi="ˎ̥" w:cs="宋体"/>
          <w:kern w:val="0"/>
          <w:sz w:val="32"/>
          <w:szCs w:val="32"/>
          <w:lang w:val="en-US" w:eastAsia="zh-CN"/>
        </w:rPr>
        <w:t>学院</w:t>
      </w:r>
      <w:r>
        <w:rPr>
          <w:rFonts w:hint="eastAsia" w:ascii="仿宋_GB2312" w:hAnsi="ˎ̥" w:cs="宋体"/>
          <w:kern w:val="0"/>
          <w:sz w:val="32"/>
          <w:szCs w:val="32"/>
        </w:rPr>
        <w:t>视情节轻重对直接负责人和相关负责人给予批评教育直至纪律处分。</w:t>
      </w:r>
    </w:p>
    <w:p w14:paraId="335B0D9E">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ascii="黑体" w:hAnsi="黑体" w:eastAsia="黑体" w:cs="Times New Roman"/>
          <w:sz w:val="32"/>
          <w:szCs w:val="32"/>
        </w:rPr>
      </w:pPr>
      <w:r>
        <w:rPr>
          <w:rFonts w:hint="eastAsia" w:ascii="黑体" w:hAnsi="黑体" w:eastAsia="黑体" w:cs="Times New Roman"/>
          <w:sz w:val="32"/>
          <w:szCs w:val="32"/>
        </w:rPr>
        <w:t>第</w:t>
      </w:r>
      <w:r>
        <w:rPr>
          <w:rFonts w:hint="eastAsia" w:ascii="黑体" w:hAnsi="黑体" w:eastAsia="黑体" w:cs="Times New Roman"/>
          <w:sz w:val="32"/>
          <w:szCs w:val="32"/>
          <w:lang w:val="en-US" w:eastAsia="zh-CN"/>
        </w:rPr>
        <w:t>七</w:t>
      </w:r>
      <w:r>
        <w:rPr>
          <w:rFonts w:hint="eastAsia" w:ascii="黑体" w:hAnsi="黑体" w:eastAsia="黑体" w:cs="Times New Roman"/>
          <w:sz w:val="32"/>
          <w:szCs w:val="32"/>
        </w:rPr>
        <w:t>章 附则</w:t>
      </w:r>
    </w:p>
    <w:p w14:paraId="7F882CCE">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hint="eastAsia" w:ascii="仿宋_GB2312" w:hAnsi="ˎ̥" w:cs="宋体"/>
          <w:kern w:val="0"/>
          <w:sz w:val="32"/>
          <w:szCs w:val="32"/>
        </w:rPr>
      </w:pPr>
      <w:r>
        <w:rPr>
          <w:rFonts w:hint="eastAsia" w:ascii="仿宋_GB2312" w:hAnsi="ˎ̥" w:cs="宋体"/>
          <w:b/>
          <w:bCs/>
          <w:kern w:val="0"/>
          <w:sz w:val="32"/>
          <w:szCs w:val="32"/>
          <w:lang w:val="en-US" w:eastAsia="zh-CN"/>
        </w:rPr>
        <w:t>第二十一条</w:t>
      </w:r>
      <w:r>
        <w:rPr>
          <w:rFonts w:hint="eastAsia" w:ascii="仿宋_GB2312" w:hAnsi="ˎ̥" w:cs="宋体"/>
          <w:kern w:val="0"/>
          <w:sz w:val="32"/>
          <w:szCs w:val="32"/>
          <w:lang w:val="en-US" w:eastAsia="zh-CN"/>
        </w:rPr>
        <w:t xml:space="preserve"> </w:t>
      </w:r>
      <w:r>
        <w:rPr>
          <w:rFonts w:hint="eastAsia" w:ascii="仿宋_GB2312" w:hAnsi="ˎ̥" w:cs="宋体"/>
          <w:kern w:val="0"/>
          <w:sz w:val="32"/>
          <w:szCs w:val="32"/>
        </w:rPr>
        <w:t>本</w:t>
      </w:r>
      <w:r>
        <w:rPr>
          <w:rFonts w:hint="eastAsia" w:ascii="仿宋_GB2312" w:hAnsi="ˎ̥" w:cs="宋体"/>
          <w:kern w:val="0"/>
          <w:sz w:val="32"/>
          <w:szCs w:val="32"/>
          <w:lang w:val="en-US" w:eastAsia="zh-CN"/>
        </w:rPr>
        <w:t>办法</w:t>
      </w:r>
      <w:r>
        <w:rPr>
          <w:rFonts w:hint="eastAsia" w:ascii="仿宋_GB2312" w:hAnsi="ˎ̥" w:cs="宋体"/>
          <w:kern w:val="0"/>
          <w:sz w:val="32"/>
          <w:szCs w:val="32"/>
        </w:rPr>
        <w:t>由财务办公室负责解释。</w:t>
      </w:r>
    </w:p>
    <w:p w14:paraId="3C1EFB25">
      <w:pPr>
        <w:pStyle w:val="5"/>
        <w:keepNext w:val="0"/>
        <w:keepLines w:val="0"/>
        <w:pageBreakBefore w:val="0"/>
        <w:numPr>
          <w:ilvl w:val="-1"/>
          <w:numId w:val="0"/>
        </w:numPr>
        <w:kinsoku/>
        <w:wordWrap/>
        <w:overflowPunct/>
        <w:topLinePunct w:val="0"/>
        <w:autoSpaceDE/>
        <w:autoSpaceDN/>
        <w:bidi w:val="0"/>
        <w:adjustRightInd/>
        <w:snapToGrid/>
        <w:spacing w:line="560" w:lineRule="exact"/>
        <w:ind w:firstLine="643"/>
        <w:textAlignment w:val="auto"/>
        <w:rPr>
          <w:rFonts w:hint="default" w:ascii="仿宋_GB2312" w:hAnsi="ˎ̥" w:eastAsia="仿宋_GB2312" w:cs="宋体"/>
          <w:kern w:val="0"/>
          <w:sz w:val="32"/>
          <w:szCs w:val="32"/>
          <w:lang w:val="en-US" w:eastAsia="zh-CN"/>
        </w:rPr>
      </w:pPr>
      <w:r>
        <w:rPr>
          <w:rFonts w:hint="eastAsia" w:ascii="仿宋_GB2312" w:hAnsi="ˎ̥" w:cs="宋体"/>
          <w:b/>
          <w:bCs/>
          <w:kern w:val="0"/>
          <w:sz w:val="32"/>
          <w:szCs w:val="32"/>
          <w:lang w:val="en-US" w:eastAsia="zh-CN"/>
        </w:rPr>
        <w:t>第二十二条</w:t>
      </w:r>
      <w:r>
        <w:rPr>
          <w:rFonts w:hint="eastAsia" w:ascii="仿宋_GB2312" w:hAnsi="ˎ̥" w:cs="宋体"/>
          <w:kern w:val="0"/>
          <w:sz w:val="32"/>
          <w:szCs w:val="32"/>
          <w:lang w:val="en-US" w:eastAsia="zh-CN"/>
        </w:rPr>
        <w:t xml:space="preserve"> 本办法自公布之日起施行。</w:t>
      </w:r>
    </w:p>
    <w:p w14:paraId="3A7D5BF1">
      <w:pPr>
        <w:pStyle w:val="5"/>
        <w:spacing w:line="579" w:lineRule="exact"/>
        <w:ind w:firstLine="0" w:firstLineChars="0"/>
        <w:rPr>
          <w:rFonts w:ascii="仿宋_GB2312" w:hAnsi="ˎ̥" w:cs="宋体"/>
          <w:kern w:val="0"/>
          <w:szCs w:val="32"/>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ˎ̥">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776F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9493F7">
                          <w:pPr>
                            <w:pStyle w:val="7"/>
                            <w:rPr>
                              <w:rFonts w:hint="default" w:ascii="Times New Roman Regular" w:hAnsi="Times New Roman Regular" w:cs="Times New Roman Regular"/>
                            </w:rPr>
                          </w:pP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  \* MERGEFORMAT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1</w:t>
                          </w:r>
                          <w:r>
                            <w:rPr>
                              <w:rFonts w:hint="default" w:ascii="Times New Roman Regular" w:hAnsi="Times New Roman Regular" w:cs="Times New Roman Regular"/>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9493F7">
                    <w:pPr>
                      <w:pStyle w:val="7"/>
                      <w:rPr>
                        <w:rFonts w:hint="default" w:ascii="Times New Roman Regular" w:hAnsi="Times New Roman Regular" w:cs="Times New Roman Regular"/>
                      </w:rPr>
                    </w:pP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  \* MERGEFORMAT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1</w:t>
                    </w:r>
                    <w:r>
                      <w:rPr>
                        <w:rFonts w:hint="default" w:ascii="Times New Roman Regular" w:hAnsi="Times New Roman Regular" w:cs="Times New Roman Regular"/>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172A27"/>
    <w:rsid w:val="00001C0A"/>
    <w:rsid w:val="00067DA1"/>
    <w:rsid w:val="000755D1"/>
    <w:rsid w:val="00080C17"/>
    <w:rsid w:val="000C35F6"/>
    <w:rsid w:val="00100B05"/>
    <w:rsid w:val="00146B81"/>
    <w:rsid w:val="00172A27"/>
    <w:rsid w:val="001C77BC"/>
    <w:rsid w:val="00234723"/>
    <w:rsid w:val="002D63F1"/>
    <w:rsid w:val="003D5CE2"/>
    <w:rsid w:val="003E1911"/>
    <w:rsid w:val="00493356"/>
    <w:rsid w:val="004B1D44"/>
    <w:rsid w:val="00556BC7"/>
    <w:rsid w:val="0059644C"/>
    <w:rsid w:val="005C5FE4"/>
    <w:rsid w:val="005D35B7"/>
    <w:rsid w:val="00654C59"/>
    <w:rsid w:val="006A6CEE"/>
    <w:rsid w:val="006D1554"/>
    <w:rsid w:val="007356B3"/>
    <w:rsid w:val="00740512"/>
    <w:rsid w:val="00772899"/>
    <w:rsid w:val="00783F21"/>
    <w:rsid w:val="007F15A0"/>
    <w:rsid w:val="00873E98"/>
    <w:rsid w:val="008772BA"/>
    <w:rsid w:val="0092282F"/>
    <w:rsid w:val="009F1943"/>
    <w:rsid w:val="009F279D"/>
    <w:rsid w:val="00A34951"/>
    <w:rsid w:val="00AA2CDD"/>
    <w:rsid w:val="00BD40B2"/>
    <w:rsid w:val="00C66CB3"/>
    <w:rsid w:val="00C7212A"/>
    <w:rsid w:val="00CA01D6"/>
    <w:rsid w:val="00CD3140"/>
    <w:rsid w:val="00D425CD"/>
    <w:rsid w:val="00D80C2A"/>
    <w:rsid w:val="00DF121A"/>
    <w:rsid w:val="00EA3AC5"/>
    <w:rsid w:val="00F62C18"/>
    <w:rsid w:val="00F712D3"/>
    <w:rsid w:val="00FA14EB"/>
    <w:rsid w:val="00FA1E6C"/>
    <w:rsid w:val="00FB2108"/>
    <w:rsid w:val="00FF3A98"/>
    <w:rsid w:val="015B3EA9"/>
    <w:rsid w:val="019B347B"/>
    <w:rsid w:val="02706DDA"/>
    <w:rsid w:val="03DF1EFE"/>
    <w:rsid w:val="04276331"/>
    <w:rsid w:val="04427498"/>
    <w:rsid w:val="04546663"/>
    <w:rsid w:val="048165FD"/>
    <w:rsid w:val="04CE4626"/>
    <w:rsid w:val="05591DF8"/>
    <w:rsid w:val="05C720BC"/>
    <w:rsid w:val="05ED7081"/>
    <w:rsid w:val="06C52DF9"/>
    <w:rsid w:val="07CD4631"/>
    <w:rsid w:val="08793BFE"/>
    <w:rsid w:val="08867E0D"/>
    <w:rsid w:val="089077BF"/>
    <w:rsid w:val="08A43E45"/>
    <w:rsid w:val="091F7F9E"/>
    <w:rsid w:val="093D7CDC"/>
    <w:rsid w:val="09420839"/>
    <w:rsid w:val="0ABF34A9"/>
    <w:rsid w:val="0B687ED9"/>
    <w:rsid w:val="0BD647B3"/>
    <w:rsid w:val="0C2B44B7"/>
    <w:rsid w:val="0C2D5825"/>
    <w:rsid w:val="0CE63A55"/>
    <w:rsid w:val="0E274AA2"/>
    <w:rsid w:val="0EAF6396"/>
    <w:rsid w:val="0F290B24"/>
    <w:rsid w:val="102A5566"/>
    <w:rsid w:val="126C6DA1"/>
    <w:rsid w:val="12D746E8"/>
    <w:rsid w:val="130A2CBE"/>
    <w:rsid w:val="131F5EB6"/>
    <w:rsid w:val="13D31FD3"/>
    <w:rsid w:val="13EA4647"/>
    <w:rsid w:val="142B5405"/>
    <w:rsid w:val="144E07DC"/>
    <w:rsid w:val="15D45685"/>
    <w:rsid w:val="15EC5FD2"/>
    <w:rsid w:val="17562212"/>
    <w:rsid w:val="17E73AC6"/>
    <w:rsid w:val="17FF3B54"/>
    <w:rsid w:val="18594B51"/>
    <w:rsid w:val="18A274EB"/>
    <w:rsid w:val="18DD3E5C"/>
    <w:rsid w:val="19D475FF"/>
    <w:rsid w:val="1B0620C6"/>
    <w:rsid w:val="1B3E3BB1"/>
    <w:rsid w:val="1B7E2713"/>
    <w:rsid w:val="1CE713A8"/>
    <w:rsid w:val="1CFB3750"/>
    <w:rsid w:val="1D2D5A1E"/>
    <w:rsid w:val="1D361D34"/>
    <w:rsid w:val="1E42335E"/>
    <w:rsid w:val="1F104D9C"/>
    <w:rsid w:val="1FCF3C30"/>
    <w:rsid w:val="1FD72622"/>
    <w:rsid w:val="203C4747"/>
    <w:rsid w:val="2041217D"/>
    <w:rsid w:val="20762B50"/>
    <w:rsid w:val="208B64A9"/>
    <w:rsid w:val="2160319A"/>
    <w:rsid w:val="218D77FB"/>
    <w:rsid w:val="22737D2A"/>
    <w:rsid w:val="22E06A22"/>
    <w:rsid w:val="23D74548"/>
    <w:rsid w:val="246545D0"/>
    <w:rsid w:val="24743B45"/>
    <w:rsid w:val="24992F22"/>
    <w:rsid w:val="259A1C3E"/>
    <w:rsid w:val="263D338D"/>
    <w:rsid w:val="26F6325D"/>
    <w:rsid w:val="27025C47"/>
    <w:rsid w:val="28496AC8"/>
    <w:rsid w:val="287420C2"/>
    <w:rsid w:val="29D160B7"/>
    <w:rsid w:val="29D6134E"/>
    <w:rsid w:val="2A2165FF"/>
    <w:rsid w:val="2B895348"/>
    <w:rsid w:val="2BF71BED"/>
    <w:rsid w:val="2C5114A1"/>
    <w:rsid w:val="2C5F274F"/>
    <w:rsid w:val="2C972777"/>
    <w:rsid w:val="2D241E80"/>
    <w:rsid w:val="2D9978A3"/>
    <w:rsid w:val="2E466B05"/>
    <w:rsid w:val="2E523D0A"/>
    <w:rsid w:val="2E66036E"/>
    <w:rsid w:val="2E6B420B"/>
    <w:rsid w:val="2EA70668"/>
    <w:rsid w:val="2EEA1D3B"/>
    <w:rsid w:val="2F5D5F87"/>
    <w:rsid w:val="2F73160B"/>
    <w:rsid w:val="328B5646"/>
    <w:rsid w:val="32F742BF"/>
    <w:rsid w:val="330A3BDA"/>
    <w:rsid w:val="33890F9E"/>
    <w:rsid w:val="34F93EA1"/>
    <w:rsid w:val="357D3A43"/>
    <w:rsid w:val="35B0179A"/>
    <w:rsid w:val="35C31118"/>
    <w:rsid w:val="35D66500"/>
    <w:rsid w:val="363026EC"/>
    <w:rsid w:val="36B045E5"/>
    <w:rsid w:val="36FF37DC"/>
    <w:rsid w:val="378322AE"/>
    <w:rsid w:val="37FF5430"/>
    <w:rsid w:val="39D62596"/>
    <w:rsid w:val="3A8226D9"/>
    <w:rsid w:val="3A8F0D4B"/>
    <w:rsid w:val="3B2E72DC"/>
    <w:rsid w:val="3BDB7E32"/>
    <w:rsid w:val="3C1D1E3B"/>
    <w:rsid w:val="3C994BF2"/>
    <w:rsid w:val="3DB87041"/>
    <w:rsid w:val="3E6F7905"/>
    <w:rsid w:val="3EB02059"/>
    <w:rsid w:val="3EF14D6F"/>
    <w:rsid w:val="3F152B69"/>
    <w:rsid w:val="3F535D77"/>
    <w:rsid w:val="3F8D6D9E"/>
    <w:rsid w:val="3FE722F9"/>
    <w:rsid w:val="3FF94BEE"/>
    <w:rsid w:val="3FFD4696"/>
    <w:rsid w:val="40E638EA"/>
    <w:rsid w:val="41115446"/>
    <w:rsid w:val="41216701"/>
    <w:rsid w:val="416A1E91"/>
    <w:rsid w:val="418D5094"/>
    <w:rsid w:val="428029BA"/>
    <w:rsid w:val="42FE51A1"/>
    <w:rsid w:val="43634EBF"/>
    <w:rsid w:val="439872E2"/>
    <w:rsid w:val="44DA711D"/>
    <w:rsid w:val="46B71A31"/>
    <w:rsid w:val="46D206CA"/>
    <w:rsid w:val="474D5D8D"/>
    <w:rsid w:val="474E3072"/>
    <w:rsid w:val="479E620F"/>
    <w:rsid w:val="47BB3556"/>
    <w:rsid w:val="47F83813"/>
    <w:rsid w:val="49492976"/>
    <w:rsid w:val="496F47D7"/>
    <w:rsid w:val="49CF2297"/>
    <w:rsid w:val="49E1795F"/>
    <w:rsid w:val="4A9D018C"/>
    <w:rsid w:val="4F5FA54B"/>
    <w:rsid w:val="4F651085"/>
    <w:rsid w:val="505332E7"/>
    <w:rsid w:val="50583743"/>
    <w:rsid w:val="50963BC5"/>
    <w:rsid w:val="50F37D1E"/>
    <w:rsid w:val="52386C04"/>
    <w:rsid w:val="5312069E"/>
    <w:rsid w:val="54B1781F"/>
    <w:rsid w:val="55B148C5"/>
    <w:rsid w:val="56731C82"/>
    <w:rsid w:val="56DF8238"/>
    <w:rsid w:val="57713901"/>
    <w:rsid w:val="57961193"/>
    <w:rsid w:val="57F43F61"/>
    <w:rsid w:val="580C40BB"/>
    <w:rsid w:val="585C27CC"/>
    <w:rsid w:val="58E74282"/>
    <w:rsid w:val="590C3442"/>
    <w:rsid w:val="59126EAD"/>
    <w:rsid w:val="59A21322"/>
    <w:rsid w:val="5A3933B7"/>
    <w:rsid w:val="5AD85072"/>
    <w:rsid w:val="5B192B79"/>
    <w:rsid w:val="5BFF28F6"/>
    <w:rsid w:val="5C506B99"/>
    <w:rsid w:val="5CBF51EE"/>
    <w:rsid w:val="5CF21DF5"/>
    <w:rsid w:val="5D0B52B8"/>
    <w:rsid w:val="5F0E60BE"/>
    <w:rsid w:val="5F7B5503"/>
    <w:rsid w:val="5FBF4DE8"/>
    <w:rsid w:val="60062DA0"/>
    <w:rsid w:val="614F3431"/>
    <w:rsid w:val="61896D4E"/>
    <w:rsid w:val="61FB7153"/>
    <w:rsid w:val="639B2614"/>
    <w:rsid w:val="64361B99"/>
    <w:rsid w:val="64426750"/>
    <w:rsid w:val="649C7A70"/>
    <w:rsid w:val="65812A7E"/>
    <w:rsid w:val="65FF0042"/>
    <w:rsid w:val="6604551A"/>
    <w:rsid w:val="661923A1"/>
    <w:rsid w:val="67170691"/>
    <w:rsid w:val="68973566"/>
    <w:rsid w:val="68B8325C"/>
    <w:rsid w:val="68EC1F9B"/>
    <w:rsid w:val="690B2B17"/>
    <w:rsid w:val="699879CD"/>
    <w:rsid w:val="69BF80DC"/>
    <w:rsid w:val="69CB443D"/>
    <w:rsid w:val="6AFD2A5A"/>
    <w:rsid w:val="6BA60592"/>
    <w:rsid w:val="6C0F005D"/>
    <w:rsid w:val="6C7B60C2"/>
    <w:rsid w:val="6C8E4457"/>
    <w:rsid w:val="6D636391"/>
    <w:rsid w:val="6DCB74EE"/>
    <w:rsid w:val="6F1B2965"/>
    <w:rsid w:val="6FBA2E10"/>
    <w:rsid w:val="716E012B"/>
    <w:rsid w:val="719C5A56"/>
    <w:rsid w:val="72E2668C"/>
    <w:rsid w:val="738A52FB"/>
    <w:rsid w:val="74F76EED"/>
    <w:rsid w:val="751073EF"/>
    <w:rsid w:val="752F0775"/>
    <w:rsid w:val="753D20CD"/>
    <w:rsid w:val="758B5341"/>
    <w:rsid w:val="76111A51"/>
    <w:rsid w:val="762A4D04"/>
    <w:rsid w:val="769E2BA6"/>
    <w:rsid w:val="769F561B"/>
    <w:rsid w:val="76BFD2FB"/>
    <w:rsid w:val="779418A3"/>
    <w:rsid w:val="77AE4806"/>
    <w:rsid w:val="785167A2"/>
    <w:rsid w:val="79870B18"/>
    <w:rsid w:val="79BF579E"/>
    <w:rsid w:val="7A1C07A5"/>
    <w:rsid w:val="7A574C10"/>
    <w:rsid w:val="7ACB3665"/>
    <w:rsid w:val="7AE321FF"/>
    <w:rsid w:val="7B206EF0"/>
    <w:rsid w:val="7BA07B58"/>
    <w:rsid w:val="7BFE513C"/>
    <w:rsid w:val="7BFFAF1C"/>
    <w:rsid w:val="7C5A9082"/>
    <w:rsid w:val="7C912736"/>
    <w:rsid w:val="7CDE36FF"/>
    <w:rsid w:val="7DB841C4"/>
    <w:rsid w:val="7DDD26A7"/>
    <w:rsid w:val="7E3C19BB"/>
    <w:rsid w:val="7E471886"/>
    <w:rsid w:val="7E663674"/>
    <w:rsid w:val="7F3C2D95"/>
    <w:rsid w:val="7F5D6BAD"/>
    <w:rsid w:val="7F9B3361"/>
    <w:rsid w:val="7FBE53BC"/>
    <w:rsid w:val="7FBEDE23"/>
    <w:rsid w:val="7FDF7648"/>
    <w:rsid w:val="7FED8CFE"/>
    <w:rsid w:val="7FFBB683"/>
    <w:rsid w:val="7FFBFA90"/>
    <w:rsid w:val="7FFF2C16"/>
    <w:rsid w:val="7FFFC084"/>
    <w:rsid w:val="8F2FE8B8"/>
    <w:rsid w:val="95FFA6DF"/>
    <w:rsid w:val="BEBE0263"/>
    <w:rsid w:val="BF7204A7"/>
    <w:rsid w:val="CFDECC0E"/>
    <w:rsid w:val="DBFFB6D9"/>
    <w:rsid w:val="DD5FDB50"/>
    <w:rsid w:val="DDFEB7F3"/>
    <w:rsid w:val="E6FF5726"/>
    <w:rsid w:val="F3E4312E"/>
    <w:rsid w:val="F6DD204A"/>
    <w:rsid w:val="FA6D6C8D"/>
    <w:rsid w:val="FBBD4F2F"/>
    <w:rsid w:val="FCF7A51E"/>
    <w:rsid w:val="FCFF2CAF"/>
    <w:rsid w:val="FD7F377C"/>
    <w:rsid w:val="FDAF4F0D"/>
    <w:rsid w:val="FDDF5FCE"/>
    <w:rsid w:val="FEE575DC"/>
    <w:rsid w:val="FF8F6A6B"/>
    <w:rsid w:val="FF9E4E85"/>
    <w:rsid w:val="FFBF9F56"/>
    <w:rsid w:val="FFDF0632"/>
    <w:rsid w:val="FFFFC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qFormat/>
    <w:uiPriority w:val="0"/>
    <w:pPr>
      <w:widowControl w:val="0"/>
      <w:ind w:firstLine="420" w:firstLineChars="200"/>
      <w:jc w:val="both"/>
    </w:pPr>
    <w:rPr>
      <w:rFonts w:ascii="Calibri" w:hAnsi="Calibri" w:eastAsia="宋体" w:cs="Calibri"/>
      <w:kern w:val="2"/>
      <w:sz w:val="21"/>
      <w:szCs w:val="24"/>
      <w:lang w:val="en-US" w:eastAsia="zh-CN" w:bidi="ar-SA"/>
    </w:rPr>
  </w:style>
  <w:style w:type="paragraph" w:styleId="3">
    <w:name w:val="annotation text"/>
    <w:basedOn w:val="1"/>
    <w:qFormat/>
    <w:uiPriority w:val="0"/>
    <w:pPr>
      <w:jc w:val="left"/>
    </w:pPr>
  </w:style>
  <w:style w:type="paragraph" w:styleId="4">
    <w:name w:val="Body Text"/>
    <w:basedOn w:val="1"/>
    <w:semiHidden/>
    <w:qFormat/>
    <w:uiPriority w:val="0"/>
    <w:rPr>
      <w:rFonts w:ascii="仿宋" w:hAnsi="仿宋" w:eastAsia="仿宋" w:cs="仿宋"/>
      <w:sz w:val="30"/>
      <w:szCs w:val="30"/>
      <w:lang w:val="en-US" w:eastAsia="en-US" w:bidi="ar-SA"/>
    </w:rPr>
  </w:style>
  <w:style w:type="paragraph" w:styleId="5">
    <w:name w:val="Body Text Indent"/>
    <w:basedOn w:val="1"/>
    <w:qFormat/>
    <w:uiPriority w:val="0"/>
    <w:pPr>
      <w:ind w:firstLine="640" w:firstLineChars="200"/>
    </w:pPr>
    <w:rPr>
      <w:rFonts w:eastAsia="仿宋_GB2312"/>
      <w:sz w:val="32"/>
    </w:rPr>
  </w:style>
  <w:style w:type="paragraph" w:styleId="6">
    <w:name w:val="Balloon Text"/>
    <w:basedOn w:val="1"/>
    <w:link w:val="14"/>
    <w:qFormat/>
    <w:uiPriority w:val="0"/>
    <w:rPr>
      <w:sz w:val="18"/>
      <w:szCs w:val="18"/>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annotation reference"/>
    <w:basedOn w:val="11"/>
    <w:qFormat/>
    <w:uiPriority w:val="0"/>
    <w:rPr>
      <w:sz w:val="21"/>
      <w:szCs w:val="21"/>
    </w:rPr>
  </w:style>
  <w:style w:type="character" w:customStyle="1" w:styleId="14">
    <w:name w:val="批注框文本 字符"/>
    <w:basedOn w:val="11"/>
    <w:link w:val="6"/>
    <w:qFormat/>
    <w:uiPriority w:val="0"/>
    <w:rPr>
      <w:rFonts w:asciiTheme="minorHAnsi" w:hAnsiTheme="minorHAnsi" w:eastAsiaTheme="minorEastAsia" w:cstheme="minorBidi"/>
      <w:kern w:val="2"/>
      <w:sz w:val="18"/>
      <w:szCs w:val="18"/>
    </w:rPr>
  </w:style>
  <w:style w:type="character" w:customStyle="1" w:styleId="15">
    <w:name w:val="页眉 字符"/>
    <w:basedOn w:val="11"/>
    <w:link w:val="8"/>
    <w:qFormat/>
    <w:uiPriority w:val="0"/>
    <w:rPr>
      <w:rFonts w:asciiTheme="minorHAnsi" w:hAnsiTheme="minorHAnsi" w:eastAsiaTheme="minorEastAsia" w:cstheme="minorBidi"/>
      <w:kern w:val="2"/>
      <w:sz w:val="18"/>
      <w:szCs w:val="18"/>
    </w:rPr>
  </w:style>
  <w:style w:type="character" w:customStyle="1" w:styleId="16">
    <w:name w:val="页脚 字符"/>
    <w:basedOn w:val="11"/>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2150</Words>
  <Characters>2166</Characters>
  <Lines>36</Lines>
  <Paragraphs>10</Paragraphs>
  <TotalTime>0</TotalTime>
  <ScaleCrop>false</ScaleCrop>
  <LinksUpToDate>false</LinksUpToDate>
  <CharactersWithSpaces>2204</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2021-12-13T09:28:00Z</dcterms:created>
  <dc:creator>think</dc:creator>
  <cp:lastModifiedBy>DZB</cp:lastModifiedBy>
  <dcterms:modified xsi:type="dcterms:W3CDTF">2026-05-13T07:24:57Z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5388E543EAA745DBB7F4CE3C1ACEC4B1_13</vt:lpwstr>
  </property>
  <property fmtid="{D5CDD505-2E9C-101B-9397-08002B2CF9AE}" pid="4" name="KSOTemplateDocerSaveRecord">
    <vt:lpwstr>eyJoZGlkIjoiMGJmNjQ0OWZkYzczOTI0ZjY2MWU3NWM5MjRhNzU3ODkiLCJ1c2VySWQiOiIxNzg2NDU0MzIwIn0=</vt:lpwstr>
  </property>
</Properties>
</file>