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11860">
      <w:pPr>
        <w:pStyle w:val="6"/>
        <w:spacing w:line="560" w:lineRule="exact"/>
        <w:ind w:left="0" w:firstLine="643"/>
        <w:jc w:val="right"/>
        <w:rPr>
          <w:rFonts w:hint="eastAsia" w:ascii="FangSong_GB2312" w:hAnsi="FangSong_GB2312" w:eastAsia="FangSong_GB2312" w:cs="FangSong_GB2312"/>
          <w:color w:val="000000"/>
          <w:sz w:val="32"/>
          <w:szCs w:val="32"/>
        </w:rPr>
      </w:pPr>
      <w:bookmarkStart w:id="4" w:name="_GoBack"/>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5</w:t>
      </w:r>
      <w:r>
        <w:rPr>
          <w:rFonts w:hint="eastAsia" w:ascii="FangSong_GB2312" w:hAnsi="FangSong_GB2312" w:eastAsia="FangSong_GB2312" w:cs="FangSong_GB2312"/>
          <w:color w:val="000000"/>
          <w:sz w:val="32"/>
          <w:szCs w:val="32"/>
        </w:rPr>
        <w:t>号</w:t>
      </w:r>
    </w:p>
    <w:bookmarkEnd w:id="4"/>
    <w:p w14:paraId="1E4193CA">
      <w:pPr>
        <w:pStyle w:val="6"/>
        <w:spacing w:line="560" w:lineRule="exact"/>
        <w:ind w:left="0" w:firstLine="643"/>
        <w:jc w:val="right"/>
        <w:rPr>
          <w:rFonts w:hint="eastAsia" w:ascii="FangSong_GB2312" w:hAnsi="FangSong_GB2312" w:eastAsia="FangSong_GB2312" w:cs="FangSong_GB2312"/>
          <w:color w:val="000000"/>
          <w:sz w:val="32"/>
          <w:szCs w:val="32"/>
        </w:rPr>
      </w:pPr>
    </w:p>
    <w:p w14:paraId="76F6650A">
      <w:pPr>
        <w:pStyle w:val="2"/>
        <w:spacing w:before="0" w:after="0" w:line="560" w:lineRule="exact"/>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清华大学深圳国际研究生院博士后管理规定</w:t>
      </w:r>
    </w:p>
    <w:p w14:paraId="658F1F73">
      <w:pPr>
        <w:pStyle w:val="6"/>
        <w:spacing w:line="560" w:lineRule="exact"/>
        <w:ind w:left="0" w:firstLine="0" w:firstLineChars="0"/>
        <w:jc w:val="center"/>
        <w:rPr>
          <w:rFonts w:ascii="FangSong_GB2312" w:eastAsia="FangSong_GB2312"/>
          <w:sz w:val="32"/>
          <w:szCs w:val="32"/>
        </w:rPr>
      </w:pPr>
      <w:r>
        <w:rPr>
          <w:rFonts w:hint="eastAsia" w:ascii="FangSong_GB2312" w:hAnsi="仿宋" w:eastAsia="FangSong_GB2312"/>
          <w:sz w:val="32"/>
          <w:szCs w:val="32"/>
        </w:rPr>
        <w:t>二</w:t>
      </w:r>
      <w:r>
        <w:rPr>
          <w:rFonts w:hint="eastAsia" w:ascii="FangSong_GB2312" w:eastAsia="FangSong_GB2312"/>
          <w:color w:val="000000"/>
          <w:sz w:val="32"/>
          <w:szCs w:val="32"/>
        </w:rPr>
        <w:t>〇</w:t>
      </w:r>
      <w:r>
        <w:rPr>
          <w:rFonts w:hint="eastAsia" w:ascii="FangSong_GB2312" w:hAnsi="仿宋" w:eastAsia="FangSong_GB2312"/>
          <w:sz w:val="32"/>
          <w:szCs w:val="32"/>
        </w:rPr>
        <w:t>二五年第七十三次党政联席会议</w:t>
      </w:r>
      <w:r>
        <w:rPr>
          <w:rFonts w:hint="eastAsia" w:ascii="FangSong_GB2312" w:hAnsi="FangSong_GB2312" w:eastAsia="FangSong_GB2312" w:cs="FangSong_GB2312"/>
          <w:color w:val="000000"/>
          <w:sz w:val="32"/>
          <w:szCs w:val="32"/>
        </w:rPr>
        <w:t>（2025年12月22日）审议通过</w:t>
      </w:r>
    </w:p>
    <w:p w14:paraId="3EB6717E">
      <w:pPr>
        <w:pStyle w:val="9"/>
        <w:spacing w:beforeAutospacing="0" w:afterAutospacing="0" w:line="560" w:lineRule="exact"/>
        <w:jc w:val="center"/>
        <w:rPr>
          <w:rFonts w:hint="eastAsia" w:ascii="FangSong_GB2312" w:hAnsi="FangSong_GB2312" w:eastAsia="FangSong_GB2312" w:cs="FangSong_GB2312"/>
          <w:color w:val="000000"/>
          <w:sz w:val="32"/>
          <w:szCs w:val="32"/>
        </w:rPr>
      </w:pPr>
    </w:p>
    <w:p w14:paraId="782CCC22">
      <w:pPr>
        <w:pStyle w:val="9"/>
        <w:spacing w:beforeAutospacing="0" w:afterAutospacing="0" w:line="560" w:lineRule="exact"/>
        <w:jc w:val="center"/>
        <w:rPr>
          <w:rFonts w:hint="eastAsia" w:ascii="黑体" w:hAnsi="黑体" w:eastAsia="黑体" w:cs="黑体"/>
          <w:color w:val="646464"/>
          <w:sz w:val="32"/>
          <w:szCs w:val="32"/>
        </w:rPr>
      </w:pPr>
      <w:r>
        <w:rPr>
          <w:rFonts w:hint="eastAsia" w:ascii="黑体" w:hAnsi="黑体" w:eastAsia="黑体" w:cs="黑体"/>
          <w:color w:val="000000"/>
          <w:sz w:val="32"/>
          <w:szCs w:val="32"/>
        </w:rPr>
        <w:t>第一章  总  则</w:t>
      </w:r>
    </w:p>
    <w:p w14:paraId="69A01AA0">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第一条</w:t>
      </w:r>
      <w:r>
        <w:rPr>
          <w:rFonts w:hint="eastAsia" w:ascii="FangSong_GB2312" w:hAnsi="FangSong_GB2312" w:eastAsia="FangSong_GB2312" w:cs="FangSong_GB2312"/>
          <w:color w:val="000000"/>
          <w:sz w:val="32"/>
          <w:szCs w:val="32"/>
        </w:rPr>
        <w:t xml:space="preserve"> 为了进一步加强博士后管理工作，提高博士后培养质量，深入实施人才强校核心战略，根据国务院办公厅、人力资源和社会保障部、全国博士后管理委员会等关于博士后工作的相关精神以及《博士后管理工作规定》《清华大学博士后管理工作规定》等相关规定，结合清华大学深圳国际研究生院（以下简称学院）实际，制定本规定。</w:t>
      </w:r>
    </w:p>
    <w:p w14:paraId="3E2A6A14">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第二条</w:t>
      </w:r>
      <w:r>
        <w:rPr>
          <w:rFonts w:hint="eastAsia" w:ascii="FangSong_GB2312" w:hAnsi="FangSong_GB2312" w:eastAsia="FangSong_GB2312" w:cs="FangSong_GB2312"/>
          <w:color w:val="000000"/>
          <w:sz w:val="32"/>
          <w:szCs w:val="32"/>
        </w:rPr>
        <w:t xml:space="preserve"> 本规定适用于学院博士后科研流动站（以下简称流动站）与学院自主招收博士后研究人员（以下简称博士后）管理工作。</w:t>
      </w:r>
    </w:p>
    <w:p w14:paraId="7C346810">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学院流动站与相关博士后科研工作站联合培养博士后的管理，执行国家和清华大学关于博士后管理的相关规定。</w:t>
      </w:r>
    </w:p>
    <w:p w14:paraId="0189361C">
      <w:pPr>
        <w:pStyle w:val="9"/>
        <w:spacing w:beforeAutospacing="0" w:afterAutospacing="0" w:line="560" w:lineRule="exact"/>
        <w:ind w:firstLine="643" w:firstLineChars="200"/>
        <w:rPr>
          <w:rFonts w:hint="eastAsia" w:ascii="FangSong_GB2312" w:hAnsi="FangSong_GB2312" w:eastAsia="FangSong_GB2312" w:cs="FangSong_GB2312"/>
          <w:color w:val="000000"/>
          <w:sz w:val="32"/>
          <w:szCs w:val="32"/>
        </w:rPr>
      </w:pPr>
      <w:r>
        <w:rPr>
          <w:rFonts w:hint="eastAsia" w:ascii="FangSong_GB2312" w:hAnsi="FangSong_GB2312" w:eastAsia="FangSong_GB2312" w:cs="FangSong_GB2312"/>
          <w:b/>
          <w:bCs/>
          <w:color w:val="000000"/>
          <w:sz w:val="32"/>
          <w:szCs w:val="32"/>
        </w:rPr>
        <w:t>第三条</w:t>
      </w:r>
      <w:r>
        <w:rPr>
          <w:rFonts w:hint="eastAsia" w:ascii="FangSong_GB2312" w:hAnsi="FangSong_GB2312" w:eastAsia="FangSong_GB2312" w:cs="FangSong_GB2312"/>
          <w:color w:val="000000"/>
          <w:sz w:val="32"/>
          <w:szCs w:val="32"/>
        </w:rPr>
        <w:t xml:space="preserve"> 学院博士后管理工作坚持党管人才原则，坚持服务国家战略，坚持高质量发展。</w:t>
      </w:r>
      <w:bookmarkStart w:id="0" w:name="_Toc109019257"/>
      <w:bookmarkEnd w:id="0"/>
      <w:bookmarkStart w:id="1" w:name="_Toc113963825"/>
      <w:bookmarkEnd w:id="1"/>
    </w:p>
    <w:p w14:paraId="07ED933D">
      <w:pPr>
        <w:pStyle w:val="9"/>
        <w:spacing w:beforeAutospacing="0" w:afterAutospacing="0" w:line="560" w:lineRule="exact"/>
        <w:jc w:val="center"/>
        <w:rPr>
          <w:rFonts w:hint="eastAsia" w:ascii="FangSong_GB2312" w:hAnsi="FangSong_GB2312" w:eastAsia="FangSong_GB2312" w:cs="FangSong_GB2312"/>
          <w:color w:val="646464"/>
          <w:sz w:val="32"/>
          <w:szCs w:val="32"/>
        </w:rPr>
      </w:pPr>
      <w:r>
        <w:rPr>
          <w:rFonts w:hint="eastAsia" w:ascii="黑体" w:hAnsi="黑体" w:eastAsia="黑体" w:cs="黑体"/>
          <w:color w:val="000000"/>
          <w:sz w:val="32"/>
          <w:szCs w:val="32"/>
        </w:rPr>
        <w:t>第二章  管理机构与职责</w:t>
      </w:r>
    </w:p>
    <w:p w14:paraId="40362E14">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第四条</w:t>
      </w:r>
      <w:r>
        <w:rPr>
          <w:rFonts w:hint="eastAsia" w:ascii="FangSong_GB2312" w:hAnsi="FangSong_GB2312" w:eastAsia="FangSong_GB2312" w:cs="FangSong_GB2312"/>
          <w:color w:val="000000"/>
          <w:sz w:val="32"/>
          <w:szCs w:val="32"/>
        </w:rPr>
        <w:t xml:space="preserve"> 学院党政联席会议研究决定博士后管理工作重要事项。</w:t>
      </w:r>
    </w:p>
    <w:p w14:paraId="79928CF7">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 xml:space="preserve">第五条 </w:t>
      </w:r>
      <w:r>
        <w:rPr>
          <w:rFonts w:hint="eastAsia" w:ascii="FangSong_GB2312" w:hAnsi="FangSong_GB2312" w:eastAsia="FangSong_GB2312" w:cs="FangSong_GB2312"/>
          <w:color w:val="000000"/>
          <w:sz w:val="32"/>
          <w:szCs w:val="32"/>
        </w:rPr>
        <w:t>学院博士后工作领导小组统筹协调博士后管理工作。</w:t>
      </w:r>
    </w:p>
    <w:p w14:paraId="0636E435">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第六条</w:t>
      </w:r>
      <w:r>
        <w:rPr>
          <w:rFonts w:hint="eastAsia" w:ascii="FangSong_GB2312" w:hAnsi="FangSong_GB2312" w:eastAsia="FangSong_GB2312" w:cs="FangSong_GB2312"/>
          <w:color w:val="000000"/>
          <w:sz w:val="32"/>
          <w:szCs w:val="32"/>
        </w:rPr>
        <w:t xml:space="preserve"> 人事办公室归口负责博士后管理工作。</w:t>
      </w:r>
    </w:p>
    <w:p w14:paraId="02DD7E21">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第七条</w:t>
      </w:r>
      <w:r>
        <w:rPr>
          <w:rFonts w:hint="eastAsia" w:ascii="FangSong_GB2312" w:hAnsi="FangSong_GB2312" w:eastAsia="FangSong_GB2312" w:cs="FangSong_GB2312"/>
          <w:color w:val="000000"/>
          <w:sz w:val="32"/>
          <w:szCs w:val="32"/>
        </w:rPr>
        <w:t xml:space="preserve"> 相关教学科研机构具体负责本单位博士后管理相关工作。</w:t>
      </w:r>
      <w:bookmarkStart w:id="2" w:name="_Toc113963827"/>
      <w:bookmarkEnd w:id="2"/>
      <w:bookmarkStart w:id="3" w:name="_Toc109019259"/>
      <w:bookmarkEnd w:id="3"/>
    </w:p>
    <w:p w14:paraId="063C664C">
      <w:pPr>
        <w:pStyle w:val="9"/>
        <w:spacing w:beforeAutospacing="0" w:afterAutospacing="0" w:line="56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第三章 流动站设立申请与管理</w:t>
      </w:r>
    </w:p>
    <w:p w14:paraId="562D2ED4">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第八条</w:t>
      </w:r>
      <w:r>
        <w:rPr>
          <w:rFonts w:hint="eastAsia" w:ascii="FangSong_GB2312" w:hAnsi="FangSong_GB2312" w:eastAsia="FangSong_GB2312" w:cs="FangSong_GB2312"/>
          <w:color w:val="000000"/>
          <w:sz w:val="32"/>
          <w:szCs w:val="32"/>
        </w:rPr>
        <w:t xml:space="preserve"> 学院在博士学位授予点可以依法依规申请设立流动站。获批设立的流动站应当依法依规接受相关评估。</w:t>
      </w:r>
    </w:p>
    <w:p w14:paraId="1E6A54D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第九条</w:t>
      </w:r>
      <w:r>
        <w:rPr>
          <w:rFonts w:hint="eastAsia" w:ascii="FangSong_GB2312" w:hAnsi="FangSong_GB2312" w:eastAsia="FangSong_GB2312" w:cs="FangSong_GB2312"/>
          <w:color w:val="000000"/>
          <w:sz w:val="32"/>
          <w:szCs w:val="32"/>
        </w:rPr>
        <w:t xml:space="preserve"> 人事办公室负责组织协调流动站设立申请、建设管理和评估等相关工作。</w:t>
      </w:r>
    </w:p>
    <w:p w14:paraId="7045CB37">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第十条</w:t>
      </w:r>
      <w:r>
        <w:rPr>
          <w:rFonts w:hint="eastAsia" w:ascii="FangSong_GB2312" w:hAnsi="FangSong_GB2312" w:eastAsia="FangSong_GB2312" w:cs="FangSong_GB2312"/>
          <w:color w:val="000000"/>
          <w:sz w:val="32"/>
          <w:szCs w:val="32"/>
        </w:rPr>
        <w:t> 教学科研机构具体负责相关流动站日常管理和评估等相关工作。</w:t>
      </w:r>
    </w:p>
    <w:p w14:paraId="4091FAA3">
      <w:pPr>
        <w:pStyle w:val="9"/>
        <w:spacing w:beforeAutospacing="0" w:afterAutospacing="0" w:line="56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第四章 博士后招收培养与管理</w:t>
      </w:r>
    </w:p>
    <w:p w14:paraId="3B490A38">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第十一条</w:t>
      </w:r>
      <w:r>
        <w:rPr>
          <w:rFonts w:hint="eastAsia" w:ascii="FangSong_GB2312" w:hAnsi="FangSong_GB2312" w:eastAsia="FangSong_GB2312" w:cs="FangSong_GB2312"/>
          <w:color w:val="000000"/>
          <w:sz w:val="32"/>
          <w:szCs w:val="32"/>
        </w:rPr>
        <w:t> 教学科研机构应当聚焦国家重点领域、紧密结合国家重大科技项目，根据学科规划和事业发展需要招收培养博士后。具备以下基本条件的教学科研机构可以申请在学院流动站招收博士后：</w:t>
      </w:r>
    </w:p>
    <w:p w14:paraId="7C19D95C">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（一）拥有一定数量具有博士生指导教师资格的在职在岗教师；</w:t>
      </w:r>
    </w:p>
    <w:p w14:paraId="06B4A885">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（二）有明确的博士后进站招收、在站考核、出站考核标准等；</w:t>
      </w:r>
    </w:p>
    <w:p w14:paraId="5BB1A0CD">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（三）有招收培养博士后可依托的</w:t>
      </w:r>
      <w:r>
        <w:rPr>
          <w:rFonts w:hint="eastAsia" w:ascii="FangSong_GB2312" w:hAnsi="FangSong_GB2312" w:eastAsia="FangSong_GB2312" w:cs="FangSong_GB2312"/>
          <w:color w:val="383838"/>
          <w:sz w:val="32"/>
          <w:szCs w:val="32"/>
        </w:rPr>
        <w:t>高水平科研平台、重要科研任务；</w:t>
      </w:r>
    </w:p>
    <w:p w14:paraId="4872B1F0">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（四）具有招收培养博士后必需的组织条件保障。</w:t>
      </w:r>
    </w:p>
    <w:p w14:paraId="73211961">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第十二条</w:t>
      </w:r>
      <w:r>
        <w:rPr>
          <w:rFonts w:hint="eastAsia" w:ascii="FangSong_GB2312" w:hAnsi="FangSong_GB2312" w:eastAsia="FangSong_GB2312" w:cs="FangSong_GB2312"/>
          <w:color w:val="000000"/>
          <w:sz w:val="32"/>
          <w:szCs w:val="32"/>
        </w:rPr>
        <w:t xml:space="preserve"> 博士后合作导师应当由具有博士生指导教师资格的在职在岗教师担任。</w:t>
      </w:r>
    </w:p>
    <w:p w14:paraId="57D78C3B">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博士后合作导师应当依规依约指导博士后按计划开展研究工作，加强博士后科研创新能力培养。</w:t>
      </w:r>
    </w:p>
    <w:p w14:paraId="032BA627">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第十三条</w:t>
      </w:r>
      <w:r>
        <w:rPr>
          <w:rFonts w:hint="eastAsia" w:ascii="FangSong_GB2312" w:hAnsi="FangSong_GB2312" w:eastAsia="FangSong_GB2312" w:cs="FangSong_GB2312"/>
          <w:color w:val="000000"/>
          <w:sz w:val="32"/>
          <w:szCs w:val="32"/>
        </w:rPr>
        <w:t xml:space="preserve"> 教学科研机构（博士后合作导师）应当配套提供博士后经费条件保障。</w:t>
      </w:r>
    </w:p>
    <w:p w14:paraId="3C91DD2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博士后经费管理办法另行制定。</w:t>
      </w:r>
    </w:p>
    <w:p w14:paraId="42DE7A8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第十四条</w:t>
      </w:r>
      <w:r>
        <w:rPr>
          <w:rFonts w:hint="eastAsia" w:ascii="FangSong_GB2312" w:hAnsi="FangSong_GB2312" w:eastAsia="FangSong_GB2312" w:cs="FangSong_GB2312"/>
          <w:color w:val="000000"/>
          <w:sz w:val="32"/>
          <w:szCs w:val="32"/>
        </w:rPr>
        <w:t xml:space="preserve"> 申请进入学院流动站从事博士后研究工作的人员应当德才兼备，一般应为三十五周岁以下新近毕业的博士毕业生。学院不招收委托培养、定向培养、在职工作人员从事博士后研究工作。</w:t>
      </w:r>
    </w:p>
    <w:p w14:paraId="6C0FC84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第十五条</w:t>
      </w:r>
      <w:r>
        <w:rPr>
          <w:rFonts w:hint="eastAsia" w:ascii="FangSong_GB2312" w:hAnsi="FangSong_GB2312" w:eastAsia="FangSong_GB2312" w:cs="FangSong_GB2312"/>
          <w:color w:val="000000"/>
          <w:sz w:val="32"/>
          <w:szCs w:val="32"/>
        </w:rPr>
        <w:t xml:space="preserve"> 学院面向海内外公开招收博士后。博士后招收遴选组织工作由教学科研机构具体负责，进站报批工作由人事办公室具体负责。</w:t>
      </w:r>
    </w:p>
    <w:p w14:paraId="348395A7">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教学科研机构应当对申请人员的政治品质、道德品行、科研能力、学术水平等严格审查。</w:t>
      </w:r>
    </w:p>
    <w:p w14:paraId="3710E855">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招收外籍博士后还应当执行外事管理相关规定。</w:t>
      </w:r>
    </w:p>
    <w:p w14:paraId="1EADD55B">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第十六条</w:t>
      </w:r>
      <w:r>
        <w:rPr>
          <w:rFonts w:hint="eastAsia" w:ascii="FangSong_GB2312" w:hAnsi="FangSong_GB2312" w:eastAsia="FangSong_GB2312" w:cs="FangSong_GB2312"/>
          <w:color w:val="000000"/>
          <w:sz w:val="32"/>
          <w:szCs w:val="32"/>
        </w:rPr>
        <w:t xml:space="preserve"> 博士后纳入在职教职工范围进行管理。</w:t>
      </w:r>
    </w:p>
    <w:p w14:paraId="0DDEBAAF">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第十七条</w:t>
      </w:r>
      <w:r>
        <w:rPr>
          <w:rFonts w:hint="eastAsia" w:ascii="FangSong_GB2312" w:hAnsi="FangSong_GB2312" w:eastAsia="FangSong_GB2312" w:cs="FangSong_GB2312"/>
          <w:color w:val="000000"/>
          <w:sz w:val="32"/>
          <w:szCs w:val="32"/>
        </w:rPr>
        <w:t xml:space="preserve"> 博士后应当与学院签订聘用（劳动）合同。</w:t>
      </w:r>
    </w:p>
    <w:p w14:paraId="34AC8F03">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博士后在站期间应当全职从事博士后研究工作，原则上不得从事兼职活动。</w:t>
      </w:r>
    </w:p>
    <w:p w14:paraId="5AF72BD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第十八条</w:t>
      </w:r>
      <w:r>
        <w:rPr>
          <w:rFonts w:hint="eastAsia" w:ascii="FangSong_GB2312" w:hAnsi="FangSong_GB2312" w:eastAsia="FangSong_GB2312" w:cs="FangSong_GB2312"/>
          <w:color w:val="000000"/>
          <w:sz w:val="32"/>
          <w:szCs w:val="32"/>
        </w:rPr>
        <w:t xml:space="preserve"> 博士后在学院流动站从事博士后研究工作的时间一般为两至四年，具体在站时间由教学科研机构根据相关科研任务需要等灵活确定，经学院和学校同意可以适当调整在站时间。博士后在站总时间不超过六年。</w:t>
      </w:r>
    </w:p>
    <w:p w14:paraId="575A01C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第十九条</w:t>
      </w:r>
      <w:r>
        <w:rPr>
          <w:rFonts w:hint="eastAsia" w:ascii="FangSong_GB2312" w:hAnsi="FangSong_GB2312" w:eastAsia="FangSong_GB2312" w:cs="FangSong_GB2312"/>
          <w:color w:val="000000"/>
          <w:sz w:val="32"/>
          <w:szCs w:val="32"/>
        </w:rPr>
        <w:t xml:space="preserve"> 博士后实行岗位绩效工资制度。</w:t>
      </w:r>
    </w:p>
    <w:p w14:paraId="33039A0B">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学院按照相关规定为博士后办理户口迁落手续、缴纳社会保险和住房公积金。</w:t>
      </w:r>
    </w:p>
    <w:p w14:paraId="2C3974E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学院依规依约并结合实际资源情况为博士后提供子女入园入学、租用周转公寓或租房补贴等院内相关福利待遇。</w:t>
      </w:r>
    </w:p>
    <w:p w14:paraId="3346CB1D">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第二十条</w:t>
      </w:r>
      <w:r>
        <w:rPr>
          <w:rFonts w:hint="eastAsia" w:ascii="FangSong_GB2312" w:hAnsi="FangSong_GB2312" w:eastAsia="FangSong_GB2312" w:cs="FangSong_GB2312"/>
          <w:color w:val="000000"/>
          <w:sz w:val="32"/>
          <w:szCs w:val="32"/>
        </w:rPr>
        <w:t> 教学科研机构应当对博士后进行在站考核。博士后在站考核包括中期考核和年度考核，博士后中期考核一般安排在进站一年时进行。</w:t>
      </w:r>
    </w:p>
    <w:p w14:paraId="3DEAE16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第二十一条</w:t>
      </w:r>
      <w:r>
        <w:rPr>
          <w:rFonts w:hint="eastAsia" w:ascii="FangSong_GB2312" w:hAnsi="FangSong_GB2312" w:eastAsia="FangSong_GB2312" w:cs="FangSong_GB2312"/>
          <w:color w:val="000000"/>
          <w:sz w:val="32"/>
          <w:szCs w:val="32"/>
        </w:rPr>
        <w:t xml:space="preserve"> 进站前未获评职称的博士后，进站后认定为助理研究员。</w:t>
      </w:r>
    </w:p>
    <w:p w14:paraId="76D67D17">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第二十二条 </w:t>
      </w:r>
      <w:r>
        <w:rPr>
          <w:rFonts w:hint="eastAsia" w:ascii="FangSong_GB2312" w:hAnsi="FangSong_GB2312" w:eastAsia="FangSong_GB2312" w:cs="FangSong_GB2312"/>
          <w:color w:val="000000"/>
          <w:sz w:val="32"/>
          <w:szCs w:val="32"/>
        </w:rPr>
        <w:t>教学科研机构应当对拟出站博士后进行出站考核。博士后完成出站研究报告并通过出站考核方可出站。</w:t>
      </w:r>
    </w:p>
    <w:p w14:paraId="1D89D68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b/>
          <w:bCs/>
          <w:color w:val="000000"/>
          <w:sz w:val="32"/>
          <w:szCs w:val="32"/>
        </w:rPr>
        <w:t>第二十三条</w:t>
      </w:r>
      <w:r>
        <w:rPr>
          <w:rFonts w:hint="eastAsia" w:ascii="FangSong_GB2312" w:hAnsi="FangSong_GB2312" w:eastAsia="FangSong_GB2312" w:cs="FangSong_GB2312"/>
          <w:color w:val="000000"/>
          <w:sz w:val="32"/>
          <w:szCs w:val="32"/>
        </w:rPr>
        <w:t xml:space="preserve"> 博士后有下列情形之一的，予以退站：</w:t>
      </w:r>
    </w:p>
    <w:p w14:paraId="4BF8374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（一）进站半年后仍未取得国家承认的博士学位证书的；</w:t>
      </w:r>
    </w:p>
    <w:p w14:paraId="0C6DCC7B">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（二）通过弄虚作假、徇私舞弊等不正当途径进站的；</w:t>
      </w:r>
    </w:p>
    <w:p w14:paraId="6B4A3FCE">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（三）中期考核或出站考核不合格的；</w:t>
      </w:r>
    </w:p>
    <w:p w14:paraId="1A7EB9B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（四）有违反教师职业道德、学术不端等违法违规行为，影响恶劣的；</w:t>
      </w:r>
    </w:p>
    <w:p w14:paraId="0AA7B9AA">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（五）违反学院劳动纪律相关规定，符合解除聘用（劳动）合同规定情形的；</w:t>
      </w:r>
    </w:p>
    <w:p w14:paraId="5F8A5EDC">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（六）因患病等原因难以完成博士后研究工作的；</w:t>
      </w:r>
    </w:p>
    <w:p w14:paraId="5A660F49">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（七）出境逾期不归超过三十天的；</w:t>
      </w:r>
    </w:p>
    <w:p w14:paraId="18655CE8">
      <w:pPr>
        <w:pStyle w:val="9"/>
        <w:spacing w:beforeAutospacing="0" w:afterAutospacing="0" w:line="560" w:lineRule="exact"/>
        <w:ind w:firstLine="645"/>
        <w:rPr>
          <w:rFonts w:hint="eastAsia" w:ascii="FangSong_GB2312" w:hAnsi="FangSong_GB2312" w:eastAsia="FangSong_GB2312" w:cs="FangSong_GB2312"/>
          <w:color w:val="646464"/>
          <w:sz w:val="32"/>
          <w:szCs w:val="32"/>
        </w:rPr>
      </w:pPr>
      <w:r>
        <w:rPr>
          <w:rFonts w:hint="eastAsia" w:ascii="FangSong_GB2312" w:hAnsi="FangSong_GB2312" w:eastAsia="FangSong_GB2312" w:cs="FangSong_GB2312"/>
          <w:color w:val="000000"/>
          <w:sz w:val="32"/>
          <w:szCs w:val="32"/>
        </w:rPr>
        <w:t>（八）聘用（劳动）合同期满无正当理由不办理出站手续或在站总时间超过六年的；</w:t>
      </w:r>
    </w:p>
    <w:p w14:paraId="03A9EDA7">
      <w:pPr>
        <w:pStyle w:val="9"/>
        <w:spacing w:beforeAutospacing="0" w:afterAutospacing="0" w:line="560" w:lineRule="exact"/>
        <w:ind w:firstLine="645"/>
        <w:rPr>
          <w:rFonts w:hint="eastAsia" w:ascii="FangSong_GB2312" w:hAnsi="FangSong_GB2312" w:eastAsia="FangSong_GB2312" w:cs="FangSong_GB2312"/>
          <w:color w:val="000000"/>
          <w:sz w:val="32"/>
          <w:szCs w:val="32"/>
        </w:rPr>
      </w:pPr>
      <w:r>
        <w:rPr>
          <w:rFonts w:hint="eastAsia" w:ascii="FangSong_GB2312" w:hAnsi="FangSong_GB2312" w:eastAsia="FangSong_GB2312" w:cs="FangSong_GB2312"/>
          <w:color w:val="000000"/>
          <w:sz w:val="32"/>
          <w:szCs w:val="32"/>
        </w:rPr>
        <w:t>（九）其他应予退站的情形。</w:t>
      </w:r>
    </w:p>
    <w:p w14:paraId="290ECA14">
      <w:pPr>
        <w:pStyle w:val="9"/>
        <w:spacing w:beforeAutospacing="0" w:afterAutospacing="0" w:line="560" w:lineRule="exact"/>
        <w:ind w:firstLine="645"/>
        <w:rPr>
          <w:rFonts w:hint="eastAsia" w:ascii="FangSong_GB2312" w:hAnsi="FangSong_GB2312" w:eastAsia="FangSong_GB2312" w:cs="FangSong_GB2312"/>
          <w:color w:val="000000"/>
          <w:sz w:val="32"/>
          <w:szCs w:val="32"/>
        </w:rPr>
      </w:pPr>
      <w:r>
        <w:rPr>
          <w:rFonts w:hint="eastAsia" w:ascii="FangSong_GB2312" w:hAnsi="FangSong_GB2312" w:eastAsia="FangSong_GB2312" w:cs="FangSong_GB2312"/>
          <w:b/>
          <w:bCs/>
          <w:color w:val="000000"/>
          <w:sz w:val="32"/>
          <w:szCs w:val="32"/>
        </w:rPr>
        <w:t>第二十四条</w:t>
      </w:r>
      <w:r>
        <w:rPr>
          <w:rFonts w:hint="eastAsia" w:ascii="FangSong_GB2312" w:hAnsi="FangSong_GB2312" w:eastAsia="FangSong_GB2312" w:cs="FangSong_GB2312"/>
          <w:color w:val="000000"/>
          <w:sz w:val="32"/>
          <w:szCs w:val="32"/>
        </w:rPr>
        <w:t xml:space="preserve"> 博士后出站或退站应当按照相关规定及时办理离校手续以及人事档案转移手续和户口迁移手续。</w:t>
      </w:r>
    </w:p>
    <w:p w14:paraId="376B33C3">
      <w:pPr>
        <w:pStyle w:val="9"/>
        <w:spacing w:beforeAutospacing="0" w:afterAutospacing="0" w:line="560" w:lineRule="exact"/>
        <w:jc w:val="center"/>
        <w:rPr>
          <w:rFonts w:hint="eastAsia" w:ascii="黑体" w:hAnsi="黑体" w:eastAsia="黑体" w:cs="黑体"/>
          <w:color w:val="000000"/>
          <w:sz w:val="32"/>
          <w:szCs w:val="32"/>
        </w:rPr>
      </w:pPr>
      <w:r>
        <w:rPr>
          <w:rFonts w:hint="eastAsia" w:ascii="黑体" w:hAnsi="黑体" w:eastAsia="黑体" w:cs="黑体"/>
          <w:color w:val="000000"/>
          <w:sz w:val="32"/>
          <w:szCs w:val="32"/>
        </w:rPr>
        <w:t>第五章 附  则</w:t>
      </w:r>
    </w:p>
    <w:p w14:paraId="26AD9928">
      <w:pPr>
        <w:pStyle w:val="9"/>
        <w:spacing w:beforeAutospacing="0" w:afterAutospacing="0" w:line="560" w:lineRule="exact"/>
        <w:ind w:firstLine="645"/>
        <w:rPr>
          <w:rFonts w:hint="eastAsia" w:ascii="FangSong_GB2312" w:hAnsi="FangSong_GB2312" w:eastAsia="FangSong_GB2312" w:cs="FangSong_GB2312"/>
          <w:color w:val="000000"/>
          <w:sz w:val="32"/>
          <w:szCs w:val="32"/>
        </w:rPr>
      </w:pPr>
      <w:r>
        <w:rPr>
          <w:rFonts w:hint="eastAsia" w:ascii="FangSong_GB2312" w:hAnsi="FangSong_GB2312" w:eastAsia="FangSong_GB2312" w:cs="FangSong_GB2312"/>
          <w:b/>
          <w:bCs/>
          <w:color w:val="000000"/>
          <w:sz w:val="32"/>
          <w:szCs w:val="32"/>
        </w:rPr>
        <w:t>第二十五条</w:t>
      </w:r>
      <w:r>
        <w:rPr>
          <w:rFonts w:hint="eastAsia" w:ascii="FangSong_GB2312" w:hAnsi="FangSong_GB2312" w:eastAsia="FangSong_GB2312" w:cs="FangSong_GB2312"/>
          <w:color w:val="000000"/>
          <w:sz w:val="32"/>
          <w:szCs w:val="32"/>
        </w:rPr>
        <w:t xml:space="preserve"> 本规定由人事办公室负责解释。</w:t>
      </w:r>
    </w:p>
    <w:p w14:paraId="6A4AE4BD">
      <w:pPr>
        <w:pStyle w:val="9"/>
        <w:spacing w:beforeAutospacing="0" w:afterAutospacing="0" w:line="560" w:lineRule="exact"/>
        <w:ind w:firstLine="645"/>
        <w:rPr>
          <w:rFonts w:hint="eastAsia" w:ascii="FangSong_GB2312" w:hAnsi="FangSong_GB2312" w:eastAsia="FangSong_GB2312" w:cs="FangSong_GB2312"/>
          <w:sz w:val="32"/>
          <w:szCs w:val="32"/>
        </w:rPr>
      </w:pPr>
      <w:r>
        <w:rPr>
          <w:rFonts w:hint="eastAsia" w:ascii="FangSong_GB2312" w:hAnsi="FangSong_GB2312" w:eastAsia="FangSong_GB2312" w:cs="FangSong_GB2312"/>
          <w:b/>
          <w:bCs/>
          <w:color w:val="000000"/>
          <w:sz w:val="32"/>
          <w:szCs w:val="32"/>
        </w:rPr>
        <w:t>第二十六条</w:t>
      </w:r>
      <w:r>
        <w:rPr>
          <w:rFonts w:hint="eastAsia" w:ascii="FangSong_GB2312" w:hAnsi="FangSong_GB2312" w:eastAsia="FangSong_GB2312" w:cs="FangSong_GB2312"/>
          <w:color w:val="000000"/>
          <w:sz w:val="32"/>
          <w:szCs w:val="32"/>
        </w:rPr>
        <w:t xml:space="preserve"> 本规定自公布之日起施行。</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FangSong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Times New Roman Regular">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F662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F1ECD">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FF1ECD">
                    <w:pPr>
                      <w:pStyle w:val="7"/>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F9"/>
    <w:rsid w:val="00004450"/>
    <w:rsid w:val="0003032C"/>
    <w:rsid w:val="00036018"/>
    <w:rsid w:val="00060FF9"/>
    <w:rsid w:val="000F092C"/>
    <w:rsid w:val="0013644B"/>
    <w:rsid w:val="00365305"/>
    <w:rsid w:val="003C559C"/>
    <w:rsid w:val="00443BA6"/>
    <w:rsid w:val="00450790"/>
    <w:rsid w:val="004C19B2"/>
    <w:rsid w:val="004E5E47"/>
    <w:rsid w:val="004F2CDA"/>
    <w:rsid w:val="006B6CE7"/>
    <w:rsid w:val="006D0B00"/>
    <w:rsid w:val="00701F82"/>
    <w:rsid w:val="00713AA2"/>
    <w:rsid w:val="007C07CE"/>
    <w:rsid w:val="007E1956"/>
    <w:rsid w:val="007E2499"/>
    <w:rsid w:val="007F13AA"/>
    <w:rsid w:val="008121B3"/>
    <w:rsid w:val="00894301"/>
    <w:rsid w:val="008A3933"/>
    <w:rsid w:val="009157CC"/>
    <w:rsid w:val="00915F4B"/>
    <w:rsid w:val="009939B8"/>
    <w:rsid w:val="00A543D4"/>
    <w:rsid w:val="00AA51DA"/>
    <w:rsid w:val="00AC78E6"/>
    <w:rsid w:val="00AE69D3"/>
    <w:rsid w:val="00B1695B"/>
    <w:rsid w:val="00B47188"/>
    <w:rsid w:val="00B71DB1"/>
    <w:rsid w:val="00CC63B0"/>
    <w:rsid w:val="00D74889"/>
    <w:rsid w:val="00F53E28"/>
    <w:rsid w:val="01B501E0"/>
    <w:rsid w:val="091805FA"/>
    <w:rsid w:val="15A776C4"/>
    <w:rsid w:val="29D03782"/>
    <w:rsid w:val="2D0C58C0"/>
    <w:rsid w:val="2E3601E1"/>
    <w:rsid w:val="3FE54624"/>
    <w:rsid w:val="42544877"/>
    <w:rsid w:val="45161CE6"/>
    <w:rsid w:val="47D406DC"/>
    <w:rsid w:val="4E1C4CB5"/>
    <w:rsid w:val="54F34F39"/>
    <w:rsid w:val="610636E8"/>
    <w:rsid w:val="623718A6"/>
    <w:rsid w:val="77F7DA03"/>
    <w:rsid w:val="79DF4B56"/>
    <w:rsid w:val="7C9A78C7"/>
    <w:rsid w:val="8DFB9B19"/>
    <w:rsid w:val="B9535F35"/>
    <w:rsid w:val="C99E3CD5"/>
    <w:rsid w:val="E5FFD186"/>
    <w:rsid w:val="F3FAD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5"/>
    <w:qFormat/>
    <w:uiPriority w:val="0"/>
    <w:pPr>
      <w:jc w:val="left"/>
    </w:pPr>
  </w:style>
  <w:style w:type="paragraph" w:styleId="6">
    <w:name w:val="Body Text Indent"/>
    <w:basedOn w:val="1"/>
    <w:qFormat/>
    <w:uiPriority w:val="0"/>
    <w:pPr>
      <w:spacing w:line="360" w:lineRule="auto"/>
      <w:ind w:left="210" w:firstLine="420" w:firstLineChars="200"/>
    </w:pPr>
    <w:rPr>
      <w:rFonts w:ascii="宋体"/>
      <w:szCs w:val="20"/>
    </w:rPr>
  </w:style>
  <w:style w:type="paragraph" w:styleId="7">
    <w:name w:val="footer"/>
    <w:basedOn w:val="1"/>
    <w:link w:val="21"/>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5"/>
    <w:next w:val="5"/>
    <w:link w:val="16"/>
    <w:qFormat/>
    <w:uiPriority w:val="0"/>
    <w:rPr>
      <w:b/>
      <w:bCs/>
    </w:rPr>
  </w:style>
  <w:style w:type="character" w:styleId="13">
    <w:name w:val="annotation reference"/>
    <w:basedOn w:val="12"/>
    <w:qFormat/>
    <w:uiPriority w:val="0"/>
    <w:rPr>
      <w:sz w:val="21"/>
      <w:szCs w:val="21"/>
    </w:r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12"/>
    <w:link w:val="5"/>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10"/>
    <w:qFormat/>
    <w:uiPriority w:val="0"/>
    <w:rPr>
      <w:rFonts w:asciiTheme="minorHAnsi" w:hAnsiTheme="minorHAnsi" w:eastAsiaTheme="minorEastAsia" w:cstheme="minorBidi"/>
      <w:b/>
      <w:bCs/>
      <w:kern w:val="2"/>
      <w:sz w:val="21"/>
      <w:szCs w:val="24"/>
    </w:rPr>
  </w:style>
  <w:style w:type="paragraph" w:customStyle="1" w:styleId="17">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0">
    <w:name w:val="页眉 字符"/>
    <w:basedOn w:val="12"/>
    <w:link w:val="8"/>
    <w:qFormat/>
    <w:uiPriority w:val="0"/>
    <w:rPr>
      <w:rFonts w:asciiTheme="minorHAnsi" w:hAnsiTheme="minorHAnsi" w:eastAsiaTheme="minorEastAsia" w:cstheme="minorBidi"/>
      <w:kern w:val="2"/>
      <w:sz w:val="18"/>
      <w:szCs w:val="18"/>
    </w:rPr>
  </w:style>
  <w:style w:type="character" w:customStyle="1" w:styleId="21">
    <w:name w:val="页脚 字符"/>
    <w:basedOn w:val="12"/>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1873</Words>
  <Characters>1882</Characters>
  <Lines>57</Lines>
  <Paragraphs>55</Paragraphs>
  <TotalTime>7</TotalTime>
  <ScaleCrop>false</ScaleCrop>
  <LinksUpToDate>false</LinksUpToDate>
  <CharactersWithSpaces>1919</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2025-12-31T21:42:00Z</dcterms:created>
  <dc:creator>zhuhongliang</dc:creator>
  <cp:lastModifiedBy>谭沙丽</cp:lastModifiedBy>
  <dcterms:modified xsi:type="dcterms:W3CDTF">2026-01-07T10:39:03Z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5941CE6B06AFFA0B47C75D69501F5D24_43</vt:lpwstr>
  </property>
  <property fmtid="{D5CDD505-2E9C-101B-9397-08002B2CF9AE}" pid="4" name="KSOTemplateDocerSaveRecord">
    <vt:lpwstr>eyJoZGlkIjoiMWM3MGU3NGJkOWRlNWZiYzYwMmNiZjNlZDY1MjgzNDEiLCJ1c2VySWQiOiI0MzU5MzMxMzAifQ==</vt:lpwstr>
  </property>
</Properties>
</file>