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6AF28">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bookmarkStart w:id="0" w:name="_GoBack"/>
      <w:bookmarkEnd w:id="0"/>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36</w:t>
      </w:r>
      <w:r>
        <w:rPr>
          <w:rFonts w:hint="eastAsia" w:ascii="FangSong_GB2312" w:hAnsi="FangSong_GB2312" w:eastAsia="FangSong_GB2312" w:cs="FangSong_GB2312"/>
          <w:color w:val="000000"/>
          <w:sz w:val="32"/>
          <w:szCs w:val="32"/>
        </w:rPr>
        <w:t>号</w:t>
      </w:r>
    </w:p>
    <w:p w14:paraId="35551564">
      <w:pPr>
        <w:spacing w:line="560" w:lineRule="exact"/>
        <w:jc w:val="both"/>
        <w:rPr>
          <w:rFonts w:hint="eastAsia" w:ascii="方正小标宋简体" w:eastAsia="方正小标宋简体"/>
          <w:sz w:val="36"/>
          <w:szCs w:val="36"/>
        </w:rPr>
      </w:pPr>
    </w:p>
    <w:p w14:paraId="32CC4B39">
      <w:pPr>
        <w:spacing w:line="560" w:lineRule="exact"/>
        <w:ind w:firstLine="0" w:firstLineChars="0"/>
        <w:jc w:val="center"/>
        <w:rPr>
          <w:rFonts w:hint="eastAsia" w:ascii="方正小标宋简体" w:eastAsia="方正小标宋简体"/>
          <w:sz w:val="36"/>
          <w:szCs w:val="36"/>
        </w:rPr>
      </w:pPr>
      <w:r>
        <w:rPr>
          <w:rFonts w:hint="eastAsia" w:ascii="方正小标宋简体" w:eastAsia="方正小标宋简体"/>
          <w:sz w:val="36"/>
          <w:szCs w:val="36"/>
        </w:rPr>
        <w:t>清华大学深圳国际研究生院广东省财政科研</w:t>
      </w:r>
    </w:p>
    <w:p w14:paraId="0319DD22">
      <w:pPr>
        <w:spacing w:line="560" w:lineRule="exact"/>
        <w:ind w:firstLine="0" w:firstLineChars="0"/>
        <w:jc w:val="center"/>
        <w:rPr>
          <w:rFonts w:hint="eastAsia" w:ascii="方正小标宋简体" w:eastAsia="方正小标宋简体"/>
          <w:sz w:val="36"/>
          <w:szCs w:val="36"/>
        </w:rPr>
      </w:pPr>
      <w:r>
        <w:rPr>
          <w:rFonts w:hint="eastAsia" w:ascii="方正小标宋简体" w:eastAsia="方正小标宋简体"/>
          <w:sz w:val="36"/>
          <w:szCs w:val="36"/>
        </w:rPr>
        <w:t>项目资金管理办法</w:t>
      </w:r>
    </w:p>
    <w:p w14:paraId="261690DD">
      <w:pPr>
        <w:spacing w:before="156" w:beforeLines="50" w:after="156" w:afterLines="50" w:line="480" w:lineRule="exact"/>
        <w:jc w:val="center"/>
        <w:rPr>
          <w:rFonts w:hint="eastAsia" w:ascii="仿宋_GB2312" w:hAnsi="宋体" w:eastAsia="仿宋_GB2312"/>
          <w:sz w:val="32"/>
          <w:szCs w:val="32"/>
        </w:rPr>
      </w:pPr>
      <w:r>
        <w:rPr>
          <w:rFonts w:hint="eastAsia" w:ascii="仿宋_GB2312" w:hAnsi="宋体" w:eastAsia="仿宋_GB2312"/>
          <w:sz w:val="32"/>
          <w:szCs w:val="32"/>
        </w:rPr>
        <w:t>二〇二</w:t>
      </w:r>
      <w:r>
        <w:rPr>
          <w:rFonts w:hint="eastAsia" w:ascii="仿宋_GB2312" w:hAnsi="宋体" w:eastAsia="仿宋_GB2312"/>
          <w:sz w:val="32"/>
          <w:szCs w:val="32"/>
          <w:lang w:val="en-US" w:eastAsia="zh-CN"/>
        </w:rPr>
        <w:t>六</w:t>
      </w:r>
      <w:r>
        <w:rPr>
          <w:rFonts w:hint="eastAsia" w:ascii="仿宋_GB2312" w:hAnsi="宋体" w:eastAsia="仿宋_GB2312"/>
          <w:sz w:val="32"/>
          <w:szCs w:val="32"/>
        </w:rPr>
        <w:t>年第</w:t>
      </w:r>
      <w:r>
        <w:rPr>
          <w:rFonts w:hint="eastAsia" w:ascii="仿宋_GB2312" w:hAnsi="宋体" w:eastAsia="仿宋_GB2312"/>
          <w:sz w:val="32"/>
          <w:szCs w:val="32"/>
          <w:lang w:val="en-US" w:eastAsia="zh-CN"/>
        </w:rPr>
        <w:t>三</w:t>
      </w:r>
      <w:r>
        <w:rPr>
          <w:rFonts w:hint="eastAsia" w:ascii="仿宋_GB2312" w:hAnsi="宋体" w:eastAsia="仿宋_GB2312"/>
          <w:sz w:val="32"/>
          <w:szCs w:val="32"/>
        </w:rPr>
        <w:t>次党政联席会议（202</w:t>
      </w:r>
      <w:r>
        <w:rPr>
          <w:rFonts w:hint="eastAsia" w:ascii="仿宋_GB2312" w:hAnsi="宋体" w:eastAsia="仿宋_GB2312"/>
          <w:sz w:val="32"/>
          <w:szCs w:val="32"/>
          <w:lang w:eastAsia="zh-CN"/>
        </w:rPr>
        <w:t>6</w:t>
      </w:r>
      <w:r>
        <w:rPr>
          <w:rFonts w:hint="eastAsia" w:ascii="仿宋_GB2312" w:hAnsi="宋体" w:eastAsia="仿宋_GB2312"/>
          <w:sz w:val="32"/>
          <w:szCs w:val="32"/>
        </w:rPr>
        <w:t>年</w:t>
      </w:r>
      <w:r>
        <w:rPr>
          <w:rFonts w:hint="eastAsia" w:ascii="仿宋_GB2312" w:hAnsi="宋体" w:eastAsia="仿宋_GB2312"/>
          <w:sz w:val="32"/>
          <w:szCs w:val="32"/>
          <w:lang w:eastAsia="zh-CN"/>
        </w:rPr>
        <w:t>1</w:t>
      </w:r>
      <w:r>
        <w:rPr>
          <w:rFonts w:hint="eastAsia" w:ascii="仿宋_GB2312" w:hAnsi="宋体" w:eastAsia="仿宋_GB2312"/>
          <w:sz w:val="32"/>
          <w:szCs w:val="32"/>
        </w:rPr>
        <w:t>月</w:t>
      </w:r>
      <w:r>
        <w:rPr>
          <w:rFonts w:hint="eastAsia" w:ascii="仿宋_GB2312" w:hAnsi="宋体" w:eastAsia="仿宋_GB2312"/>
          <w:sz w:val="32"/>
          <w:szCs w:val="32"/>
          <w:lang w:eastAsia="zh-CN"/>
        </w:rPr>
        <w:t>1</w:t>
      </w:r>
      <w:r>
        <w:rPr>
          <w:rFonts w:hint="eastAsia" w:ascii="仿宋_GB2312" w:hAnsi="宋体" w:eastAsia="仿宋_GB2312"/>
          <w:sz w:val="32"/>
          <w:szCs w:val="32"/>
          <w:lang w:val="en-US" w:eastAsia="zh-CN"/>
        </w:rPr>
        <w:t>9</w:t>
      </w:r>
      <w:r>
        <w:rPr>
          <w:rFonts w:hint="eastAsia" w:ascii="仿宋_GB2312" w:hAnsi="宋体" w:eastAsia="仿宋_GB2312"/>
          <w:sz w:val="32"/>
          <w:szCs w:val="32"/>
        </w:rPr>
        <w:t>日）审议通过</w:t>
      </w:r>
    </w:p>
    <w:p w14:paraId="25BD11FF">
      <w:pPr>
        <w:spacing w:before="156" w:beforeLines="50" w:after="156" w:afterLines="50" w:line="480" w:lineRule="exact"/>
        <w:jc w:val="center"/>
        <w:rPr>
          <w:rFonts w:hint="eastAsia" w:ascii="仿宋_GB2312" w:eastAsia="仿宋_GB2312"/>
          <w:sz w:val="32"/>
          <w:szCs w:val="32"/>
        </w:rPr>
      </w:pPr>
    </w:p>
    <w:p w14:paraId="0B0617E0">
      <w:p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rPr>
        <w:t>第一章 总则</w:t>
      </w:r>
    </w:p>
    <w:p w14:paraId="155BBE2E">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第一条</w:t>
      </w:r>
      <w:r>
        <w:rPr>
          <w:rFonts w:hint="eastAsia" w:ascii="仿宋_GB2312" w:hAnsi="宋体" w:eastAsia="仿宋_GB2312" w:cs="宋体"/>
          <w:sz w:val="32"/>
          <w:szCs w:val="32"/>
        </w:rPr>
        <w:t xml:space="preserve"> 为了规范广东省财政科研经费的使用管理，加强绩效管理、提高科研经费使用效益，根据</w:t>
      </w:r>
      <w:r>
        <w:rPr>
          <w:rFonts w:hint="eastAsia" w:ascii="FangSong_GB2312" w:hAnsi="FangSong_GB2312" w:eastAsia="FangSong_GB2312" w:cs="宋体"/>
          <w:snapToGrid w:val="0"/>
          <w:color w:val="000000"/>
          <w:kern w:val="0"/>
          <w:sz w:val="32"/>
          <w:szCs w:val="32"/>
          <w:lang w:eastAsia="zh-CN"/>
        </w:rPr>
        <w:t>《</w:t>
      </w:r>
      <w:r>
        <w:rPr>
          <w:rFonts w:hint="eastAsia" w:ascii="FangSong_GB2312" w:hAnsi="FangSong_GB2312" w:eastAsia="FangSong_GB2312" w:cs="宋体"/>
          <w:snapToGrid w:val="0"/>
          <w:color w:val="000000"/>
          <w:kern w:val="0"/>
          <w:sz w:val="32"/>
          <w:szCs w:val="32"/>
        </w:rPr>
        <w:t>广东省人民政府办公厅关于改革完善省级财政科研经费使用管理的实施意见</w:t>
      </w:r>
      <w:r>
        <w:rPr>
          <w:rFonts w:hint="eastAsia" w:ascii="FangSong_GB2312" w:hAnsi="FangSong_GB2312" w:eastAsia="FangSong_GB2312" w:cs="宋体"/>
          <w:snapToGrid w:val="0"/>
          <w:color w:val="000000"/>
          <w:kern w:val="0"/>
          <w:sz w:val="32"/>
          <w:szCs w:val="32"/>
          <w:lang w:eastAsia="zh-CN"/>
        </w:rPr>
        <w:t>》《</w:t>
      </w:r>
      <w:r>
        <w:rPr>
          <w:rFonts w:hint="eastAsia" w:ascii="FangSong_GB2312" w:hAnsi="FangSong_GB2312" w:eastAsia="FangSong_GB2312" w:cs="宋体"/>
          <w:snapToGrid w:val="0"/>
          <w:color w:val="000000"/>
          <w:kern w:val="0"/>
          <w:sz w:val="32"/>
          <w:szCs w:val="32"/>
        </w:rPr>
        <w:t>省级财政科研项目资金管理监督办法（2023年修订）</w:t>
      </w:r>
      <w:r>
        <w:rPr>
          <w:rFonts w:hint="eastAsia" w:ascii="FangSong_GB2312" w:hAnsi="FangSong_GB2312" w:eastAsia="FangSong_GB2312" w:cs="宋体"/>
          <w:snapToGrid w:val="0"/>
          <w:color w:val="000000"/>
          <w:kern w:val="0"/>
          <w:sz w:val="32"/>
          <w:szCs w:val="32"/>
          <w:lang w:eastAsia="zh-CN"/>
        </w:rPr>
        <w:t>》</w:t>
      </w:r>
      <w:r>
        <w:rPr>
          <w:rFonts w:hint="eastAsia" w:ascii="仿宋_GB2312" w:hAnsi="宋体" w:eastAsia="仿宋_GB2312" w:cs="宋体"/>
          <w:sz w:val="32"/>
          <w:szCs w:val="32"/>
        </w:rPr>
        <w:t>等的相关规定，结合学院实际，制定本办法。</w:t>
      </w:r>
    </w:p>
    <w:p w14:paraId="6EAD0DE4">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第二条</w:t>
      </w:r>
      <w:r>
        <w:rPr>
          <w:rFonts w:hint="eastAsia" w:ascii="仿宋_GB2312" w:hAnsi="宋体" w:eastAsia="仿宋_GB2312" w:cs="宋体"/>
          <w:sz w:val="32"/>
          <w:szCs w:val="32"/>
        </w:rPr>
        <w:t xml:space="preserve"> 本办法适用于学院承担的由广东省财政资金支持的预算制科研资助项目</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以下简称项目</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资金管理。</w:t>
      </w:r>
    </w:p>
    <w:p w14:paraId="07E28430">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从其他渠道获得的广东省财政科研资助项目资金管理按照广东省以及学院相关规定和相关资金提供方的具体要求统筹安排和使用。</w:t>
      </w:r>
    </w:p>
    <w:p w14:paraId="5AA62FE5">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学院承担的包干制方式支持的广东省基础与应用基础研究基金项目资金管理执行学院包干制科研项目资金管理相关规定。</w:t>
      </w:r>
    </w:p>
    <w:p w14:paraId="519788CF">
      <w:pPr>
        <w:numPr>
          <w:ilvl w:val="0"/>
          <w:numId w:val="1"/>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项目资金纳入学院预算统一管理，单独核算、专款专用。</w:t>
      </w:r>
    </w:p>
    <w:p w14:paraId="2442CF75">
      <w:p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rPr>
        <w:t>第二章 管理机构与职责</w:t>
      </w:r>
    </w:p>
    <w:p w14:paraId="37B5CF44">
      <w:pPr>
        <w:numPr>
          <w:ilvl w:val="0"/>
          <w:numId w:val="1"/>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财务办公室负责项目资金的财务管理和会计核算工作，科研处在职责范围内分工负责项目资金管理相关工作。</w:t>
      </w:r>
    </w:p>
    <w:p w14:paraId="58712126">
      <w:pPr>
        <w:numPr>
          <w:ilvl w:val="0"/>
          <w:numId w:val="0"/>
        </w:num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第五条</w:t>
      </w:r>
      <w:r>
        <w:rPr>
          <w:rFonts w:hint="eastAsia" w:ascii="仿宋_GB2312" w:hAnsi="宋体" w:eastAsia="仿宋_GB2312" w:cs="宋体"/>
          <w:sz w:val="32"/>
          <w:szCs w:val="32"/>
        </w:rPr>
        <w:t xml:space="preserve"> </w:t>
      </w:r>
      <w:r>
        <w:rPr>
          <w:rFonts w:hint="eastAsia" w:ascii="仿宋_GB2312" w:hAnsi="宋体" w:eastAsia="仿宋_GB2312" w:cs="宋体"/>
          <w:sz w:val="32"/>
          <w:szCs w:val="32"/>
          <w:lang w:val="en-US" w:eastAsia="zh-CN"/>
        </w:rPr>
        <w:t>各</w:t>
      </w:r>
      <w:r>
        <w:rPr>
          <w:rFonts w:hint="eastAsia" w:ascii="仿宋_GB2312" w:hAnsi="宋体" w:eastAsia="仿宋_GB2312" w:cs="宋体"/>
          <w:sz w:val="32"/>
          <w:szCs w:val="32"/>
        </w:rPr>
        <w:t>教学科研机构对本单位项目资金的使用承担具体管理责任。</w:t>
      </w:r>
    </w:p>
    <w:p w14:paraId="4F47B9A7">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第六条</w:t>
      </w:r>
      <w:r>
        <w:rPr>
          <w:rFonts w:hint="eastAsia" w:ascii="仿宋_GB2312" w:hAnsi="宋体" w:eastAsia="仿宋_GB2312" w:cs="宋体"/>
          <w:sz w:val="32"/>
          <w:szCs w:val="32"/>
        </w:rPr>
        <w:t xml:space="preserve"> 项目负责人为项目资金使用的直接责任人，对资金使用的合规性、合理性、真实性、相关性负责。</w:t>
      </w:r>
    </w:p>
    <w:p w14:paraId="1419857C">
      <w:pPr>
        <w:spacing w:line="560" w:lineRule="exact"/>
        <w:ind w:firstLine="0" w:firstLineChars="0"/>
        <w:jc w:val="center"/>
        <w:rPr>
          <w:rFonts w:hint="eastAsia" w:ascii="黑体" w:hAnsi="黑体" w:eastAsia="黑体" w:cs="宋体"/>
          <w:b w:val="0"/>
          <w:bCs w:val="0"/>
          <w:sz w:val="32"/>
          <w:szCs w:val="32"/>
        </w:rPr>
      </w:pPr>
      <w:r>
        <w:rPr>
          <w:rFonts w:hint="eastAsia" w:ascii="黑体" w:hAnsi="黑体" w:eastAsia="黑体" w:cs="宋体"/>
          <w:b w:val="0"/>
          <w:bCs w:val="0"/>
          <w:sz w:val="32"/>
          <w:szCs w:val="32"/>
        </w:rPr>
        <w:t>第三章 项目资金开支范围</w:t>
      </w:r>
    </w:p>
    <w:p w14:paraId="6ED66B9E">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第七条</w:t>
      </w:r>
      <w:r>
        <w:rPr>
          <w:rFonts w:hint="eastAsia" w:ascii="仿宋_GB2312" w:hAnsi="宋体" w:eastAsia="仿宋_GB2312" w:cs="宋体"/>
          <w:sz w:val="32"/>
          <w:szCs w:val="32"/>
        </w:rPr>
        <w:t xml:space="preserve"> 项目资金由直接费用和间接费用组成。</w:t>
      </w:r>
    </w:p>
    <w:p w14:paraId="2FE298EA">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第八条</w:t>
      </w:r>
      <w:r>
        <w:rPr>
          <w:rFonts w:hint="eastAsia" w:ascii="仿宋_GB2312" w:hAnsi="宋体" w:eastAsia="仿宋_GB2312" w:cs="宋体"/>
          <w:sz w:val="32"/>
          <w:szCs w:val="32"/>
        </w:rPr>
        <w:t xml:space="preserve"> 直接费用是指在项目实施过程中发生的与之直接相关的费用，主要包括:</w:t>
      </w:r>
    </w:p>
    <w:p w14:paraId="7281669D">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设备费</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是指在项目实施过程中购置或试制专用仪器设备、对现有仪器设备进行升级改造以及租赁外单位仪器设备而发生的费用。设备费可以列支计算类仪器设备和软件工具费用，原则上不得列支通用办公设备、通用性操作系统、办公软件费用。严格控制设备购置，鼓励开放共享、自主研制、租赁专用仪器设备以及对现有仪器设备进行升级改造，避免重复购置。</w:t>
      </w:r>
    </w:p>
    <w:p w14:paraId="54E5368E">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业务费</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是指在项目实施过程中消耗的各种材料、辅助材料等低值易耗品的采购、运输、装卸、整理等费用，发生的测试化验加工、燃料动力、出版/文献/信息传播/知识产权事务、会议/差旅/国际合作交流等费用，以及其他相关支出。业务费原则上不得列支日常办公费用。</w:t>
      </w:r>
    </w:p>
    <w:p w14:paraId="13E22F21">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三</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直接人力资源成本费</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是指在项目实施过程中支付给参与项目研究的研究生、博士后、访问学者以及项目聘用的研究人员、科研辅助人员等的劳务性费用，以及支付给临时聘请的咨询专家的费用等。</w:t>
      </w:r>
    </w:p>
    <w:p w14:paraId="3D0CA8E1">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直接人力资源成本费的列支标准应结合相关人员参与项目的全时工作时间等因素合理确定。项目聘用人员的劳务开支标准，参照当地科学研究和技术服务业从业人员平均工资水平，根据项目聘用人员在项目研究中承担的工作任务确定。由单位缴纳的社会保险补助、住房公积金等可纳入直接人力资源成本费科目列支。</w:t>
      </w:r>
    </w:p>
    <w:p w14:paraId="3238A182">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支付给临时聘请的咨询专家的费用不得支付给参与本项目研究和管理的相关人员，其管理按照相关规定执行。</w:t>
      </w:r>
    </w:p>
    <w:p w14:paraId="10791237">
      <w:pPr>
        <w:numPr>
          <w:ilvl w:val="0"/>
          <w:numId w:val="2"/>
        </w:numPr>
        <w:spacing w:line="560" w:lineRule="exact"/>
        <w:ind w:left="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间接费用是指学院在组织实施项目过程中发生的无法在直接费用中列支的相关费用,主要包括学院为项目研究提供的房屋占用，日常水、电、气、暖等消耗，有关管理费用的补助支出，以及激励科研人员的绩效支出等。</w:t>
      </w:r>
    </w:p>
    <w:p w14:paraId="676222CF">
      <w:pPr>
        <w:numPr>
          <w:ilvl w:val="-1"/>
          <w:numId w:val="0"/>
        </w:num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lang w:val="en-US" w:eastAsia="zh-CN"/>
        </w:rPr>
        <w:t xml:space="preserve">第四章 </w:t>
      </w:r>
      <w:r>
        <w:rPr>
          <w:rFonts w:hint="eastAsia" w:ascii="黑体" w:hAnsi="黑体" w:eastAsia="黑体" w:cs="宋体"/>
          <w:sz w:val="32"/>
          <w:szCs w:val="32"/>
        </w:rPr>
        <w:t>预算编制</w:t>
      </w:r>
    </w:p>
    <w:p w14:paraId="3AE0C38A">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项目预算由收入预算与支出预算构成。项目负责人应当根据项目研究开发任务的特点和实际需要，按照政策相符性、目标相关性和经济合理性原则，科学、合理、真实地编制预算，做到收支平衡。</w:t>
      </w:r>
    </w:p>
    <w:p w14:paraId="51BB843F">
      <w:pPr>
        <w:spacing w:line="560" w:lineRule="exact"/>
        <w:ind w:firstLine="640" w:firstLineChars="200"/>
        <w:jc w:val="left"/>
        <w:rPr>
          <w:rFonts w:hint="eastAsia" w:ascii="仿宋_GB2312" w:hAnsi="宋体" w:eastAsia="仿宋_GB2312" w:cs="宋体"/>
          <w:sz w:val="32"/>
          <w:szCs w:val="32"/>
          <w:highlight w:val="yellow"/>
        </w:rPr>
      </w:pPr>
      <w:r>
        <w:rPr>
          <w:rFonts w:hint="eastAsia" w:ascii="仿宋_GB2312" w:hAnsi="宋体" w:eastAsia="仿宋_GB2312" w:cs="宋体"/>
          <w:sz w:val="32"/>
          <w:szCs w:val="32"/>
          <w:highlight w:val="none"/>
          <w:lang w:eastAsia="zh-CN"/>
        </w:rPr>
        <w:t>（</w:t>
      </w:r>
      <w:r>
        <w:rPr>
          <w:rFonts w:hint="eastAsia" w:ascii="仿宋_GB2312" w:hAnsi="宋体" w:eastAsia="仿宋_GB2312" w:cs="宋体"/>
          <w:sz w:val="32"/>
          <w:szCs w:val="32"/>
          <w:highlight w:val="none"/>
        </w:rPr>
        <w:t>一</w:t>
      </w:r>
      <w:r>
        <w:rPr>
          <w:rFonts w:hint="eastAsia" w:ascii="仿宋_GB2312" w:hAnsi="宋体" w:eastAsia="仿宋_GB2312" w:cs="宋体"/>
          <w:sz w:val="32"/>
          <w:szCs w:val="32"/>
          <w:highlight w:val="none"/>
          <w:lang w:eastAsia="zh-CN"/>
        </w:rPr>
        <w:t>）</w:t>
      </w:r>
      <w:r>
        <w:rPr>
          <w:rFonts w:hint="eastAsia" w:ascii="仿宋_GB2312" w:hAnsi="宋体" w:eastAsia="仿宋_GB2312" w:cs="宋体"/>
          <w:sz w:val="32"/>
          <w:szCs w:val="32"/>
          <w:highlight w:val="none"/>
        </w:rPr>
        <w:t>收入预算按照</w:t>
      </w:r>
      <w:r>
        <w:rPr>
          <w:rFonts w:hint="eastAsia" w:ascii="仿宋_GB2312" w:hAnsi="宋体" w:eastAsia="仿宋_GB2312" w:cs="宋体"/>
          <w:sz w:val="32"/>
          <w:szCs w:val="32"/>
          <w:highlight w:val="none"/>
          <w:lang w:val="en-US" w:eastAsia="zh-CN"/>
        </w:rPr>
        <w:t>广东省</w:t>
      </w:r>
      <w:r>
        <w:rPr>
          <w:rFonts w:hint="eastAsia" w:ascii="仿宋_GB2312" w:hAnsi="宋体" w:eastAsia="仿宋_GB2312" w:cs="宋体"/>
          <w:sz w:val="32"/>
          <w:szCs w:val="32"/>
          <w:highlight w:val="none"/>
        </w:rPr>
        <w:t>财政资助的资金以及从其他渠道获得的资金总额填列。对于其他来源资金，应当充分考虑各渠道的情况，并提供出资证明，不得使用货币资金之外的资产或其他财政资金作为资金来源。</w:t>
      </w:r>
    </w:p>
    <w:p w14:paraId="348B62C0">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支出预算根据项目需求，按照项目资金开支范围编列。</w:t>
      </w:r>
    </w:p>
    <w:p w14:paraId="6DFAAC06">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直接费用中除50万元以上的设备费外，其他费用可只提供基本测算说明，不需提供明细。</w:t>
      </w:r>
    </w:p>
    <w:p w14:paraId="5358D180">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 xml:space="preserve">编制项目预算原则上应当以现行政策规定比例的上限编制间接费用。间接费用实行总额控制，按照不超过直接费用扣除设备费后的30%核定，对数学等纯理论基础研究项目，间接费用比例不超过60%。 </w:t>
      </w:r>
    </w:p>
    <w:p w14:paraId="3FE55C67">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科研项目由多个单位承担的，间接费用在总额范围内由牵头单位与参与单位协商分配。</w:t>
      </w:r>
    </w:p>
    <w:p w14:paraId="299B6E04">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项目预算经项目承担教学科研机构、科研处、财务办公室审核后报项目主管部门审批。</w:t>
      </w:r>
    </w:p>
    <w:p w14:paraId="1544B479">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第五章 预算执行</w:t>
      </w:r>
    </w:p>
    <w:p w14:paraId="5E802E2C">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学院作为项目承担单位的，按照研究进度及时向项目参与单位拨付资金。学院作为项目参与单位的，不再向外转拨资金。</w:t>
      </w:r>
    </w:p>
    <w:p w14:paraId="7223493D">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项目资金应当严格按照相关规定、结合项目实施计划和科研活动的实际需要合理使用。</w:t>
      </w:r>
    </w:p>
    <w:p w14:paraId="12FC8B49">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项目负责人应当按照下达的预算执行。项目预算确有必要调剂的，应当按照以下调剂范围和权限，履行相关程序:</w:t>
      </w:r>
    </w:p>
    <w:p w14:paraId="20B171D4">
      <w:pPr>
        <w:numPr>
          <w:ilvl w:val="0"/>
          <w:numId w:val="0"/>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（一）设备费和间接费用调整由项目负责人提出申请，经项目承担教学科研机构审核同意，报科研处、财务办公室共同审批。间接费用可在核定比例范围内调增、调减。</w:t>
      </w:r>
    </w:p>
    <w:p w14:paraId="35771BDC">
      <w:pPr>
        <w:numPr>
          <w:ilvl w:val="0"/>
          <w:numId w:val="0"/>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（二）除设备费外的其他直接费用调剂，由项目负责人结合实际需要在项目研制周期内自行调剂。</w:t>
      </w:r>
    </w:p>
    <w:p w14:paraId="25B00574">
      <w:pPr>
        <w:numPr>
          <w:ilvl w:val="0"/>
          <w:numId w:val="0"/>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（三）项目预算总额不变，合作研究单位之间发生预算调剂，或者由于合作研究单位增加（减少）发生预算调剂的，应协商一致并重新签订合作协议后办理，并报省项目主管部门备案。</w:t>
      </w:r>
    </w:p>
    <w:p w14:paraId="236340B7">
      <w:pPr>
        <w:numPr>
          <w:ilvl w:val="0"/>
          <w:numId w:val="0"/>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（四）预算调整情况应在结题验收报告中予以说明，并在项目承担单位内部公开。</w:t>
      </w:r>
    </w:p>
    <w:p w14:paraId="7702756F">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项目应当按照相关规定配备科研财务助理，科研财务助理所需人力成本费用（含社会保险补助、住房公积金），可由项目承担单位根据实际情况通过科研项目经费等渠道统筹解决。</w:t>
      </w:r>
    </w:p>
    <w:p w14:paraId="03158049">
      <w:pPr>
        <w:numPr>
          <w:ilvl w:val="0"/>
          <w:numId w:val="2"/>
        </w:numPr>
        <w:spacing w:line="560" w:lineRule="exact"/>
        <w:ind w:left="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严格执行资金支出管理制度。对应当实行“公务卡”结算的支出，执行广东省省级财政科研项目资金管理监督办法有关规定。对于设备、大宗材料、测试化验加工、劳务、专家咨询等费用，原则上应当通过银行转账方式结算。</w:t>
      </w:r>
    </w:p>
    <w:p w14:paraId="1182DC8A">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第六章 决算与综合绩效评价</w:t>
      </w:r>
    </w:p>
    <w:p w14:paraId="2B30530C">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项目执行期满后，项目负责人应当及时清理账目与资产，如实编制项目资金决算。项目资金决算经财务办公室、科研处审核后上报项目主管部门。</w:t>
      </w:r>
    </w:p>
    <w:p w14:paraId="0C304519">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学院作为项目承担单位的，按照相关规定组织项目参与单位准备项目综合绩效评价材料，向专业机构提出项目综合绩效评价申请。</w:t>
      </w:r>
    </w:p>
    <w:p w14:paraId="11891411">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学院根据项目综合绩效评价相关意见对项目结余资金进行管理。</w:t>
      </w:r>
    </w:p>
    <w:p w14:paraId="549ABD60">
      <w:pPr>
        <w:spacing w:line="560" w:lineRule="exact"/>
        <w:ind w:firstLine="640" w:firstLineChars="200"/>
        <w:jc w:val="left"/>
        <w:rPr>
          <w:rFonts w:hint="eastAsia" w:ascii="仿宋_GB2312" w:hAnsi="宋体" w:eastAsia="仿宋_GB2312" w:cs="宋体"/>
          <w:sz w:val="32"/>
          <w:szCs w:val="32"/>
          <w:highlight w:val="yellow"/>
        </w:rPr>
      </w:pPr>
      <w:r>
        <w:rPr>
          <w:rFonts w:hint="eastAsia" w:ascii="仿宋_GB2312" w:hAnsi="宋体" w:eastAsia="仿宋_GB2312" w:cs="宋体"/>
          <w:sz w:val="32"/>
          <w:szCs w:val="32"/>
        </w:rPr>
        <w:t>项目完成任务目标并通过综合绩效评价验收，结余资金按照相关规定统筹用于科研活动直接支出。除涉密项目外，结余资金情况作为项目验收情况信息主动公开，接受监督，并向项目主管部门报备。</w:t>
      </w:r>
    </w:p>
    <w:p w14:paraId="34FF4E19">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项目负责人应当在项目综合绩效评价完成后一个月内及时办理财务结账相关手续。</w:t>
      </w:r>
    </w:p>
    <w:p w14:paraId="286412A6">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第七章 监督检查</w:t>
      </w:r>
    </w:p>
    <w:p w14:paraId="0FDD19C9">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项目资金使用不得存在以下行为:</w:t>
      </w:r>
    </w:p>
    <w:p w14:paraId="09DAEDF0">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编报虚假预算;</w:t>
      </w:r>
    </w:p>
    <w:p w14:paraId="075F6214">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二）</w:t>
      </w:r>
      <w:r>
        <w:rPr>
          <w:rFonts w:hint="eastAsia" w:ascii="仿宋_GB2312" w:hAnsi="宋体" w:eastAsia="仿宋_GB2312" w:cs="宋体"/>
          <w:sz w:val="32"/>
          <w:szCs w:val="32"/>
        </w:rPr>
        <w:t>列支与本项目任务无关的支出;</w:t>
      </w:r>
    </w:p>
    <w:p w14:paraId="5DEC4E52">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三</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未按规定执行和调剂预算、违反规定转拨项目资金;</w:t>
      </w:r>
    </w:p>
    <w:p w14:paraId="694A3E45">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四</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通过虚假合同、虚假票据、虚构事项、虚报人员等弄虚作假，转移、套取、报销项目资金;</w:t>
      </w:r>
    </w:p>
    <w:p w14:paraId="5CEB81F9">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五</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截留、挤占、挪用项目资金;</w:t>
      </w:r>
    </w:p>
    <w:p w14:paraId="106C37DD">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六</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设置账外账、随意调账变动支出、随意修改记账凭证、提供虚假财务会计资料等;</w:t>
      </w:r>
    </w:p>
    <w:p w14:paraId="7EA2FBE5">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七</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使用项目资金列支应当由个人负担的有关费用和支付各种罚款、捐款、赞助、投资、偿还债务等;</w:t>
      </w:r>
    </w:p>
    <w:p w14:paraId="4853517E">
      <w:pPr>
        <w:spacing w:line="560" w:lineRule="exact"/>
        <w:ind w:left="0" w:leftChars="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八</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其他违反国家财经纪律的行为。</w:t>
      </w:r>
    </w:p>
    <w:p w14:paraId="6B07E8AF">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承担教学科研机构负责对项目资金使用情况进行日常监督。科研处、财务办公室、审计办公室等部门在职责范围内负责对项目资金使用情况进行监督检查。</w:t>
      </w:r>
    </w:p>
    <w:p w14:paraId="2D47B6F3">
      <w:pPr>
        <w:numPr>
          <w:ilvl w:val="0"/>
          <w:numId w:val="2"/>
        </w:numPr>
        <w:spacing w:line="560" w:lineRule="exact"/>
        <w:ind w:left="0"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学院任何单位和个人违反本办法相关规定的，学院视情节轻重对直接责任人和相关负责人进行批评教育直至纪律处分。</w:t>
      </w:r>
    </w:p>
    <w:p w14:paraId="71CFF619">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第八章 附则</w:t>
      </w:r>
    </w:p>
    <w:p w14:paraId="32C33AF5">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本办法由财务办公室负责解释。</w:t>
      </w:r>
    </w:p>
    <w:p w14:paraId="23CFB138">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本办法自公布之日起施行。</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60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9C9750">
                          <w:pPr>
                            <w:pStyle w:val="3"/>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79C9750">
                    <w:pPr>
                      <w:pStyle w:val="3"/>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60731"/>
    <w:multiLevelType w:val="singleLevel"/>
    <w:tmpl w:val="02C60731"/>
    <w:lvl w:ilvl="0" w:tentative="0">
      <w:start w:val="9"/>
      <w:numFmt w:val="chineseCounting"/>
      <w:suff w:val="space"/>
      <w:lvlText w:val="第%1条"/>
      <w:lvlJc w:val="left"/>
      <w:rPr>
        <w:rFonts w:hint="eastAsia"/>
        <w:b/>
        <w:bCs/>
      </w:rPr>
    </w:lvl>
  </w:abstractNum>
  <w:abstractNum w:abstractNumId="1">
    <w:nsid w:val="10B10221"/>
    <w:multiLevelType w:val="singleLevel"/>
    <w:tmpl w:val="10B10221"/>
    <w:lvl w:ilvl="0" w:tentative="0">
      <w:start w:val="3"/>
      <w:numFmt w:val="chineseCounting"/>
      <w:suff w:val="space"/>
      <w:lvlText w:val="第%1条"/>
      <w:lvlJc w:val="left"/>
      <w:pPr>
        <w:ind w:left="0" w:firstLine="61"/>
      </w:pPr>
      <w:rPr>
        <w:rFonts w:hint="eastAsia"/>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305"/>
    <w:rsid w:val="00384CE9"/>
    <w:rsid w:val="00431B07"/>
    <w:rsid w:val="00D67305"/>
    <w:rsid w:val="00E50BF5"/>
    <w:rsid w:val="04845EDE"/>
    <w:rsid w:val="04CF790B"/>
    <w:rsid w:val="04DA103E"/>
    <w:rsid w:val="08C068E7"/>
    <w:rsid w:val="0E1573C0"/>
    <w:rsid w:val="10AE0D3E"/>
    <w:rsid w:val="136B6FEA"/>
    <w:rsid w:val="15741DAC"/>
    <w:rsid w:val="15EF1E88"/>
    <w:rsid w:val="175E0F34"/>
    <w:rsid w:val="1D907518"/>
    <w:rsid w:val="1E601A36"/>
    <w:rsid w:val="1FCD6C1A"/>
    <w:rsid w:val="20AA6F98"/>
    <w:rsid w:val="20ED771C"/>
    <w:rsid w:val="23106527"/>
    <w:rsid w:val="26404627"/>
    <w:rsid w:val="27FA0805"/>
    <w:rsid w:val="2BD6464A"/>
    <w:rsid w:val="2D9D01FB"/>
    <w:rsid w:val="2E2C7655"/>
    <w:rsid w:val="2E4E49E1"/>
    <w:rsid w:val="2E6E7857"/>
    <w:rsid w:val="2ED022C0"/>
    <w:rsid w:val="32F822DF"/>
    <w:rsid w:val="346516A7"/>
    <w:rsid w:val="35D03827"/>
    <w:rsid w:val="35E05538"/>
    <w:rsid w:val="37F30DCD"/>
    <w:rsid w:val="3ACC6031"/>
    <w:rsid w:val="3B7A3CDF"/>
    <w:rsid w:val="3CB756DB"/>
    <w:rsid w:val="3D3103CE"/>
    <w:rsid w:val="40512B35"/>
    <w:rsid w:val="40A44343"/>
    <w:rsid w:val="42A167B5"/>
    <w:rsid w:val="451C69CD"/>
    <w:rsid w:val="477F442B"/>
    <w:rsid w:val="50F27400"/>
    <w:rsid w:val="51212787"/>
    <w:rsid w:val="51F66411"/>
    <w:rsid w:val="546B02A3"/>
    <w:rsid w:val="57B87B29"/>
    <w:rsid w:val="57BC129C"/>
    <w:rsid w:val="581C300C"/>
    <w:rsid w:val="5E416C5C"/>
    <w:rsid w:val="5EE51FF0"/>
    <w:rsid w:val="5F9E172B"/>
    <w:rsid w:val="64851217"/>
    <w:rsid w:val="687E455F"/>
    <w:rsid w:val="68886C34"/>
    <w:rsid w:val="68D103D4"/>
    <w:rsid w:val="6D17450C"/>
    <w:rsid w:val="6EA81B79"/>
    <w:rsid w:val="70922B5F"/>
    <w:rsid w:val="71630615"/>
    <w:rsid w:val="75220020"/>
    <w:rsid w:val="762322A2"/>
    <w:rsid w:val="7D7FD014"/>
    <w:rsid w:val="7DED735C"/>
    <w:rsid w:val="7FFEDA94"/>
    <w:rsid w:val="7FFFA17C"/>
    <w:rsid w:val="AFE5039E"/>
    <w:rsid w:val="BDD31D22"/>
    <w:rsid w:val="FDEF13D7"/>
    <w:rsid w:val="FF7E83F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annotation subject"/>
    <w:basedOn w:val="2"/>
    <w:next w:val="2"/>
    <w:link w:val="11"/>
    <w:qFormat/>
    <w:uiPriority w:val="0"/>
    <w:rPr>
      <w:b/>
      <w:bCs/>
    </w:rPr>
  </w:style>
  <w:style w:type="character" w:styleId="9">
    <w:name w:val="annotation reference"/>
    <w:qFormat/>
    <w:uiPriority w:val="0"/>
    <w:rPr>
      <w:sz w:val="21"/>
      <w:szCs w:val="21"/>
    </w:rPr>
  </w:style>
  <w:style w:type="character" w:customStyle="1" w:styleId="10">
    <w:name w:val="批注文字 字符"/>
    <w:link w:val="2"/>
    <w:qFormat/>
    <w:uiPriority w:val="0"/>
    <w:rPr>
      <w:kern w:val="2"/>
      <w:sz w:val="21"/>
      <w:szCs w:val="24"/>
    </w:rPr>
  </w:style>
  <w:style w:type="character" w:customStyle="1" w:styleId="11">
    <w:name w:val="批注主题 字符"/>
    <w:link w:val="6"/>
    <w:qFormat/>
    <w:uiPriority w:val="0"/>
    <w:rPr>
      <w:b/>
      <w:bCs/>
      <w:kern w:val="2"/>
      <w:sz w:val="21"/>
      <w:szCs w:val="24"/>
    </w:rPr>
  </w:style>
  <w:style w:type="paragraph" w:customStyle="1" w:styleId="12">
    <w:name w:val="_Style 10"/>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2912</Words>
  <Characters>2928</Characters>
  <Lines>74</Lines>
  <Paragraphs>60</Paragraphs>
  <TotalTime>6</TotalTime>
  <ScaleCrop>false</ScaleCrop>
  <LinksUpToDate>false</LinksUpToDate>
  <CharactersWithSpaces>2949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2025-10-20T08:22:00Z</dcterms:created>
  <dc:creator>admin</dc:creator>
  <cp:lastModifiedBy>maojie</cp:lastModifiedBy>
  <dcterms:modified xsi:type="dcterms:W3CDTF">2026-02-10T11:40:31Z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eyJoZGlkIjoiM2M1MTExOWE5ZGVmNzcwM2FhZDgzMTI4OGU2OGRiOWMiLCJ1c2VySWQiOiIyNDk0NzU3ODcifQ==</vt:lpwstr>
  </property>
  <property fmtid="{D5CDD505-2E9C-101B-9397-08002B2CF9AE}" pid="4" name="ICV">
    <vt:lpwstr>CD202E0A8F554972A309808CCC4142F4_13</vt:lpwstr>
  </property>
</Properties>
</file>