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F2805">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26</w:t>
      </w:r>
      <w:bookmarkStart w:id="0" w:name="_GoBack"/>
      <w:bookmarkEnd w:id="0"/>
      <w:r>
        <w:rPr>
          <w:rFonts w:hint="eastAsia" w:ascii="FangSong_GB2312" w:hAnsi="FangSong_GB2312" w:eastAsia="FangSong_GB2312" w:cs="FangSong_GB2312"/>
          <w:color w:val="000000"/>
          <w:sz w:val="32"/>
          <w:szCs w:val="32"/>
        </w:rPr>
        <w:t>号</w:t>
      </w:r>
    </w:p>
    <w:p w14:paraId="5F1D20F0">
      <w:pPr>
        <w:spacing w:line="600" w:lineRule="exact"/>
        <w:jc w:val="center"/>
        <w:rPr>
          <w:rFonts w:hint="eastAsia" w:ascii="方正小标宋简体" w:eastAsia="方正小标宋简体"/>
          <w:sz w:val="36"/>
          <w:szCs w:val="36"/>
        </w:rPr>
      </w:pPr>
    </w:p>
    <w:p w14:paraId="55DD6D76">
      <w:pPr>
        <w:spacing w:line="600" w:lineRule="exact"/>
        <w:jc w:val="center"/>
        <w:rPr>
          <w:rFonts w:ascii="方正小标宋简体" w:eastAsia="方正小标宋简体"/>
          <w:sz w:val="36"/>
          <w:szCs w:val="36"/>
        </w:rPr>
      </w:pPr>
      <w:r>
        <w:rPr>
          <w:rFonts w:hint="eastAsia" w:ascii="方正小标宋简体" w:eastAsia="方正小标宋简体"/>
          <w:sz w:val="36"/>
          <w:szCs w:val="36"/>
        </w:rPr>
        <w:t>清华大学深圳国际研究生院港澳台学生</w:t>
      </w:r>
    </w:p>
    <w:p w14:paraId="1A4241DE">
      <w:pPr>
        <w:spacing w:line="600" w:lineRule="exact"/>
        <w:jc w:val="center"/>
        <w:rPr>
          <w:rStyle w:val="8"/>
          <w:sz w:val="36"/>
          <w:szCs w:val="36"/>
        </w:rPr>
      </w:pPr>
      <w:r>
        <w:rPr>
          <w:rFonts w:hint="eastAsia" w:ascii="方正小标宋简体" w:eastAsia="方正小标宋简体"/>
          <w:sz w:val="36"/>
          <w:szCs w:val="36"/>
        </w:rPr>
        <w:t>管理工作规定</w:t>
      </w:r>
    </w:p>
    <w:p w14:paraId="7E47798E">
      <w:pPr>
        <w:snapToGrid w:val="0"/>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二〇</w:t>
      </w:r>
      <w:r>
        <w:rPr>
          <w:rFonts w:ascii="Times New Roman" w:hAnsi="Times New Roman" w:eastAsia="FangSong_GB2312"/>
          <w:color w:val="000000" w:themeColor="text1"/>
          <w:sz w:val="32"/>
          <w:szCs w:val="32"/>
          <w:lang w:eastAsia="zh-Hans"/>
          <w14:textFill>
            <w14:solidFill>
              <w14:schemeClr w14:val="tx1"/>
            </w14:solidFill>
          </w14:textFill>
        </w:rPr>
        <w:t>二</w:t>
      </w:r>
      <w:r>
        <w:rPr>
          <w:rFonts w:hint="eastAsia" w:ascii="Times New Roman" w:hAnsi="Times New Roman" w:eastAsia="FangSong_GB2312"/>
          <w:color w:val="000000" w:themeColor="text1"/>
          <w:sz w:val="32"/>
          <w:szCs w:val="32"/>
          <w:lang w:val="en-US" w:eastAsia="zh-CN"/>
          <w14:textFill>
            <w14:solidFill>
              <w14:schemeClr w14:val="tx1"/>
            </w14:solidFill>
          </w14:textFill>
        </w:rPr>
        <w:t>五</w:t>
      </w:r>
      <w:r>
        <w:rPr>
          <w:rFonts w:ascii="Times New Roman" w:hAnsi="Times New Roman" w:eastAsia="FangSong_GB2312"/>
          <w:color w:val="000000" w:themeColor="text1"/>
          <w:sz w:val="32"/>
          <w:szCs w:val="32"/>
          <w:lang w:eastAsia="zh-Hans"/>
          <w14:textFill>
            <w14:solidFill>
              <w14:schemeClr w14:val="tx1"/>
            </w14:solidFill>
          </w14:textFill>
        </w:rPr>
        <w:t>年第</w:t>
      </w:r>
      <w:r>
        <w:rPr>
          <w:rFonts w:hint="eastAsia" w:ascii="Times New Roman" w:hAnsi="Times New Roman" w:eastAsia="FangSong_GB2312"/>
          <w:color w:val="000000" w:themeColor="text1"/>
          <w:sz w:val="32"/>
          <w:szCs w:val="32"/>
          <w:lang w:val="en-US" w:eastAsia="zh-CN"/>
          <w14:textFill>
            <w14:solidFill>
              <w14:schemeClr w14:val="tx1"/>
            </w14:solidFill>
          </w14:textFill>
        </w:rPr>
        <w:t>七十一</w:t>
      </w:r>
      <w:r>
        <w:rPr>
          <w:rFonts w:ascii="Times New Roman" w:hAnsi="Times New Roman" w:eastAsia="FangSong_GB2312"/>
          <w:color w:val="000000" w:themeColor="text1"/>
          <w:sz w:val="32"/>
          <w:szCs w:val="32"/>
          <w:lang w:eastAsia="zh-Hans"/>
          <w14:textFill>
            <w14:solidFill>
              <w14:schemeClr w14:val="tx1"/>
            </w14:solidFill>
          </w14:textFill>
        </w:rPr>
        <w:t>次</w:t>
      </w:r>
      <w:r>
        <w:rPr>
          <w:rFonts w:ascii="Times New Roman" w:hAnsi="Times New Roman" w:eastAsia="FangSong_GB2312"/>
          <w:color w:val="000000" w:themeColor="text1"/>
          <w:sz w:val="32"/>
          <w:szCs w:val="32"/>
          <w14:textFill>
            <w14:solidFill>
              <w14:schemeClr w14:val="tx1"/>
            </w14:solidFill>
          </w14:textFill>
        </w:rPr>
        <w:t>党政联席会议</w:t>
      </w:r>
      <w:r>
        <w:rPr>
          <w:rFonts w:ascii="Times New Roman" w:hAnsi="Times New Roman" w:eastAsia="FangSong_GB2312"/>
          <w:color w:val="000000" w:themeColor="text1"/>
          <w:sz w:val="32"/>
          <w:szCs w:val="32"/>
          <w:lang w:eastAsia="zh-Hans"/>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2025</w:t>
      </w:r>
      <w:r>
        <w:rPr>
          <w:rFonts w:ascii="Times New Roman" w:hAnsi="Times New Roman" w:eastAsia="FangSong_GB2312"/>
          <w:color w:val="000000" w:themeColor="text1"/>
          <w:sz w:val="32"/>
          <w:szCs w:val="32"/>
          <w:lang w:eastAsia="zh-Hans"/>
          <w14:textFill>
            <w14:solidFill>
              <w14:schemeClr w14:val="tx1"/>
            </w14:solidFill>
          </w14:textFill>
        </w:rPr>
        <w:t>年</w:t>
      </w:r>
      <w:r>
        <w:rPr>
          <w:rFonts w:hint="eastAsia" w:ascii="Times New Roman" w:hAnsi="Times New Roman" w:eastAsia="FangSong_GB2312"/>
          <w:color w:val="000000" w:themeColor="text1"/>
          <w:sz w:val="32"/>
          <w:szCs w:val="32"/>
          <w:lang w:val="en-US" w:eastAsia="zh-CN"/>
          <w14:textFill>
            <w14:solidFill>
              <w14:schemeClr w14:val="tx1"/>
            </w14:solidFill>
          </w14:textFill>
        </w:rPr>
        <w:t>12</w:t>
      </w:r>
      <w:r>
        <w:rPr>
          <w:rFonts w:ascii="Times New Roman" w:hAnsi="Times New Roman" w:eastAsia="FangSong_GB2312"/>
          <w:color w:val="000000" w:themeColor="text1"/>
          <w:sz w:val="32"/>
          <w:szCs w:val="32"/>
          <w:lang w:eastAsia="zh-Hans"/>
          <w14:textFill>
            <w14:solidFill>
              <w14:schemeClr w14:val="tx1"/>
            </w14:solidFill>
          </w14:textFill>
        </w:rPr>
        <w:t>月</w:t>
      </w:r>
      <w:r>
        <w:rPr>
          <w:rFonts w:hint="eastAsia" w:ascii="Times New Roman" w:hAnsi="Times New Roman" w:eastAsia="FangSong_GB2312"/>
          <w:color w:val="000000" w:themeColor="text1"/>
          <w:sz w:val="32"/>
          <w:szCs w:val="32"/>
          <w:lang w:val="en-US" w:eastAsia="zh-CN"/>
          <w14:textFill>
            <w14:solidFill>
              <w14:schemeClr w14:val="tx1"/>
            </w14:solidFill>
          </w14:textFill>
        </w:rPr>
        <w:t>17</w:t>
      </w:r>
      <w:r>
        <w:rPr>
          <w:rFonts w:ascii="Times New Roman" w:hAnsi="Times New Roman" w:eastAsia="FangSong_GB2312"/>
          <w:color w:val="000000" w:themeColor="text1"/>
          <w:sz w:val="32"/>
          <w:szCs w:val="32"/>
          <w:lang w:eastAsia="zh-Hans"/>
          <w14:textFill>
            <w14:solidFill>
              <w14:schemeClr w14:val="tx1"/>
            </w14:solidFill>
          </w14:textFill>
        </w:rPr>
        <w:t>日）</w:t>
      </w:r>
      <w:r>
        <w:rPr>
          <w:rFonts w:ascii="Times New Roman" w:hAnsi="Times New Roman" w:eastAsia="FangSong_GB2312"/>
          <w:color w:val="000000" w:themeColor="text1"/>
          <w:sz w:val="32"/>
          <w:szCs w:val="32"/>
          <w14:textFill>
            <w14:solidFill>
              <w14:schemeClr w14:val="tx1"/>
            </w14:solidFill>
          </w14:textFill>
        </w:rPr>
        <w:t>审议通过</w:t>
      </w:r>
    </w:p>
    <w:p w14:paraId="7EEBF2CA">
      <w:pPr>
        <w:spacing w:line="560" w:lineRule="exact"/>
        <w:ind w:firstLine="640" w:firstLineChars="200"/>
        <w:rPr>
          <w:rFonts w:ascii="FangSong_GB2312" w:eastAsia="FangSong_GB2312"/>
          <w:sz w:val="32"/>
          <w:szCs w:val="32"/>
        </w:rPr>
      </w:pPr>
    </w:p>
    <w:p w14:paraId="5CC943A1">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第一条</w:t>
      </w:r>
      <w:r>
        <w:rPr>
          <w:rFonts w:hint="eastAsia" w:ascii="FangSong_GB2312" w:eastAsia="FangSong_GB2312"/>
          <w:sz w:val="32"/>
          <w:szCs w:val="32"/>
        </w:rPr>
        <w:t xml:space="preserve"> 为了进一步规范清华大学深圳国际研究生院（以下简称学院）港澳台学生招生、教学、科研、生活等方面的管理和服务，保证培养质量，依法维护港澳台学生合法权益，根据《清华大学港澳台学生管理工作规定》，结合学院实际，制定本规定。</w:t>
      </w:r>
    </w:p>
    <w:p w14:paraId="0A5629FF">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第二条</w:t>
      </w:r>
      <w:r>
        <w:rPr>
          <w:rFonts w:hint="eastAsia" w:ascii="FangSong_GB2312" w:eastAsia="FangSong_GB2312"/>
          <w:sz w:val="32"/>
          <w:szCs w:val="32"/>
        </w:rPr>
        <w:t xml:space="preserve"> 本规定适用于对以港澳台地区人员身份入读的各类学生的管理。</w:t>
      </w:r>
    </w:p>
    <w:p w14:paraId="26738A0A">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第三条</w:t>
      </w:r>
      <w:r>
        <w:rPr>
          <w:rFonts w:hint="eastAsia" w:ascii="FangSong_GB2312" w:eastAsia="FangSong_GB2312"/>
          <w:sz w:val="32"/>
          <w:szCs w:val="32"/>
        </w:rPr>
        <w:t xml:space="preserve"> 学院港澳台学生管理工作坚持“保证质量、一视同仁”的原则。</w:t>
      </w:r>
    </w:p>
    <w:p w14:paraId="04A6E039">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第四条</w:t>
      </w:r>
      <w:r>
        <w:rPr>
          <w:rFonts w:hint="eastAsia" w:ascii="FangSong_GB2312" w:eastAsia="FangSong_GB2312"/>
          <w:sz w:val="32"/>
          <w:szCs w:val="32"/>
        </w:rPr>
        <w:t xml:space="preserve"> 全球事务办公室负责具体协调落实港澳台学生管理和服务工作。</w:t>
      </w:r>
    </w:p>
    <w:p w14:paraId="740C3A34">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第五条</w:t>
      </w:r>
      <w:r>
        <w:rPr>
          <w:rFonts w:hint="eastAsia" w:ascii="FangSong_GB2312" w:eastAsia="FangSong_GB2312"/>
          <w:sz w:val="32"/>
          <w:szCs w:val="32"/>
        </w:rPr>
        <w:t xml:space="preserve"> 港澳台学生招生工作由学院培养处具体负责。</w:t>
      </w:r>
    </w:p>
    <w:p w14:paraId="48E80BC8">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第六条</w:t>
      </w:r>
      <w:r>
        <w:rPr>
          <w:rFonts w:hint="eastAsia" w:ascii="FangSong_GB2312" w:eastAsia="FangSong_GB2312"/>
          <w:sz w:val="32"/>
          <w:szCs w:val="32"/>
        </w:rPr>
        <w:t xml:space="preserve"> 港澳台学生招生工作建立健全监督协调机制，及时公开招生信息，确保招生的公平公正。</w:t>
      </w:r>
    </w:p>
    <w:p w14:paraId="567C2392">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第七条</w:t>
      </w:r>
      <w:r>
        <w:rPr>
          <w:rFonts w:hint="eastAsia" w:ascii="FangSong_GB2312" w:eastAsia="FangSong_GB2312"/>
          <w:sz w:val="32"/>
          <w:szCs w:val="32"/>
        </w:rPr>
        <w:t xml:space="preserve"> 港港澳台学生的教学管理工作由培养处归口负责。港澳台学生教学计划纳入学院总体教学计划，统一管理学籍，可以根据具体学生特点有针对性地进行培养。</w:t>
      </w:r>
    </w:p>
    <w:p w14:paraId="5B992268">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第八条</w:t>
      </w:r>
      <w:r>
        <w:rPr>
          <w:rFonts w:hint="eastAsia" w:ascii="FangSong_GB2312" w:eastAsia="FangSong_GB2312"/>
          <w:sz w:val="32"/>
          <w:szCs w:val="32"/>
        </w:rPr>
        <w:t xml:space="preserve"> 港澳台学生参加社会实践、国防教育、勤工助学、志愿服务、创新创业等活动纳入学院学生工作统一部署。</w:t>
      </w:r>
    </w:p>
    <w:p w14:paraId="2E3CE09D">
      <w:pPr>
        <w:spacing w:line="560" w:lineRule="exact"/>
        <w:ind w:firstLine="643" w:firstLineChars="200"/>
        <w:rPr>
          <w:rFonts w:hint="eastAsia" w:ascii="FangSong_GB2312" w:eastAsia="FangSong_GB2312"/>
          <w:sz w:val="32"/>
          <w:szCs w:val="32"/>
        </w:rPr>
      </w:pPr>
      <w:r>
        <w:rPr>
          <w:rFonts w:hint="eastAsia" w:ascii="FangSong_GB2312" w:eastAsia="FangSong_GB2312"/>
          <w:b/>
          <w:bCs/>
          <w:sz w:val="32"/>
          <w:szCs w:val="32"/>
        </w:rPr>
        <w:t>第九条</w:t>
      </w:r>
      <w:r>
        <w:rPr>
          <w:rFonts w:hint="eastAsia" w:ascii="FangSong_GB2312" w:eastAsia="FangSong_GB2312"/>
          <w:sz w:val="32"/>
          <w:szCs w:val="32"/>
        </w:rPr>
        <w:t xml:space="preserve"> 港澳台学生就业指导工作实行统一管理，由学院职业发展指导中心归口负责。</w:t>
      </w:r>
    </w:p>
    <w:p w14:paraId="0B84ECDF">
      <w:pPr>
        <w:spacing w:line="560" w:lineRule="exact"/>
        <w:ind w:firstLine="643" w:firstLineChars="200"/>
        <w:rPr>
          <w:rFonts w:ascii="FangSong_GB2312" w:eastAsia="FangSong_GB2312"/>
          <w:sz w:val="32"/>
          <w:szCs w:val="32"/>
          <w:highlight w:val="none"/>
        </w:rPr>
      </w:pPr>
      <w:r>
        <w:rPr>
          <w:rFonts w:hint="eastAsia" w:ascii="FangSong_GB2312" w:eastAsia="FangSong_GB2312"/>
          <w:b/>
          <w:bCs/>
          <w:sz w:val="32"/>
          <w:szCs w:val="32"/>
          <w:highlight w:val="none"/>
        </w:rPr>
        <w:t>第十条</w:t>
      </w:r>
      <w:r>
        <w:rPr>
          <w:rFonts w:hint="eastAsia" w:ascii="FangSong_GB2312" w:eastAsia="FangSong_GB2312"/>
          <w:sz w:val="32"/>
          <w:szCs w:val="32"/>
          <w:highlight w:val="none"/>
        </w:rPr>
        <w:t xml:space="preserve"> 港澳台学生档案按照学校和学院档案相关要求管理。</w:t>
      </w:r>
    </w:p>
    <w:p w14:paraId="2BB1A6FA">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第十一条</w:t>
      </w:r>
      <w:r>
        <w:rPr>
          <w:rFonts w:hint="eastAsia" w:ascii="FangSong_GB2312" w:eastAsia="FangSong_GB2312"/>
          <w:sz w:val="32"/>
          <w:szCs w:val="32"/>
        </w:rPr>
        <w:t xml:space="preserve"> 清华校友总会深圳国际研究生院分会负责学院港澳台校友的相关联络工作。</w:t>
      </w:r>
    </w:p>
    <w:p w14:paraId="713C73C4">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第十二条</w:t>
      </w:r>
      <w:r>
        <w:rPr>
          <w:rFonts w:hint="eastAsia" w:ascii="FangSong_GB2312" w:eastAsia="FangSong_GB2312"/>
          <w:sz w:val="32"/>
          <w:szCs w:val="32"/>
        </w:rPr>
        <w:t xml:space="preserve"> 港澳台学生学费和其他费用的收取执行清华大学和深圳市有关规定。</w:t>
      </w:r>
    </w:p>
    <w:p w14:paraId="178BD044">
      <w:pPr>
        <w:spacing w:line="560" w:lineRule="exact"/>
        <w:ind w:firstLine="643" w:firstLineChars="200"/>
        <w:rPr>
          <w:rFonts w:ascii="FangSong_GB2312" w:eastAsia="FangSong_GB2312"/>
          <w:sz w:val="32"/>
          <w:szCs w:val="32"/>
        </w:rPr>
      </w:pPr>
      <w:r>
        <w:rPr>
          <w:rFonts w:hint="eastAsia" w:ascii="FangSong_GB2312" w:eastAsia="FangSong_GB2312"/>
          <w:b/>
          <w:bCs/>
          <w:sz w:val="32"/>
          <w:szCs w:val="32"/>
        </w:rPr>
        <w:t xml:space="preserve">第十三条 </w:t>
      </w:r>
      <w:r>
        <w:rPr>
          <w:rFonts w:hint="eastAsia" w:ascii="FangSong_GB2312" w:eastAsia="FangSong_GB2312"/>
          <w:sz w:val="32"/>
          <w:szCs w:val="32"/>
        </w:rPr>
        <w:t>港澳台学生住宿管理按照学院学生公寓住宿管理办法有关要求执行。</w:t>
      </w:r>
    </w:p>
    <w:p w14:paraId="58543DEA">
      <w:pPr>
        <w:spacing w:line="560" w:lineRule="exact"/>
        <w:ind w:left="638" w:leftChars="304" w:firstLine="0" w:firstLineChars="0"/>
        <w:rPr>
          <w:rFonts w:hint="eastAsia" w:ascii="FangSong_GB2312" w:eastAsia="FangSong_GB2312"/>
          <w:sz w:val="32"/>
          <w:szCs w:val="32"/>
        </w:rPr>
      </w:pPr>
      <w:r>
        <w:rPr>
          <w:rFonts w:hint="eastAsia" w:ascii="FangSong_GB2312" w:eastAsia="FangSong_GB2312"/>
          <w:b/>
          <w:bCs/>
          <w:sz w:val="32"/>
          <w:szCs w:val="32"/>
        </w:rPr>
        <w:t>第十四条</w:t>
      </w:r>
      <w:r>
        <w:rPr>
          <w:rFonts w:hint="eastAsia" w:ascii="FangSong_GB2312" w:eastAsia="FangSong_GB2312"/>
          <w:sz w:val="32"/>
          <w:szCs w:val="32"/>
        </w:rPr>
        <w:t xml:space="preserve"> 港澳台学生医疗保障执行清华大学统一标准。</w:t>
      </w:r>
      <w:r>
        <w:rPr>
          <w:rFonts w:hint="eastAsia" w:ascii="FangSong_GB2312" w:eastAsia="FangSong_GB2312"/>
          <w:b/>
          <w:bCs/>
          <w:sz w:val="32"/>
          <w:szCs w:val="32"/>
          <w:lang w:val="en-US" w:eastAsia="zh-CN"/>
        </w:rPr>
        <w:t>第十五条</w:t>
      </w:r>
      <w:r>
        <w:rPr>
          <w:rFonts w:hint="eastAsia" w:ascii="FangSong_GB2312" w:eastAsia="FangSong_GB2312"/>
          <w:sz w:val="32"/>
          <w:szCs w:val="32"/>
          <w:lang w:val="en-US" w:eastAsia="zh-CN"/>
        </w:rPr>
        <w:t xml:space="preserve"> </w:t>
      </w:r>
      <w:r>
        <w:rPr>
          <w:rFonts w:hint="eastAsia" w:ascii="FangSong_GB2312" w:eastAsia="FangSong_GB2312"/>
          <w:sz w:val="32"/>
          <w:szCs w:val="32"/>
        </w:rPr>
        <w:t>本规定由</w:t>
      </w:r>
      <w:r>
        <w:rPr>
          <w:rFonts w:hint="eastAsia" w:ascii="FangSong_GB2312" w:eastAsia="FangSong_GB2312"/>
          <w:sz w:val="32"/>
          <w:szCs w:val="32"/>
          <w:lang w:val="en-US" w:eastAsia="zh-CN"/>
        </w:rPr>
        <w:t>学院</w:t>
      </w:r>
      <w:r>
        <w:rPr>
          <w:rFonts w:hint="eastAsia" w:ascii="FangSong_GB2312" w:eastAsia="FangSong_GB2312"/>
          <w:sz w:val="32"/>
          <w:szCs w:val="32"/>
        </w:rPr>
        <w:t>全球事务办公室负责解释。</w:t>
      </w:r>
    </w:p>
    <w:p w14:paraId="005826B6">
      <w:pPr>
        <w:numPr>
          <w:ilvl w:val="-1"/>
          <w:numId w:val="0"/>
        </w:numPr>
        <w:spacing w:line="560" w:lineRule="exact"/>
        <w:ind w:firstLine="643" w:firstLineChars="200"/>
        <w:rPr>
          <w:rFonts w:hint="eastAsia" w:ascii="FangSong_GB2312" w:eastAsia="FangSong_GB2312"/>
          <w:sz w:val="32"/>
          <w:szCs w:val="32"/>
        </w:rPr>
      </w:pPr>
      <w:r>
        <w:rPr>
          <w:rFonts w:hint="eastAsia" w:ascii="FangSong_GB2312" w:eastAsia="FangSong_GB2312"/>
          <w:b/>
          <w:bCs/>
          <w:sz w:val="32"/>
          <w:szCs w:val="32"/>
          <w:lang w:val="en-US" w:eastAsia="zh-CN"/>
        </w:rPr>
        <w:t>第十六条</w:t>
      </w:r>
      <w:r>
        <w:rPr>
          <w:rFonts w:hint="eastAsia" w:ascii="FangSong_GB2312" w:eastAsia="FangSong_GB2312"/>
          <w:sz w:val="32"/>
          <w:szCs w:val="32"/>
          <w:lang w:val="en-US" w:eastAsia="zh-CN"/>
        </w:rPr>
        <w:t xml:space="preserve"> </w:t>
      </w:r>
      <w:r>
        <w:rPr>
          <w:rFonts w:hint="eastAsia" w:ascii="FangSong_GB2312" w:eastAsia="FangSong_GB2312"/>
          <w:sz w:val="32"/>
          <w:szCs w:val="32"/>
        </w:rPr>
        <w:t>本规定自公布之日起</w:t>
      </w:r>
      <w:r>
        <w:rPr>
          <w:rFonts w:hint="eastAsia" w:ascii="FangSong_GB2312" w:eastAsia="FangSong_GB2312"/>
          <w:sz w:val="32"/>
          <w:szCs w:val="32"/>
          <w:lang w:val="en-US" w:eastAsia="zh-CN"/>
        </w:rPr>
        <w:t>执行</w:t>
      </w:r>
      <w:r>
        <w:rPr>
          <w:rFonts w:hint="eastAsia" w:ascii="FangSong_GB2312" w:eastAsia="FangSong_GB2312"/>
          <w:sz w:val="32"/>
          <w:szCs w:val="32"/>
        </w:rPr>
        <w:t>。</w:t>
      </w:r>
    </w:p>
    <w:p w14:paraId="3335B447">
      <w:pPr>
        <w:spacing w:line="560" w:lineRule="exact"/>
        <w:ind w:firstLine="640" w:firstLineChars="200"/>
        <w:rPr>
          <w:rFonts w:ascii="FangSong_GB2312" w:eastAsia="FangSong_GB2312"/>
          <w:sz w:val="32"/>
          <w:szCs w:val="32"/>
        </w:rPr>
      </w:pPr>
    </w:p>
    <w:p w14:paraId="5C80F9E6">
      <w:pPr>
        <w:spacing w:line="560" w:lineRule="exact"/>
        <w:ind w:firstLine="640" w:firstLineChars="200"/>
        <w:rPr>
          <w:rFonts w:ascii="FangSong_GB2312" w:eastAsia="FangSong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A902C">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D90B5">
                          <w:pPr>
                            <w:pStyle w:val="3"/>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40D90B5">
                    <w:pPr>
                      <w:pStyle w:val="3"/>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11753"/>
    <w:rsid w:val="000C29F8"/>
    <w:rsid w:val="000F340B"/>
    <w:rsid w:val="003D19CF"/>
    <w:rsid w:val="00554F45"/>
    <w:rsid w:val="006168AB"/>
    <w:rsid w:val="006A4910"/>
    <w:rsid w:val="00702953"/>
    <w:rsid w:val="007D1DB8"/>
    <w:rsid w:val="008153DB"/>
    <w:rsid w:val="009A564E"/>
    <w:rsid w:val="00A10993"/>
    <w:rsid w:val="00B86B7E"/>
    <w:rsid w:val="00BA3849"/>
    <w:rsid w:val="00C5799E"/>
    <w:rsid w:val="00DC4108"/>
    <w:rsid w:val="00DE059E"/>
    <w:rsid w:val="00F20A58"/>
    <w:rsid w:val="017716F4"/>
    <w:rsid w:val="02D0730E"/>
    <w:rsid w:val="069F5975"/>
    <w:rsid w:val="0A17271C"/>
    <w:rsid w:val="0A7964DD"/>
    <w:rsid w:val="0C0E3FA0"/>
    <w:rsid w:val="0D2A1D10"/>
    <w:rsid w:val="0D605732"/>
    <w:rsid w:val="0D6B65B1"/>
    <w:rsid w:val="0D9B1C5B"/>
    <w:rsid w:val="0E2D1AB8"/>
    <w:rsid w:val="116A6B7F"/>
    <w:rsid w:val="14854B12"/>
    <w:rsid w:val="14EF6BBE"/>
    <w:rsid w:val="165A2637"/>
    <w:rsid w:val="167812BF"/>
    <w:rsid w:val="176127D3"/>
    <w:rsid w:val="19D61256"/>
    <w:rsid w:val="1AF04442"/>
    <w:rsid w:val="1B18764C"/>
    <w:rsid w:val="1C827473"/>
    <w:rsid w:val="22532DE9"/>
    <w:rsid w:val="22B1477A"/>
    <w:rsid w:val="25981AB5"/>
    <w:rsid w:val="29A547A1"/>
    <w:rsid w:val="2C1F083A"/>
    <w:rsid w:val="2C772424"/>
    <w:rsid w:val="2D880661"/>
    <w:rsid w:val="2F04286B"/>
    <w:rsid w:val="30827B60"/>
    <w:rsid w:val="357E6FD1"/>
    <w:rsid w:val="35CF507F"/>
    <w:rsid w:val="36771768"/>
    <w:rsid w:val="38481119"/>
    <w:rsid w:val="38764AB1"/>
    <w:rsid w:val="39DD3AE3"/>
    <w:rsid w:val="43B9111D"/>
    <w:rsid w:val="468E063F"/>
    <w:rsid w:val="47BF4406"/>
    <w:rsid w:val="480C5CBF"/>
    <w:rsid w:val="48D52555"/>
    <w:rsid w:val="4BDF024A"/>
    <w:rsid w:val="4C261319"/>
    <w:rsid w:val="4E0631B0"/>
    <w:rsid w:val="52481FEA"/>
    <w:rsid w:val="54A31759"/>
    <w:rsid w:val="55C05B3D"/>
    <w:rsid w:val="5A6545DD"/>
    <w:rsid w:val="5C6E089F"/>
    <w:rsid w:val="5E2C27BF"/>
    <w:rsid w:val="60011753"/>
    <w:rsid w:val="60D87692"/>
    <w:rsid w:val="62593D9F"/>
    <w:rsid w:val="631101D6"/>
    <w:rsid w:val="65CB0AAB"/>
    <w:rsid w:val="66BB0B84"/>
    <w:rsid w:val="67424E02"/>
    <w:rsid w:val="6780592A"/>
    <w:rsid w:val="68AD274F"/>
    <w:rsid w:val="6CF52916"/>
    <w:rsid w:val="6DFE0889"/>
    <w:rsid w:val="6E600263"/>
    <w:rsid w:val="6EBF2F1C"/>
    <w:rsid w:val="724E31BF"/>
    <w:rsid w:val="72A44BC2"/>
    <w:rsid w:val="74C27582"/>
    <w:rsid w:val="75B4625C"/>
    <w:rsid w:val="78A07BDA"/>
    <w:rsid w:val="79BD47BC"/>
    <w:rsid w:val="7B31720F"/>
    <w:rsid w:val="7C6678A7"/>
    <w:rsid w:val="7DD97231"/>
    <w:rsid w:val="7FA7D445"/>
    <w:rsid w:val="7FD1C574"/>
    <w:rsid w:val="9F36EFD1"/>
    <w:rsid w:val="A77FEDD2"/>
    <w:rsid w:val="B5FFB0D2"/>
    <w:rsid w:val="D97EB7B5"/>
    <w:rsid w:val="DB7536DC"/>
    <w:rsid w:val="ECFBD578"/>
    <w:rsid w:val="FFFF4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styleId="5">
    <w:name w:val="annotation subject"/>
    <w:basedOn w:val="2"/>
    <w:next w:val="2"/>
    <w:link w:val="13"/>
    <w:qFormat/>
    <w:uiPriority w:val="0"/>
    <w:rPr>
      <w:b/>
      <w:bCs/>
    </w:rPr>
  </w:style>
  <w:style w:type="character" w:styleId="8">
    <w:name w:val="annotation reference"/>
    <w:basedOn w:val="7"/>
    <w:qFormat/>
    <w:uiPriority w:val="0"/>
    <w:rPr>
      <w:sz w:val="21"/>
      <w:szCs w:val="21"/>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0"/>
    <w:rPr>
      <w:rFonts w:asciiTheme="minorHAnsi" w:hAnsiTheme="minorHAnsi" w:eastAsiaTheme="minorEastAsia" w:cstheme="minorBidi"/>
      <w:kern w:val="2"/>
      <w:sz w:val="18"/>
      <w:szCs w:val="18"/>
    </w:rPr>
  </w:style>
  <w:style w:type="paragraph" w:customStyle="1" w:styleId="11">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2">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3">
    <w:name w:val="批注主题 字符"/>
    <w:basedOn w:val="12"/>
    <w:link w:val="5"/>
    <w:qFormat/>
    <w:uiPriority w:val="0"/>
    <w:rPr>
      <w:rFonts w:asciiTheme="minorHAnsi" w:hAnsiTheme="minorHAnsi" w:eastAsiaTheme="minorEastAsia" w:cstheme="minorBidi"/>
      <w:b/>
      <w:bCs/>
      <w:kern w:val="2"/>
      <w:sz w:val="21"/>
      <w:szCs w:val="24"/>
    </w:rPr>
  </w:style>
  <w:style w:type="paragraph" w:customStyle="1" w:styleId="1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5">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6">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2D5B37-6C96-49CE-B323-E7F592CF5311}">
  <ds:schemaRefs/>
</ds:datastoreItem>
</file>

<file path=docProps/app.xml><?xml version="1.0" encoding="utf-8"?>
<Properties xmlns="http://schemas.openxmlformats.org/officeDocument/2006/extended-properties" xmlns:vt="http://schemas.openxmlformats.org/officeDocument/2006/docPropsVTypes">
  <Template>Normal.dotm</Template>
  <Pages>2</Pages>
  <Words>680</Words>
  <Characters>688</Characters>
  <Lines>25</Lines>
  <Paragraphs>27</Paragraphs>
  <TotalTime>0</TotalTime>
  <ScaleCrop>false</ScaleCrop>
  <LinksUpToDate>false</LinksUpToDate>
  <CharactersWithSpaces>705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2025-11-29T10:30:00Z</dcterms:created>
  <dc:creator>vivi</dc:creator>
  <cp:lastModifiedBy>maojie</cp:lastModifiedBy>
  <dcterms:modified xsi:type="dcterms:W3CDTF">2026-01-27T05:54:00Z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919393B47DDD43858BA4B5DDE22CB011_13</vt:lpwstr>
  </property>
  <property fmtid="{D5CDD505-2E9C-101B-9397-08002B2CF9AE}" pid="4" name="KSOTemplateDocerSaveRecord">
    <vt:lpwstr>eyJoZGlkIjoiM2M1MTExOWE5ZGVmNzcwM2FhZDgzMTI4OGU2OGRiOWMiLCJ1c2VySWQiOiIyNDk0NzU3ODcifQ==</vt:lpwstr>
  </property>
</Properties>
</file>