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BA950">
      <w:pPr>
        <w:snapToGrid w:val="0"/>
        <w:spacing w:line="560" w:lineRule="exact"/>
        <w:ind w:firstLine="640" w:firstLineChars="200"/>
        <w:jc w:val="right"/>
        <w:rPr>
          <w:rFonts w:hint="eastAsia" w:ascii="FangSong_GB2312" w:hAnsi="FangSong_GB2312" w:eastAsia="FangSong_GB2312" w:cs="FangSong_GB2312"/>
          <w:color w:val="000000"/>
          <w:sz w:val="32"/>
          <w:szCs w:val="32"/>
        </w:rPr>
      </w:pPr>
      <w:bookmarkStart w:id="1" w:name="_GoBack"/>
      <w:bookmarkEnd w:id="1"/>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37</w:t>
      </w:r>
      <w:r>
        <w:rPr>
          <w:rFonts w:hint="eastAsia" w:ascii="FangSong_GB2312" w:hAnsi="FangSong_GB2312" w:eastAsia="FangSong_GB2312" w:cs="FangSong_GB2312"/>
          <w:color w:val="000000"/>
          <w:sz w:val="32"/>
          <w:szCs w:val="32"/>
        </w:rPr>
        <w:t>号</w:t>
      </w:r>
    </w:p>
    <w:p w14:paraId="212A1945">
      <w:pPr>
        <w:snapToGrid w:val="0"/>
        <w:spacing w:line="560" w:lineRule="exact"/>
        <w:jc w:val="both"/>
        <w:rPr>
          <w:rFonts w:hint="eastAsia" w:ascii="FangSong_GB2312" w:hAnsi="FangSong_GB2312" w:eastAsia="FangSong_GB2312" w:cs="FangSong_GB2312"/>
          <w:color w:val="000000"/>
          <w:sz w:val="32"/>
          <w:szCs w:val="32"/>
        </w:rPr>
      </w:pPr>
    </w:p>
    <w:p w14:paraId="4DE838A9">
      <w:pPr>
        <w:widowControl w:val="0"/>
        <w:jc w:val="center"/>
        <w:rPr>
          <w:rFonts w:hint="eastAsia" w:ascii="方正小标宋简体" w:hAnsi="宋体" w:eastAsia="方正小标宋简体" w:cs="宋体"/>
          <w:sz w:val="36"/>
          <w:szCs w:val="36"/>
          <w:lang w:eastAsia="zh-CN"/>
        </w:rPr>
      </w:pPr>
      <w:bookmarkStart w:id="0" w:name="bookmark1"/>
      <w:bookmarkEnd w:id="0"/>
      <w:r>
        <w:rPr>
          <w:rFonts w:hint="eastAsia" w:ascii="方正小标宋简体" w:hAnsi="宋体" w:eastAsia="方正小标宋简体" w:cs="宋体"/>
          <w:sz w:val="36"/>
          <w:szCs w:val="36"/>
          <w:lang w:eastAsia="zh-CN"/>
        </w:rPr>
        <w:t>清华大学</w:t>
      </w:r>
      <w:r>
        <w:rPr>
          <w:rFonts w:hint="eastAsia" w:ascii="方正小标宋简体" w:hAnsi="宋体" w:eastAsia="方正小标宋简体" w:cs="宋体"/>
          <w:sz w:val="36"/>
          <w:szCs w:val="36"/>
        </w:rPr>
        <w:t>深圳国际研究生院</w:t>
      </w:r>
      <w:r>
        <w:rPr>
          <w:rFonts w:hint="eastAsia" w:ascii="方正小标宋简体" w:hAnsi="宋体" w:eastAsia="方正小标宋简体" w:cs="宋体"/>
          <w:sz w:val="36"/>
          <w:szCs w:val="36"/>
          <w:lang w:eastAsia="zh-CN"/>
        </w:rPr>
        <w:t>国家重点研发</w:t>
      </w:r>
    </w:p>
    <w:p w14:paraId="7807375A">
      <w:pPr>
        <w:widowControl w:val="0"/>
        <w:jc w:val="center"/>
        <w:rPr>
          <w:rFonts w:hint="eastAsia" w:ascii="方正小标宋简体" w:eastAsia="方正小标宋简体"/>
          <w:sz w:val="36"/>
          <w:szCs w:val="36"/>
          <w:lang w:eastAsia="zh-CN"/>
        </w:rPr>
      </w:pPr>
      <w:r>
        <w:rPr>
          <w:rFonts w:hint="eastAsia" w:ascii="方正小标宋简体" w:hAnsi="宋体" w:eastAsia="方正小标宋简体" w:cs="宋体"/>
          <w:sz w:val="36"/>
          <w:szCs w:val="36"/>
          <w:lang w:eastAsia="zh-CN"/>
        </w:rPr>
        <w:t>计划项目资金管理办法</w:t>
      </w:r>
    </w:p>
    <w:p w14:paraId="431CECFC">
      <w:pPr>
        <w:widowControl w:val="0"/>
        <w:spacing w:before="120" w:beforeLines="50" w:after="120" w:afterLines="50" w:line="480" w:lineRule="exact"/>
        <w:jc w:val="center"/>
        <w:rPr>
          <w:rFonts w:hint="eastAsia" w:ascii="FangSong_GB2312" w:hAnsi="宋体" w:eastAsia="FangSong_GB2312"/>
          <w:sz w:val="30"/>
          <w:szCs w:val="30"/>
          <w:lang w:eastAsia="zh-CN"/>
        </w:rPr>
      </w:pPr>
      <w:r>
        <w:rPr>
          <w:rFonts w:hint="eastAsia" w:ascii="仿宋_GB2312" w:hAnsi="宋体" w:eastAsia="仿宋_GB2312"/>
          <w:sz w:val="32"/>
          <w:szCs w:val="32"/>
        </w:rPr>
        <w:t>二〇二</w:t>
      </w:r>
      <w:r>
        <w:rPr>
          <w:rFonts w:hint="eastAsia" w:ascii="仿宋_GB2312" w:hAnsi="宋体" w:eastAsia="仿宋_GB2312"/>
          <w:sz w:val="32"/>
          <w:szCs w:val="32"/>
          <w:lang w:val="en-US" w:eastAsia="zh-CN"/>
        </w:rPr>
        <w:t>六</w:t>
      </w:r>
      <w:r>
        <w:rPr>
          <w:rFonts w:hint="eastAsia" w:ascii="仿宋_GB2312" w:hAnsi="宋体" w:eastAsia="仿宋_GB2312"/>
          <w:sz w:val="32"/>
          <w:szCs w:val="32"/>
        </w:rPr>
        <w:t>年第</w:t>
      </w:r>
      <w:r>
        <w:rPr>
          <w:rFonts w:hint="eastAsia" w:ascii="仿宋_GB2312" w:hAnsi="宋体" w:eastAsia="仿宋_GB2312"/>
          <w:sz w:val="32"/>
          <w:szCs w:val="32"/>
          <w:lang w:val="en-US" w:eastAsia="zh-CN"/>
        </w:rPr>
        <w:t>三</w:t>
      </w:r>
      <w:r>
        <w:rPr>
          <w:rFonts w:hint="eastAsia" w:ascii="仿宋_GB2312" w:hAnsi="宋体" w:eastAsia="仿宋_GB2312"/>
          <w:sz w:val="32"/>
          <w:szCs w:val="32"/>
        </w:rPr>
        <w:t>次党政联席会议（202</w:t>
      </w:r>
      <w:r>
        <w:rPr>
          <w:rFonts w:hint="eastAsia" w:ascii="仿宋_GB2312" w:hAnsi="宋体" w:eastAsia="仿宋_GB2312"/>
          <w:sz w:val="32"/>
          <w:szCs w:val="32"/>
          <w:lang w:eastAsia="zh-CN"/>
        </w:rPr>
        <w:t>6</w:t>
      </w:r>
      <w:r>
        <w:rPr>
          <w:rFonts w:hint="eastAsia" w:ascii="仿宋_GB2312" w:hAnsi="宋体" w:eastAsia="仿宋_GB2312"/>
          <w:sz w:val="32"/>
          <w:szCs w:val="32"/>
        </w:rPr>
        <w:t>年</w:t>
      </w:r>
      <w:r>
        <w:rPr>
          <w:rFonts w:hint="eastAsia" w:ascii="仿宋_GB2312" w:hAnsi="宋体" w:eastAsia="仿宋_GB2312"/>
          <w:sz w:val="32"/>
          <w:szCs w:val="32"/>
          <w:lang w:eastAsia="zh-CN"/>
        </w:rPr>
        <w:t>1</w:t>
      </w:r>
      <w:r>
        <w:rPr>
          <w:rFonts w:hint="eastAsia" w:ascii="仿宋_GB2312" w:hAnsi="宋体" w:eastAsia="仿宋_GB2312"/>
          <w:sz w:val="32"/>
          <w:szCs w:val="32"/>
        </w:rPr>
        <w:t>月</w:t>
      </w:r>
      <w:r>
        <w:rPr>
          <w:rFonts w:hint="eastAsia" w:ascii="仿宋_GB2312" w:hAnsi="宋体" w:eastAsia="仿宋_GB2312"/>
          <w:sz w:val="32"/>
          <w:szCs w:val="32"/>
          <w:lang w:eastAsia="zh-CN"/>
        </w:rPr>
        <w:t>1</w:t>
      </w:r>
      <w:r>
        <w:rPr>
          <w:rFonts w:hint="eastAsia" w:ascii="仿宋_GB2312" w:hAnsi="宋体" w:eastAsia="仿宋_GB2312"/>
          <w:sz w:val="32"/>
          <w:szCs w:val="32"/>
          <w:lang w:val="en-US" w:eastAsia="zh-CN"/>
        </w:rPr>
        <w:t>9</w:t>
      </w:r>
      <w:r>
        <w:rPr>
          <w:rFonts w:hint="eastAsia" w:ascii="仿宋_GB2312" w:hAnsi="宋体" w:eastAsia="仿宋_GB2312"/>
          <w:sz w:val="32"/>
          <w:szCs w:val="32"/>
        </w:rPr>
        <w:t>日）审议通过</w:t>
      </w:r>
    </w:p>
    <w:p w14:paraId="3100E3B3">
      <w:pPr>
        <w:widowControl w:val="0"/>
        <w:jc w:val="center"/>
        <w:rPr>
          <w:rFonts w:hint="eastAsia"/>
          <w:lang w:eastAsia="zh-CN"/>
        </w:rPr>
      </w:pPr>
    </w:p>
    <w:p w14:paraId="1B63A53E">
      <w:pPr>
        <w:widowControl w:val="0"/>
        <w:jc w:val="center"/>
        <w:rPr>
          <w:rFonts w:ascii="黑体" w:hAnsi="黑体" w:eastAsia="黑体" w:cs="宋体"/>
          <w:sz w:val="32"/>
          <w:szCs w:val="32"/>
          <w:lang w:eastAsia="zh-CN"/>
        </w:rPr>
      </w:pPr>
    </w:p>
    <w:p w14:paraId="0A2C15DC">
      <w:pPr>
        <w:widowControl w:val="0"/>
        <w:jc w:val="center"/>
        <w:rPr>
          <w:rFonts w:hint="eastAsia" w:ascii="黑体" w:hAnsi="黑体" w:eastAsia="黑体"/>
          <w:sz w:val="32"/>
          <w:szCs w:val="32"/>
          <w:lang w:eastAsia="zh-CN"/>
        </w:rPr>
      </w:pPr>
      <w:r>
        <w:rPr>
          <w:rFonts w:hint="eastAsia" w:ascii="黑体" w:hAnsi="黑体" w:eastAsia="黑体" w:cs="宋体"/>
          <w:sz w:val="32"/>
          <w:szCs w:val="32"/>
          <w:lang w:eastAsia="zh-CN"/>
        </w:rPr>
        <w:t>第一章</w:t>
      </w:r>
      <w:r>
        <w:rPr>
          <w:rFonts w:hint="eastAsia" w:ascii="黑体" w:hAnsi="黑体" w:eastAsia="黑体"/>
          <w:sz w:val="32"/>
          <w:szCs w:val="32"/>
          <w:lang w:eastAsia="zh-CN"/>
        </w:rPr>
        <w:t xml:space="preserve">  </w:t>
      </w:r>
      <w:r>
        <w:rPr>
          <w:rFonts w:hint="eastAsia" w:ascii="黑体" w:hAnsi="黑体" w:eastAsia="黑体" w:cs="宋体"/>
          <w:sz w:val="32"/>
          <w:szCs w:val="32"/>
          <w:lang w:eastAsia="zh-CN"/>
        </w:rPr>
        <w:t>总则</w:t>
      </w:r>
    </w:p>
    <w:p w14:paraId="584F4581">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第一条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为了规范国家重点研发计划资金的管理，提高资金使用效益，根据财政部、科技部《国家重点研发计划资金管理办法》《清华大学国家重点研发计划项目资金管理办法》等相关规定，结合清华大学深圳国际研究生院（以下简称学院）实际，制定本办法。</w:t>
      </w:r>
    </w:p>
    <w:p w14:paraId="2002B6A8">
      <w:pPr>
        <w:widowControl w:val="0"/>
        <w:spacing w:line="560" w:lineRule="exact"/>
        <w:ind w:firstLine="643" w:firstLineChars="200"/>
        <w:rPr>
          <w:rFonts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第二条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本办法适用于学院承担的中央财政资金</w:t>
      </w:r>
      <w:r>
        <w:rPr>
          <w:rFonts w:hint="eastAsia" w:ascii="FangSong_GB2312" w:hAnsi="FangSong_GB2312" w:eastAsia="FangSong_GB2312" w:cs="宋体"/>
          <w:sz w:val="32"/>
          <w:szCs w:val="32"/>
          <w:highlight w:val="none"/>
          <w:lang w:eastAsia="zh-CN"/>
        </w:rPr>
        <w:t>采用前补助预算制方式</w:t>
      </w:r>
      <w:r>
        <w:rPr>
          <w:rFonts w:hint="eastAsia" w:ascii="FangSong_GB2312" w:hAnsi="FangSong_GB2312" w:eastAsia="FangSong_GB2312" w:cs="宋体"/>
          <w:sz w:val="32"/>
          <w:szCs w:val="32"/>
          <w:lang w:eastAsia="zh-CN"/>
        </w:rPr>
        <w:t>支持的国家重点研发计划项目或课题（以下统称项目）资金管理。</w:t>
      </w:r>
    </w:p>
    <w:p w14:paraId="144AC906">
      <w:pPr>
        <w:widowControl w:val="0"/>
        <w:spacing w:line="560" w:lineRule="exact"/>
        <w:ind w:firstLine="640"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sz w:val="32"/>
          <w:szCs w:val="32"/>
          <w:lang w:eastAsia="zh-CN"/>
        </w:rPr>
        <w:t>从其他渠道获得的国家重点研发计划项目资金管理按照国家以及学院相关规定和相关资金提供方的具体要求统筹安排和使用。</w:t>
      </w:r>
    </w:p>
    <w:p w14:paraId="140E9704">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学院承担的包干制方式支持的国家重点研发计划项目资金管理执行学院包干制科研项目资金管理相关规定。</w:t>
      </w:r>
    </w:p>
    <w:p w14:paraId="0038E0F2">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第三条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项目资金全部纳入学院预算统一管理，单独核算、专款专用。</w:t>
      </w:r>
    </w:p>
    <w:p w14:paraId="17BAF5EF">
      <w:pPr>
        <w:widowControl w:val="0"/>
        <w:spacing w:line="560" w:lineRule="exact"/>
        <w:ind w:firstLine="0" w:firstLineChars="0"/>
        <w:jc w:val="center"/>
        <w:rPr>
          <w:rFonts w:hint="eastAsia" w:ascii="黑体" w:hAnsi="黑体" w:eastAsia="黑体"/>
          <w:sz w:val="32"/>
          <w:szCs w:val="32"/>
          <w:lang w:eastAsia="zh-CN"/>
        </w:rPr>
      </w:pPr>
      <w:r>
        <w:rPr>
          <w:rFonts w:hint="eastAsia" w:ascii="黑体" w:hAnsi="黑体" w:eastAsia="黑体" w:cs="宋体"/>
          <w:sz w:val="32"/>
          <w:szCs w:val="32"/>
          <w:lang w:eastAsia="zh-CN"/>
        </w:rPr>
        <w:t>第二章</w:t>
      </w:r>
      <w:r>
        <w:rPr>
          <w:rFonts w:hint="eastAsia" w:ascii="黑体" w:hAnsi="黑体" w:eastAsia="黑体"/>
          <w:sz w:val="32"/>
          <w:szCs w:val="32"/>
          <w:lang w:eastAsia="zh-CN"/>
        </w:rPr>
        <w:t xml:space="preserve">  </w:t>
      </w:r>
      <w:r>
        <w:rPr>
          <w:rFonts w:hint="eastAsia" w:ascii="黑体" w:hAnsi="黑体" w:eastAsia="黑体" w:cs="宋体"/>
          <w:sz w:val="32"/>
          <w:szCs w:val="32"/>
          <w:lang w:eastAsia="zh-CN"/>
        </w:rPr>
        <w:t>管理机构与职责</w:t>
      </w:r>
    </w:p>
    <w:p w14:paraId="29372C80">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第四条</w:t>
      </w:r>
      <w:r>
        <w:rPr>
          <w:rFonts w:hint="eastAsia" w:ascii="FangSong_GB2312" w:hAnsi="FangSong_GB2312" w:eastAsia="FangSong_GB2312"/>
          <w:sz w:val="32"/>
          <w:szCs w:val="32"/>
          <w:lang w:eastAsia="zh-CN"/>
        </w:rPr>
        <w:t xml:space="preserve"> 财务办公室负责项目资金的财务管理和会计核算工作，科研处在职责范围内分工负责项目资金管理相关工作。</w:t>
      </w:r>
    </w:p>
    <w:p w14:paraId="50D98E27">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第五条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val="en-US" w:eastAsia="zh-CN"/>
        </w:rPr>
        <w:t>各</w:t>
      </w:r>
      <w:r>
        <w:rPr>
          <w:rFonts w:hint="eastAsia" w:ascii="FangSong_GB2312" w:hAnsi="FangSong_GB2312" w:eastAsia="FangSong_GB2312" w:cs="宋体"/>
          <w:sz w:val="32"/>
          <w:szCs w:val="32"/>
          <w:lang w:eastAsia="zh-CN"/>
        </w:rPr>
        <w:t>教学科研机构对本单位项目资金的使用承担具体管理责任。</w:t>
      </w:r>
    </w:p>
    <w:p w14:paraId="53F29670">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第六条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项目负责人为项目资金使用的直接责任人，对资金使用的合规性、合理性、真实性、相关性负责。</w:t>
      </w:r>
    </w:p>
    <w:p w14:paraId="44208CEC">
      <w:pPr>
        <w:widowControl w:val="0"/>
        <w:spacing w:line="560" w:lineRule="exact"/>
        <w:ind w:firstLine="0" w:firstLineChars="0"/>
        <w:jc w:val="center"/>
        <w:rPr>
          <w:rFonts w:hint="eastAsia" w:ascii="黑体" w:hAnsi="黑体" w:eastAsia="黑体"/>
          <w:sz w:val="32"/>
          <w:szCs w:val="32"/>
          <w:lang w:eastAsia="zh-CN"/>
        </w:rPr>
      </w:pPr>
      <w:r>
        <w:rPr>
          <w:rFonts w:hint="eastAsia" w:ascii="黑体" w:hAnsi="黑体" w:eastAsia="黑体" w:cs="宋体"/>
          <w:sz w:val="32"/>
          <w:szCs w:val="32"/>
          <w:lang w:eastAsia="zh-CN"/>
        </w:rPr>
        <w:t>第三章</w:t>
      </w:r>
      <w:r>
        <w:rPr>
          <w:rFonts w:hint="eastAsia" w:ascii="黑体" w:hAnsi="黑体" w:eastAsia="黑体"/>
          <w:sz w:val="32"/>
          <w:szCs w:val="32"/>
          <w:lang w:eastAsia="zh-CN"/>
        </w:rPr>
        <w:t xml:space="preserve">  </w:t>
      </w:r>
      <w:r>
        <w:rPr>
          <w:rFonts w:hint="eastAsia" w:ascii="黑体" w:hAnsi="黑体" w:eastAsia="黑体" w:cs="宋体"/>
          <w:sz w:val="32"/>
          <w:szCs w:val="32"/>
          <w:lang w:eastAsia="zh-CN"/>
        </w:rPr>
        <w:t>项目资金开支范围</w:t>
      </w:r>
    </w:p>
    <w:p w14:paraId="2FCB0CE8">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第七条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项目资金由直接费用和间接费用组成。</w:t>
      </w:r>
    </w:p>
    <w:p w14:paraId="1BBAEB96">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第八条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直接费用是指在项目实施过程中发生的与之直接相关的费用，主要包括：</w:t>
      </w:r>
    </w:p>
    <w:p w14:paraId="6CECA205">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一）设备费：是指在项目实施过程中购置或试制专用仪器设备、对现有仪器设备进行升级改造以及租赁使用外单位仪器设备而发生的费用。设备费可以列支计算类仪器设备和软件工具费用，原则上不得列支通用办公设备、通用性操作系统、办公软件费用。严格控制设备购置，鼓励开放共享</w:t>
      </w:r>
      <w:r>
        <w:rPr>
          <w:rFonts w:hint="eastAsia" w:ascii="FangSong_GB2312" w:hAnsi="FangSong_GB2312" w:eastAsia="FangSong_GB2312" w:cs="宋体"/>
          <w:sz w:val="32"/>
          <w:szCs w:val="32"/>
          <w:lang w:eastAsia="zh-CN"/>
        </w:rPr>
        <w:t>、</w:t>
      </w:r>
      <w:r>
        <w:rPr>
          <w:rFonts w:hint="eastAsia" w:ascii="FangSong_GB2312" w:hAnsi="FangSong_GB2312" w:eastAsia="FangSong_GB2312" w:cs="宋体"/>
          <w:sz w:val="32"/>
          <w:szCs w:val="32"/>
        </w:rPr>
        <w:t>自主研制、租赁专用仪器设备以及对现有仪器设备进行升级改造，避免重复购置。</w:t>
      </w:r>
    </w:p>
    <w:p w14:paraId="4D10936D">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（二）业务费：是指在项目实施过程中消耗的各种材料</w:t>
      </w:r>
      <w:r>
        <w:rPr>
          <w:rFonts w:hint="eastAsia" w:ascii="FangSong_GB2312" w:hAnsi="FangSong_GB2312" w:eastAsia="FangSong_GB2312" w:cs="宋体"/>
          <w:sz w:val="32"/>
          <w:szCs w:val="32"/>
          <w:lang w:eastAsia="zh-CN"/>
        </w:rPr>
        <w:t>、</w:t>
      </w:r>
      <w:r>
        <w:rPr>
          <w:rFonts w:hint="eastAsia" w:ascii="FangSong_GB2312" w:hAnsi="FangSong_GB2312" w:eastAsia="FangSong_GB2312" w:cs="宋体"/>
          <w:sz w:val="32"/>
          <w:szCs w:val="32"/>
        </w:rPr>
        <w:t>辅助材料等低值易耗品的采购、运输、装卸、整理等费用</w:t>
      </w:r>
      <w:r>
        <w:rPr>
          <w:rFonts w:hint="eastAsia" w:ascii="FangSong_GB2312" w:hAnsi="FangSong_GB2312" w:eastAsia="FangSong_GB2312" w:cs="宋体"/>
          <w:sz w:val="32"/>
          <w:szCs w:val="32"/>
          <w:lang w:eastAsia="zh-CN"/>
        </w:rPr>
        <w:t>，</w:t>
      </w:r>
      <w:r>
        <w:rPr>
          <w:rFonts w:hint="eastAsia" w:ascii="FangSong_GB2312" w:hAnsi="FangSong_GB2312" w:eastAsia="FangSong_GB2312" w:cs="宋体"/>
          <w:sz w:val="32"/>
          <w:szCs w:val="32"/>
        </w:rPr>
        <w:t>发生的测试化验加工、燃料动力、出版</w:t>
      </w:r>
      <w:r>
        <w:rPr>
          <w:rFonts w:hint="eastAsia" w:ascii="FangSong_GB2312" w:hAnsi="FangSong_GB2312" w:eastAsia="FangSong_GB2312"/>
          <w:sz w:val="32"/>
          <w:szCs w:val="32"/>
        </w:rPr>
        <w:t>/</w:t>
      </w:r>
      <w:r>
        <w:rPr>
          <w:rFonts w:hint="eastAsia" w:ascii="FangSong_GB2312" w:hAnsi="FangSong_GB2312" w:eastAsia="FangSong_GB2312" w:cs="宋体"/>
          <w:sz w:val="32"/>
          <w:szCs w:val="32"/>
        </w:rPr>
        <w:t>文献</w:t>
      </w:r>
      <w:r>
        <w:rPr>
          <w:rFonts w:hint="eastAsia" w:ascii="FangSong_GB2312" w:hAnsi="FangSong_GB2312" w:eastAsia="FangSong_GB2312"/>
          <w:sz w:val="32"/>
          <w:szCs w:val="32"/>
        </w:rPr>
        <w:t>/</w:t>
      </w:r>
      <w:r>
        <w:rPr>
          <w:rFonts w:hint="eastAsia" w:ascii="FangSong_GB2312" w:hAnsi="FangSong_GB2312" w:eastAsia="FangSong_GB2312" w:cs="宋体"/>
          <w:sz w:val="32"/>
          <w:szCs w:val="32"/>
        </w:rPr>
        <w:t>信息传播</w:t>
      </w:r>
      <w:r>
        <w:rPr>
          <w:rFonts w:hint="eastAsia" w:ascii="FangSong_GB2312" w:hAnsi="FangSong_GB2312" w:eastAsia="FangSong_GB2312"/>
          <w:sz w:val="32"/>
          <w:szCs w:val="32"/>
        </w:rPr>
        <w:t>/</w:t>
      </w:r>
      <w:r>
        <w:rPr>
          <w:rFonts w:hint="eastAsia" w:ascii="FangSong_GB2312" w:hAnsi="FangSong_GB2312" w:eastAsia="FangSong_GB2312" w:cs="宋体"/>
          <w:sz w:val="32"/>
          <w:szCs w:val="32"/>
        </w:rPr>
        <w:t>知识产权事务、会议</w:t>
      </w:r>
      <w:r>
        <w:rPr>
          <w:rFonts w:hint="eastAsia" w:ascii="FangSong_GB2312" w:hAnsi="FangSong_GB2312" w:eastAsia="FangSong_GB2312"/>
          <w:sz w:val="32"/>
          <w:szCs w:val="32"/>
        </w:rPr>
        <w:t>/</w:t>
      </w:r>
      <w:r>
        <w:rPr>
          <w:rFonts w:hint="eastAsia" w:ascii="FangSong_GB2312" w:hAnsi="FangSong_GB2312" w:eastAsia="FangSong_GB2312" w:cs="宋体"/>
          <w:sz w:val="32"/>
          <w:szCs w:val="32"/>
        </w:rPr>
        <w:t>差旅</w:t>
      </w:r>
      <w:r>
        <w:rPr>
          <w:rFonts w:hint="eastAsia" w:ascii="FangSong_GB2312" w:hAnsi="FangSong_GB2312" w:eastAsia="FangSong_GB2312"/>
          <w:sz w:val="32"/>
          <w:szCs w:val="32"/>
        </w:rPr>
        <w:t>/</w:t>
      </w:r>
      <w:r>
        <w:rPr>
          <w:rFonts w:hint="eastAsia" w:ascii="FangSong_GB2312" w:hAnsi="FangSong_GB2312" w:eastAsia="FangSong_GB2312" w:cs="宋体"/>
          <w:sz w:val="32"/>
          <w:szCs w:val="32"/>
        </w:rPr>
        <w:t>国际合作交流等费用，以及其他相关支出。业务费原则上不得列支日常办公费用。</w:t>
      </w:r>
    </w:p>
    <w:p w14:paraId="0FF48EF2">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（三）劳务费：是指在项目实施过程中支付给参与项目的研究生、博士后、访问学者和项目聘用的研究人员、科研辅助人员等的劳务性费用，以及支付给临时聘请的咨询专家的费用等。</w:t>
      </w:r>
    </w:p>
    <w:p w14:paraId="341CA54B">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项目聘用人员的劳务费开支标准，参照当地科学研究和技术服务业从业人员平均工资水平，根据其在项目研究中承担的工作任务确定。其由单位缴纳的社会保险、住房公积金等纳入劳务费科目开支。</w:t>
      </w:r>
    </w:p>
    <w:p w14:paraId="49FDFDBF">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支付给临时聘请的咨询专家的费用不得支付给参与本项目研究和管理的相关人员，其管理按照相关规定执行。</w:t>
      </w:r>
    </w:p>
    <w:p w14:paraId="2A25DF9F">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rPr>
        <w:t>第</w:t>
      </w:r>
      <w:r>
        <w:rPr>
          <w:rFonts w:hint="eastAsia" w:ascii="FangSong_GB2312" w:hAnsi="FangSong_GB2312" w:eastAsia="FangSong_GB2312" w:cs="宋体"/>
          <w:b/>
          <w:bCs/>
          <w:sz w:val="32"/>
          <w:szCs w:val="32"/>
          <w:lang w:eastAsia="zh-CN"/>
        </w:rPr>
        <w:t>九</w:t>
      </w:r>
      <w:r>
        <w:rPr>
          <w:rFonts w:hint="eastAsia" w:ascii="FangSong_GB2312" w:hAnsi="FangSong_GB2312" w:eastAsia="FangSong_GB2312" w:cs="宋体"/>
          <w:b/>
          <w:bCs/>
          <w:sz w:val="32"/>
          <w:szCs w:val="32"/>
        </w:rPr>
        <w:t>条</w:t>
      </w:r>
      <w:r>
        <w:rPr>
          <w:rFonts w:ascii="FangSong_GB2312" w:hAnsi="FangSong_GB2312" w:eastAsia="FangSong_GB2312"/>
          <w:sz w:val="32"/>
          <w:szCs w:val="32"/>
        </w:rPr>
        <w:t xml:space="preserve"> 间接费用是指学院在组织实施项目过程中发生的无法在直接费用中列支的相关费用</w:t>
      </w:r>
      <w:r>
        <w:rPr>
          <w:rFonts w:hint="eastAsia" w:ascii="FangSong_GB2312" w:hAnsi="FangSong_GB2312" w:eastAsia="FangSong_GB2312" w:cs="宋体"/>
          <w:sz w:val="32"/>
          <w:szCs w:val="32"/>
        </w:rPr>
        <w:t>，主要包括学院为项目研究提供的房屋占用，日常水、电、气、暖等消耗，有关管理费用的补助支出，以及激励科研人员的绩效支出等。</w:t>
      </w:r>
    </w:p>
    <w:p w14:paraId="2973580D">
      <w:pPr>
        <w:widowControl w:val="0"/>
        <w:spacing w:line="560" w:lineRule="exact"/>
        <w:ind w:firstLine="0" w:firstLineChars="0"/>
        <w:jc w:val="center"/>
        <w:rPr>
          <w:rFonts w:hint="eastAsia" w:ascii="黑体" w:hAnsi="黑体" w:eastAsia="黑体"/>
          <w:sz w:val="32"/>
          <w:szCs w:val="32"/>
        </w:rPr>
      </w:pPr>
      <w:r>
        <w:rPr>
          <w:rFonts w:hint="eastAsia" w:ascii="黑体" w:hAnsi="黑体" w:eastAsia="黑体" w:cs="宋体"/>
          <w:sz w:val="32"/>
          <w:szCs w:val="32"/>
        </w:rPr>
        <w:t>第四章</w:t>
      </w:r>
      <w:r>
        <w:rPr>
          <w:rFonts w:hint="eastAsia" w:ascii="黑体" w:hAnsi="黑体" w:eastAsia="黑体"/>
          <w:sz w:val="32"/>
          <w:szCs w:val="32"/>
          <w:lang w:eastAsia="zh-CN"/>
        </w:rPr>
        <w:t xml:space="preserve">  </w:t>
      </w:r>
      <w:r>
        <w:rPr>
          <w:rFonts w:hint="eastAsia" w:ascii="黑体" w:hAnsi="黑体" w:eastAsia="黑体" w:cs="宋体"/>
          <w:sz w:val="32"/>
          <w:szCs w:val="32"/>
        </w:rPr>
        <w:t>预算编制</w:t>
      </w:r>
    </w:p>
    <w:p w14:paraId="0AFEF0DD">
      <w:pPr>
        <w:widowControl w:val="0"/>
        <w:spacing w:line="560" w:lineRule="exact"/>
        <w:ind w:firstLine="643"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b/>
          <w:bCs/>
          <w:sz w:val="32"/>
          <w:szCs w:val="32"/>
        </w:rPr>
        <w:t>第十条</w:t>
      </w:r>
      <w:r>
        <w:rPr>
          <w:rFonts w:ascii="FangSong_GB2312" w:hAnsi="FangSong_GB2312" w:eastAsia="FangSong_GB2312"/>
          <w:sz w:val="32"/>
          <w:szCs w:val="32"/>
        </w:rPr>
        <w:t xml:space="preserve"> 项目预算由收入预算与支出预算构成</w:t>
      </w:r>
      <w:r>
        <w:rPr>
          <w:rFonts w:hint="eastAsia" w:ascii="FangSong_GB2312" w:hAnsi="FangSong_GB2312" w:eastAsia="FangSong_GB2312" w:cs="宋体"/>
          <w:sz w:val="32"/>
          <w:szCs w:val="32"/>
        </w:rPr>
        <w:t>。</w:t>
      </w:r>
      <w:r>
        <w:rPr>
          <w:rFonts w:hint="eastAsia" w:ascii="FangSong_GB2312" w:hAnsi="FangSong_GB2312" w:eastAsia="FangSong_GB2312" w:cs="宋体"/>
          <w:sz w:val="32"/>
          <w:szCs w:val="32"/>
          <w:lang w:eastAsia="zh-CN"/>
        </w:rPr>
        <w:t>项目负责人应当根据项目研究开发任务的特点和实际需要，按照政策相符性、目标相关性和经济合理性原则，科学、合理、真实地编制预算，做到收支平衡。</w:t>
      </w:r>
    </w:p>
    <w:p w14:paraId="716B0A4D">
      <w:pPr>
        <w:widowControl w:val="0"/>
        <w:spacing w:line="560" w:lineRule="exact"/>
        <w:ind w:firstLine="640"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sz w:val="32"/>
          <w:szCs w:val="32"/>
        </w:rPr>
        <w:t>（一）收入预算包括中央财政资金和其他来源资金。对于其他来源资金，应当充分考虑各渠道的情况，并提供出资证明，不得使用货币资金之外的资产或其他财政资金作为资金来源</w:t>
      </w:r>
      <w:r>
        <w:rPr>
          <w:rFonts w:hint="eastAsia" w:ascii="FangSong_GB2312" w:hAnsi="FangSong_GB2312" w:eastAsia="FangSong_GB2312" w:cs="宋体"/>
          <w:sz w:val="32"/>
          <w:szCs w:val="32"/>
          <w:lang w:eastAsia="zh-CN"/>
        </w:rPr>
        <w:t>。</w:t>
      </w:r>
    </w:p>
    <w:p w14:paraId="327718C5">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（二）支出预算应当根据项目资金开支范围编列，并对各项支出的主要用途和测算理由等进行说明。</w:t>
      </w:r>
    </w:p>
    <w:p w14:paraId="1DFE0D84">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对仪器设备购置、参与单位资质及拟外拨资金进行重点说明，并申明现有的实施条件和从单位外部可能获得的共享服务。直接费用中除</w:t>
      </w:r>
      <w:r>
        <w:rPr>
          <w:rFonts w:hint="eastAsia" w:ascii="FangSong_GB2312" w:hAnsi="FangSong_GB2312" w:eastAsia="FangSong_GB2312"/>
          <w:sz w:val="32"/>
          <w:szCs w:val="32"/>
        </w:rPr>
        <w:t>50</w:t>
      </w:r>
      <w:r>
        <w:rPr>
          <w:rFonts w:hint="eastAsia" w:ascii="FangSong_GB2312" w:hAnsi="FangSong_GB2312" w:eastAsia="FangSong_GB2312" w:cs="宋体"/>
          <w:sz w:val="32"/>
          <w:szCs w:val="32"/>
        </w:rPr>
        <w:t>万元以上的设备费外，其他费用只提供基本测算说明，无需提供明细。</w:t>
      </w:r>
    </w:p>
    <w:p w14:paraId="073D3EED">
      <w:pPr>
        <w:widowControl w:val="0"/>
        <w:spacing w:line="560" w:lineRule="exact"/>
        <w:ind w:firstLine="643" w:firstLineChars="200"/>
        <w:rPr>
          <w:rFonts w:hint="eastAsia" w:ascii="FangSong_GB2312" w:hAnsi="FangSong_GB2312" w:eastAsia="FangSong_GB2312"/>
          <w:b w:val="0"/>
          <w:bCs w:val="0"/>
          <w:sz w:val="32"/>
          <w:szCs w:val="32"/>
          <w:lang w:eastAsia="zh-CN"/>
        </w:rPr>
      </w:pPr>
      <w:r>
        <w:rPr>
          <w:rFonts w:hint="eastAsia" w:ascii="FangSong_GB2312" w:hAnsi="FangSong_GB2312" w:eastAsia="FangSong_GB2312" w:cs="宋体"/>
          <w:b/>
          <w:bCs/>
          <w:sz w:val="32"/>
          <w:szCs w:val="32"/>
          <w:lang w:eastAsia="zh-CN"/>
        </w:rPr>
        <w:t>第十一条</w:t>
      </w:r>
      <w:r>
        <w:rPr>
          <w:rFonts w:hint="eastAsia" w:ascii="FangSong_GB2312" w:hAnsi="FangSong_GB2312" w:eastAsia="FangSong_GB2312"/>
          <w:b/>
          <w:bCs/>
          <w:sz w:val="32"/>
          <w:szCs w:val="32"/>
          <w:lang w:eastAsia="zh-CN"/>
        </w:rPr>
        <w:t xml:space="preserve"> </w:t>
      </w:r>
      <w:r>
        <w:rPr>
          <w:rFonts w:hint="eastAsia" w:ascii="FangSong_GB2312" w:hAnsi="FangSong_GB2312" w:eastAsia="FangSong_GB2312"/>
          <w:b w:val="0"/>
          <w:bCs w:val="0"/>
          <w:sz w:val="32"/>
          <w:szCs w:val="32"/>
          <w:lang w:eastAsia="zh-CN"/>
        </w:rPr>
        <w:t>编制项目预算原则上应当以现行政策规定比例的上限编制间接费用。间接费用实行总额控制，按照不超过课题直接费用扣除设备购置费的一定比例核定。具体比例如下：</w:t>
      </w:r>
    </w:p>
    <w:p w14:paraId="6D443CCD">
      <w:pPr>
        <w:widowControl w:val="0"/>
        <w:spacing w:line="560" w:lineRule="exact"/>
        <w:ind w:firstLine="640" w:firstLineChars="200"/>
        <w:rPr>
          <w:rFonts w:hint="eastAsia" w:ascii="FangSong_GB2312" w:hAnsi="FangSong_GB2312" w:eastAsia="FangSong_GB2312"/>
          <w:b w:val="0"/>
          <w:bCs w:val="0"/>
          <w:sz w:val="32"/>
          <w:szCs w:val="32"/>
          <w:lang w:eastAsia="zh-CN"/>
        </w:rPr>
      </w:pPr>
      <w:r>
        <w:rPr>
          <w:rFonts w:hint="eastAsia" w:ascii="FangSong_GB2312" w:hAnsi="FangSong_GB2312" w:eastAsia="FangSong_GB2312"/>
          <w:b w:val="0"/>
          <w:bCs w:val="0"/>
          <w:sz w:val="32"/>
          <w:szCs w:val="32"/>
          <w:lang w:eastAsia="zh-CN"/>
        </w:rPr>
        <w:t>（一）500万元及以下部分为30%；</w:t>
      </w:r>
    </w:p>
    <w:p w14:paraId="3D8AC120">
      <w:pPr>
        <w:widowControl w:val="0"/>
        <w:spacing w:line="560" w:lineRule="exact"/>
        <w:ind w:firstLine="640" w:firstLineChars="200"/>
        <w:rPr>
          <w:rFonts w:hint="eastAsia" w:ascii="FangSong_GB2312" w:hAnsi="FangSong_GB2312" w:eastAsia="FangSong_GB2312"/>
          <w:b w:val="0"/>
          <w:bCs w:val="0"/>
          <w:sz w:val="32"/>
          <w:szCs w:val="32"/>
          <w:lang w:eastAsia="zh-CN"/>
        </w:rPr>
      </w:pPr>
      <w:r>
        <w:rPr>
          <w:rFonts w:hint="eastAsia" w:ascii="FangSong_GB2312" w:hAnsi="FangSong_GB2312" w:eastAsia="FangSong_GB2312"/>
          <w:b w:val="0"/>
          <w:bCs w:val="0"/>
          <w:sz w:val="32"/>
          <w:szCs w:val="32"/>
          <w:lang w:eastAsia="zh-CN"/>
        </w:rPr>
        <w:t>（二）超过500万元至1000万元的部分为25%；</w:t>
      </w:r>
    </w:p>
    <w:p w14:paraId="5E75D861">
      <w:pPr>
        <w:widowControl w:val="0"/>
        <w:spacing w:line="560" w:lineRule="exact"/>
        <w:ind w:firstLine="640" w:firstLineChars="200"/>
        <w:rPr>
          <w:rFonts w:hint="eastAsia" w:ascii="FangSong_GB2312" w:hAnsi="FangSong_GB2312" w:eastAsia="FangSong_GB2312"/>
          <w:b w:val="0"/>
          <w:bCs w:val="0"/>
          <w:sz w:val="32"/>
          <w:szCs w:val="32"/>
          <w:lang w:eastAsia="zh-CN"/>
        </w:rPr>
      </w:pPr>
      <w:r>
        <w:rPr>
          <w:rFonts w:hint="eastAsia" w:ascii="FangSong_GB2312" w:hAnsi="FangSong_GB2312" w:eastAsia="FangSong_GB2312"/>
          <w:b w:val="0"/>
          <w:bCs w:val="0"/>
          <w:sz w:val="32"/>
          <w:szCs w:val="32"/>
          <w:lang w:eastAsia="zh-CN"/>
        </w:rPr>
        <w:t>（三）超过1000万元以上的部分为20%。</w:t>
      </w:r>
    </w:p>
    <w:p w14:paraId="36595386">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b w:val="0"/>
          <w:bCs w:val="0"/>
          <w:sz w:val="32"/>
          <w:szCs w:val="32"/>
          <w:lang w:eastAsia="zh-CN"/>
        </w:rPr>
        <w:t>课题涉及多个单位的，间接费用依约进行分配。</w:t>
      </w:r>
    </w:p>
    <w:p w14:paraId="671B3082">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第十二条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项目预算经项目承担教学科研机构、科研处、财务办公室审核后报上级主管部门审批。</w:t>
      </w:r>
    </w:p>
    <w:p w14:paraId="65CB95DD">
      <w:pPr>
        <w:widowControl w:val="0"/>
        <w:spacing w:line="560" w:lineRule="exact"/>
        <w:ind w:firstLine="0" w:firstLineChars="0"/>
        <w:jc w:val="center"/>
        <w:rPr>
          <w:rFonts w:hint="eastAsia" w:ascii="黑体" w:hAnsi="黑体" w:eastAsia="黑体"/>
          <w:sz w:val="32"/>
          <w:szCs w:val="32"/>
          <w:lang w:eastAsia="zh-CN"/>
        </w:rPr>
      </w:pPr>
      <w:r>
        <w:rPr>
          <w:rFonts w:hint="eastAsia" w:ascii="黑体" w:hAnsi="黑体" w:eastAsia="黑体" w:cs="宋体"/>
          <w:sz w:val="32"/>
          <w:szCs w:val="32"/>
          <w:lang w:eastAsia="zh-CN"/>
        </w:rPr>
        <w:t>第五章</w:t>
      </w:r>
      <w:r>
        <w:rPr>
          <w:rFonts w:hint="eastAsia" w:ascii="黑体" w:hAnsi="黑体" w:eastAsia="黑体"/>
          <w:sz w:val="32"/>
          <w:szCs w:val="32"/>
          <w:lang w:eastAsia="zh-CN"/>
        </w:rPr>
        <w:t xml:space="preserve">  </w:t>
      </w:r>
      <w:r>
        <w:rPr>
          <w:rFonts w:hint="eastAsia" w:ascii="黑体" w:hAnsi="黑体" w:eastAsia="黑体" w:cs="宋体"/>
          <w:sz w:val="32"/>
          <w:szCs w:val="32"/>
          <w:lang w:eastAsia="zh-CN"/>
        </w:rPr>
        <w:t>预算执行</w:t>
      </w:r>
    </w:p>
    <w:p w14:paraId="4E4135E5">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lang w:eastAsia="zh-CN"/>
        </w:rPr>
        <w:t>第十三条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学院作为项目承担单位的，根据项目负责人意见及时向课题承担单位拨付资金。</w:t>
      </w:r>
      <w:r>
        <w:rPr>
          <w:rFonts w:hint="eastAsia" w:ascii="FangSong_GB2312" w:hAnsi="FangSong_GB2312" w:eastAsia="FangSong_GB2312" w:cs="宋体"/>
          <w:sz w:val="32"/>
          <w:szCs w:val="32"/>
        </w:rPr>
        <w:t>学院作为课题承担单位的</w:t>
      </w:r>
      <w:r>
        <w:rPr>
          <w:rFonts w:hint="eastAsia" w:ascii="FangSong_GB2312" w:hAnsi="FangSong_GB2312" w:eastAsia="FangSong_GB2312" w:cs="宋体"/>
          <w:sz w:val="32"/>
          <w:szCs w:val="32"/>
          <w:lang w:eastAsia="zh-CN"/>
        </w:rPr>
        <w:t>，</w:t>
      </w:r>
      <w:r>
        <w:rPr>
          <w:rFonts w:hint="eastAsia" w:ascii="FangSong_GB2312" w:hAnsi="FangSong_GB2312" w:eastAsia="FangSong_GB2312" w:cs="宋体"/>
          <w:sz w:val="32"/>
          <w:szCs w:val="32"/>
        </w:rPr>
        <w:t>按照研究进度及时向课题参与单位拨付资金。学院作为课题参与单位的，不再向外转拨资金。</w:t>
      </w:r>
    </w:p>
    <w:p w14:paraId="36BD80A3">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lang w:eastAsia="zh-CN"/>
        </w:rPr>
        <w:t>第十四条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项目资金应当严格按照相关规定、结合项目实施计划和科研活动的实际需要合理使用。</w:t>
      </w:r>
    </w:p>
    <w:p w14:paraId="0AA42107">
      <w:pPr>
        <w:widowControl w:val="0"/>
        <w:spacing w:line="560" w:lineRule="exact"/>
        <w:ind w:firstLine="643"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b/>
          <w:bCs/>
          <w:sz w:val="32"/>
          <w:szCs w:val="32"/>
          <w:lang w:eastAsia="zh-CN"/>
        </w:rPr>
        <w:t>第十五条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项目负责人应当按照下达的预算执行。项目预算确有必要调剂的，应当按照以下调剂范围和权限，履行相关程序：</w:t>
      </w:r>
    </w:p>
    <w:p w14:paraId="361CEB21">
      <w:pPr>
        <w:widowControl w:val="0"/>
        <w:spacing w:line="560" w:lineRule="exact"/>
        <w:ind w:firstLine="640"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sz w:val="32"/>
          <w:szCs w:val="32"/>
          <w:lang w:eastAsia="zh-CN"/>
        </w:rPr>
        <w:t>（一）项目预算总额调剂，项目预算总额不变、课题间预算调剂，变更课题承担单位、课题参与单位，逐级由课题承担单位、项目承担单位向专业机构提出申请，经专业机构审核评估后按有关规定批准。</w:t>
      </w:r>
    </w:p>
    <w:p w14:paraId="4B044A7A">
      <w:pPr>
        <w:widowControl w:val="0"/>
        <w:spacing w:line="560" w:lineRule="exact"/>
        <w:ind w:firstLine="640"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sz w:val="32"/>
          <w:szCs w:val="32"/>
          <w:lang w:eastAsia="zh-CN"/>
        </w:rPr>
        <w:t>（二）课题预算总额不变、课题参与单位之间预算调剂的,由项目承担单位审批，报专业机构备案。</w:t>
      </w:r>
    </w:p>
    <w:p w14:paraId="377B209E">
      <w:pPr>
        <w:widowControl w:val="0"/>
        <w:spacing w:line="560" w:lineRule="exact"/>
        <w:ind w:firstLine="640"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sz w:val="32"/>
          <w:szCs w:val="32"/>
          <w:lang w:eastAsia="zh-CN"/>
        </w:rPr>
        <w:t>（三）课题预算总额不变，间接费用预算总额不得调增，直接费用预算确需调剂的，履行以下审批程序：</w:t>
      </w:r>
    </w:p>
    <w:p w14:paraId="0EA66268">
      <w:pPr>
        <w:widowControl w:val="0"/>
        <w:spacing w:line="560" w:lineRule="exact"/>
        <w:ind w:firstLine="640"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sz w:val="32"/>
          <w:szCs w:val="32"/>
          <w:lang w:eastAsia="zh-CN"/>
        </w:rPr>
        <w:t>1．设备费预算调剂，由项目负责人提出申请，经项目承担教学科研机构审核同意，报科研处、财务办公室共同审批。</w:t>
      </w:r>
    </w:p>
    <w:p w14:paraId="238B7F94">
      <w:pPr>
        <w:widowControl w:val="0"/>
        <w:spacing w:line="560" w:lineRule="exact"/>
        <w:ind w:firstLine="640"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sz w:val="32"/>
          <w:szCs w:val="32"/>
          <w:lang w:eastAsia="zh-CN"/>
        </w:rPr>
        <w:t>2．劳务费、业务费预算调剂的，由项目负责人结合实际需要在项目研制周期内自行调剂。</w:t>
      </w:r>
    </w:p>
    <w:p w14:paraId="39AA23C9">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rPr>
        <w:t>第十</w:t>
      </w:r>
      <w:r>
        <w:rPr>
          <w:rFonts w:hint="eastAsia" w:ascii="FangSong_GB2312" w:hAnsi="FangSong_GB2312" w:eastAsia="FangSong_GB2312" w:cs="宋体"/>
          <w:b/>
          <w:bCs/>
          <w:sz w:val="32"/>
          <w:szCs w:val="32"/>
          <w:lang w:eastAsia="zh-CN"/>
        </w:rPr>
        <w:t>六</w:t>
      </w:r>
      <w:r>
        <w:rPr>
          <w:rFonts w:hint="eastAsia" w:ascii="FangSong_GB2312" w:hAnsi="FangSong_GB2312" w:eastAsia="FangSong_GB2312" w:cs="宋体"/>
          <w:b/>
          <w:bCs/>
          <w:sz w:val="32"/>
          <w:szCs w:val="32"/>
        </w:rPr>
        <w:t>条</w:t>
      </w:r>
      <w:r>
        <w:rPr>
          <w:rFonts w:ascii="FangSong_GB2312" w:hAnsi="FangSong_GB2312" w:eastAsia="FangSong_GB2312"/>
          <w:sz w:val="32"/>
          <w:szCs w:val="32"/>
        </w:rPr>
        <w:t xml:space="preserve"> 项目应当按照相关规定配备科研财务助理</w:t>
      </w:r>
      <w:r>
        <w:rPr>
          <w:rFonts w:hint="eastAsia" w:ascii="FangSong_GB2312" w:hAnsi="FangSong_GB2312" w:eastAsia="FangSong_GB2312" w:cs="宋体"/>
          <w:sz w:val="32"/>
          <w:szCs w:val="32"/>
        </w:rPr>
        <w:t>。科研财务助理所需人力成本费用（含社会保险、住房公积金）</w:t>
      </w:r>
      <w:r>
        <w:rPr>
          <w:rFonts w:hint="default" w:ascii="FangSong_GB2312" w:hAnsi="FangSong_GB2312" w:eastAsia="FangSong_GB2312" w:cs="宋体"/>
          <w:sz w:val="32"/>
          <w:szCs w:val="32"/>
          <w:lang w:val="en-US"/>
        </w:rPr>
        <w:t>,</w:t>
      </w:r>
      <w:r>
        <w:rPr>
          <w:rFonts w:hint="eastAsia" w:ascii="FangSong_GB2312" w:hAnsi="FangSong_GB2312" w:eastAsia="FangSong_GB2312" w:cs="宋体"/>
          <w:sz w:val="32"/>
          <w:szCs w:val="32"/>
        </w:rPr>
        <w:t>可以通过科研项目经费等渠道统筹解决。</w:t>
      </w:r>
    </w:p>
    <w:p w14:paraId="44CF00C3">
      <w:pPr>
        <w:widowControl w:val="0"/>
        <w:spacing w:line="560" w:lineRule="exact"/>
        <w:ind w:firstLine="643" w:firstLineChars="200"/>
        <w:jc w:val="left"/>
        <w:rPr>
          <w:rFonts w:ascii="黑体" w:hAnsi="黑体" w:eastAsia="黑体" w:cs="宋体"/>
          <w:sz w:val="32"/>
          <w:szCs w:val="32"/>
          <w:lang w:eastAsia="zh-CN"/>
        </w:rPr>
      </w:pPr>
      <w:r>
        <w:rPr>
          <w:rFonts w:hint="eastAsia" w:ascii="FangSong_GB2312" w:hAnsi="FangSong_GB2312" w:eastAsia="FangSong_GB2312" w:cs="宋体"/>
          <w:b/>
          <w:bCs/>
          <w:sz w:val="32"/>
          <w:szCs w:val="32"/>
        </w:rPr>
        <w:t>第十</w:t>
      </w:r>
      <w:r>
        <w:rPr>
          <w:rFonts w:hint="eastAsia" w:ascii="FangSong_GB2312" w:hAnsi="FangSong_GB2312" w:eastAsia="FangSong_GB2312" w:cs="宋体"/>
          <w:b/>
          <w:bCs/>
          <w:sz w:val="32"/>
          <w:szCs w:val="32"/>
          <w:lang w:eastAsia="zh-CN"/>
        </w:rPr>
        <w:t>七</w:t>
      </w:r>
      <w:r>
        <w:rPr>
          <w:rFonts w:hint="eastAsia" w:ascii="FangSong_GB2312" w:hAnsi="FangSong_GB2312" w:eastAsia="FangSong_GB2312" w:cs="宋体"/>
          <w:b/>
          <w:bCs/>
          <w:sz w:val="32"/>
          <w:szCs w:val="32"/>
        </w:rPr>
        <w:t>条</w:t>
      </w:r>
      <w:r>
        <w:rPr>
          <w:rFonts w:ascii="FangSong_GB2312" w:hAnsi="FangSong_GB2312" w:eastAsia="FangSong_GB2312"/>
          <w:sz w:val="32"/>
          <w:szCs w:val="32"/>
        </w:rPr>
        <w:t xml:space="preserve"> 项目负责人应当严格执行资金支出管理制度</w:t>
      </w:r>
      <w:r>
        <w:rPr>
          <w:rFonts w:hint="eastAsia" w:ascii="FangSong_GB2312" w:hAnsi="FangSong_GB2312" w:eastAsia="FangSong_GB2312" w:cs="宋体"/>
          <w:sz w:val="32"/>
          <w:szCs w:val="32"/>
          <w:lang w:eastAsia="zh-CN"/>
        </w:rPr>
        <w:t>。对应当实行公务卡结算的支出，执行中央财政科研项目使用公务卡结算有关规定。对于设备、大宗材料、测试化验加工、劳务、专家咨询等费用，原则上应当通过银行转账方式结算。</w:t>
      </w:r>
    </w:p>
    <w:p w14:paraId="1D69A62E">
      <w:pPr>
        <w:widowControl w:val="0"/>
        <w:spacing w:line="560" w:lineRule="exact"/>
        <w:ind w:firstLine="0" w:firstLineChars="0"/>
        <w:jc w:val="center"/>
        <w:rPr>
          <w:rFonts w:hint="eastAsia" w:ascii="黑体" w:hAnsi="黑体" w:eastAsia="黑体"/>
          <w:sz w:val="32"/>
          <w:szCs w:val="32"/>
          <w:lang w:eastAsia="zh-CN"/>
        </w:rPr>
      </w:pPr>
      <w:r>
        <w:rPr>
          <w:rFonts w:hint="eastAsia" w:ascii="黑体" w:hAnsi="黑体" w:eastAsia="黑体" w:cs="宋体"/>
          <w:sz w:val="32"/>
          <w:szCs w:val="32"/>
          <w:lang w:eastAsia="zh-CN"/>
        </w:rPr>
        <w:t>第六章</w:t>
      </w:r>
      <w:r>
        <w:rPr>
          <w:rFonts w:hint="eastAsia" w:ascii="黑体" w:hAnsi="黑体" w:eastAsia="黑体"/>
          <w:sz w:val="32"/>
          <w:szCs w:val="32"/>
          <w:lang w:eastAsia="zh-CN"/>
        </w:rPr>
        <w:t xml:space="preserve">  </w:t>
      </w:r>
      <w:r>
        <w:rPr>
          <w:rFonts w:hint="eastAsia" w:ascii="黑体" w:hAnsi="黑体" w:eastAsia="黑体" w:cs="宋体"/>
          <w:sz w:val="32"/>
          <w:szCs w:val="32"/>
          <w:lang w:eastAsia="zh-CN"/>
        </w:rPr>
        <w:t>决算与综合绩效评价</w:t>
      </w:r>
    </w:p>
    <w:p w14:paraId="50195092">
      <w:pPr>
        <w:widowControl w:val="0"/>
        <w:spacing w:line="560" w:lineRule="exact"/>
        <w:ind w:firstLine="643"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b/>
          <w:bCs/>
          <w:sz w:val="32"/>
          <w:szCs w:val="32"/>
          <w:lang w:eastAsia="zh-CN"/>
        </w:rPr>
        <w:t>第十八条</w:t>
      </w:r>
      <w:r>
        <w:rPr>
          <w:rFonts w:hint="eastAsia" w:ascii="FangSong_GB2312" w:hAnsi="FangSong_GB2312" w:eastAsia="FangSong_GB2312"/>
          <w:sz w:val="32"/>
          <w:szCs w:val="32"/>
          <w:lang w:eastAsia="zh-CN"/>
        </w:rPr>
        <w:t xml:space="preserve"> </w:t>
      </w:r>
      <w:r>
        <w:rPr>
          <w:rFonts w:hint="eastAsia" w:ascii="FangSong_GB2312" w:hAnsi="FangSong_GB2312" w:eastAsia="FangSong_GB2312" w:cs="宋体"/>
          <w:sz w:val="32"/>
          <w:szCs w:val="32"/>
          <w:lang w:eastAsia="zh-CN"/>
        </w:rPr>
        <w:t>项目执行期满后，项目负责人应当及时清理账目与资产，如实编制课题资金决算。项目执行率须符合相关规定要求。项目资金决算经财务办公室、科研处审核后上报专业机构。</w:t>
      </w:r>
    </w:p>
    <w:p w14:paraId="4B2F7204">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rPr>
        <w:t>第</w:t>
      </w:r>
      <w:r>
        <w:rPr>
          <w:rFonts w:hint="eastAsia" w:ascii="FangSong_GB2312" w:hAnsi="FangSong_GB2312" w:eastAsia="FangSong_GB2312" w:cs="宋体"/>
          <w:b/>
          <w:bCs/>
          <w:sz w:val="32"/>
          <w:szCs w:val="32"/>
          <w:lang w:eastAsia="zh-CN"/>
        </w:rPr>
        <w:t>十九</w:t>
      </w:r>
      <w:r>
        <w:rPr>
          <w:rFonts w:hint="eastAsia" w:ascii="FangSong_GB2312" w:hAnsi="FangSong_GB2312" w:eastAsia="FangSong_GB2312" w:cs="宋体"/>
          <w:b/>
          <w:bCs/>
          <w:sz w:val="32"/>
          <w:szCs w:val="32"/>
        </w:rPr>
        <w:t>条</w:t>
      </w:r>
      <w:r>
        <w:rPr>
          <w:rFonts w:ascii="FangSong_GB2312" w:hAnsi="FangSong_GB2312" w:eastAsia="FangSong_GB2312"/>
          <w:sz w:val="32"/>
          <w:szCs w:val="32"/>
        </w:rPr>
        <w:t xml:space="preserve"> 学院作为项目承担单位的</w:t>
      </w:r>
      <w:r>
        <w:rPr>
          <w:rFonts w:hint="eastAsia" w:ascii="FangSong_GB2312" w:hAnsi="FangSong_GB2312" w:eastAsia="FangSong_GB2312" w:cs="宋体"/>
          <w:sz w:val="32"/>
          <w:szCs w:val="32"/>
        </w:rPr>
        <w:t>，按照相关规定组织课题承担单位准备项目综合绩效评价材料，向专业机构提出项目综合绩效评价申请。</w:t>
      </w:r>
    </w:p>
    <w:p w14:paraId="7635D366">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rPr>
        <w:t>第二十条</w:t>
      </w:r>
      <w:r>
        <w:rPr>
          <w:rFonts w:ascii="FangSong_GB2312" w:hAnsi="FangSong_GB2312" w:eastAsia="FangSong_GB2312"/>
          <w:b/>
          <w:bCs/>
          <w:sz w:val="32"/>
          <w:szCs w:val="32"/>
        </w:rPr>
        <w:t xml:space="preserve"> </w:t>
      </w:r>
      <w:r>
        <w:rPr>
          <w:rFonts w:ascii="FangSong_GB2312" w:hAnsi="FangSong_GB2312" w:eastAsia="FangSong_GB2312"/>
          <w:sz w:val="32"/>
          <w:szCs w:val="32"/>
        </w:rPr>
        <w:t>学院根据项目综合绩效评价相关意见对项目结余资金进行管理</w:t>
      </w:r>
      <w:r>
        <w:rPr>
          <w:rFonts w:hint="eastAsia" w:ascii="FangSong_GB2312" w:hAnsi="FangSong_GB2312" w:eastAsia="FangSong_GB2312" w:cs="宋体"/>
          <w:sz w:val="32"/>
          <w:szCs w:val="32"/>
        </w:rPr>
        <w:t>。</w:t>
      </w:r>
    </w:p>
    <w:p w14:paraId="09FBE8FE">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课题完成任务目标并通过项目综合绩效评价的，结余资金按照相关规定统筹用于相关科研活动直接支出。</w:t>
      </w:r>
    </w:p>
    <w:p w14:paraId="232ED518">
      <w:pPr>
        <w:widowControl w:val="0"/>
        <w:spacing w:line="560" w:lineRule="exact"/>
        <w:ind w:firstLine="643"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b/>
          <w:bCs/>
          <w:sz w:val="32"/>
          <w:szCs w:val="32"/>
        </w:rPr>
        <w:t>第二十</w:t>
      </w:r>
      <w:r>
        <w:rPr>
          <w:rFonts w:hint="eastAsia" w:ascii="FangSong_GB2312" w:hAnsi="FangSong_GB2312" w:eastAsia="FangSong_GB2312" w:cs="宋体"/>
          <w:b/>
          <w:bCs/>
          <w:sz w:val="32"/>
          <w:szCs w:val="32"/>
          <w:lang w:eastAsia="zh-CN"/>
        </w:rPr>
        <w:t>一</w:t>
      </w:r>
      <w:r>
        <w:rPr>
          <w:rFonts w:hint="eastAsia" w:ascii="FangSong_GB2312" w:hAnsi="FangSong_GB2312" w:eastAsia="FangSong_GB2312" w:cs="宋体"/>
          <w:b/>
          <w:bCs/>
          <w:sz w:val="32"/>
          <w:szCs w:val="32"/>
        </w:rPr>
        <w:t>条</w:t>
      </w:r>
      <w:r>
        <w:rPr>
          <w:rFonts w:ascii="FangSong_GB2312" w:hAnsi="FangSong_GB2312" w:eastAsia="FangSong_GB2312"/>
          <w:sz w:val="32"/>
          <w:szCs w:val="32"/>
        </w:rPr>
        <w:t xml:space="preserve"> 项目负责人应当在项目综合绩效评价完成后一个月内及时办理财务结账相关手续</w:t>
      </w:r>
      <w:r>
        <w:rPr>
          <w:rFonts w:hint="eastAsia" w:ascii="FangSong_GB2312" w:hAnsi="FangSong_GB2312" w:eastAsia="FangSong_GB2312" w:cs="宋体"/>
          <w:sz w:val="32"/>
          <w:szCs w:val="32"/>
        </w:rPr>
        <w:t>。</w:t>
      </w:r>
    </w:p>
    <w:p w14:paraId="6F9A8B0A">
      <w:pPr>
        <w:widowControl w:val="0"/>
        <w:spacing w:line="560" w:lineRule="exact"/>
        <w:ind w:firstLine="0" w:firstLineChars="0"/>
        <w:jc w:val="center"/>
        <w:rPr>
          <w:rFonts w:hint="eastAsia" w:ascii="黑体" w:hAnsi="黑体" w:eastAsia="黑体"/>
          <w:sz w:val="32"/>
          <w:szCs w:val="32"/>
        </w:rPr>
      </w:pPr>
      <w:r>
        <w:rPr>
          <w:rFonts w:hint="eastAsia" w:ascii="黑体" w:hAnsi="黑体" w:eastAsia="黑体" w:cs="宋体"/>
          <w:sz w:val="32"/>
          <w:szCs w:val="32"/>
        </w:rPr>
        <w:t>第七章</w:t>
      </w:r>
      <w:r>
        <w:rPr>
          <w:rFonts w:ascii="黑体" w:hAnsi="黑体" w:eastAsia="黑体"/>
          <w:sz w:val="32"/>
          <w:szCs w:val="32"/>
          <w:lang w:eastAsia="zh-CN"/>
        </w:rPr>
        <w:t xml:space="preserve"> </w:t>
      </w:r>
      <w:r>
        <w:rPr>
          <w:rFonts w:hint="eastAsia" w:ascii="黑体" w:hAnsi="黑体" w:eastAsia="黑体"/>
          <w:sz w:val="32"/>
          <w:szCs w:val="32"/>
          <w:lang w:eastAsia="zh-CN"/>
        </w:rPr>
        <w:t xml:space="preserve"> </w:t>
      </w:r>
      <w:r>
        <w:rPr>
          <w:rFonts w:ascii="黑体" w:hAnsi="黑体" w:eastAsia="黑体"/>
          <w:sz w:val="32"/>
          <w:szCs w:val="32"/>
          <w:lang w:eastAsia="zh-CN"/>
        </w:rPr>
        <w:t>监督检查</w:t>
      </w:r>
    </w:p>
    <w:p w14:paraId="16D4ED01">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rPr>
        <w:t>第二十</w:t>
      </w:r>
      <w:r>
        <w:rPr>
          <w:rFonts w:hint="eastAsia" w:ascii="FangSong_GB2312" w:hAnsi="FangSong_GB2312" w:eastAsia="FangSong_GB2312" w:cs="宋体"/>
          <w:b/>
          <w:bCs/>
          <w:sz w:val="32"/>
          <w:szCs w:val="32"/>
          <w:lang w:eastAsia="zh-CN"/>
        </w:rPr>
        <w:t>二</w:t>
      </w:r>
      <w:r>
        <w:rPr>
          <w:rFonts w:hint="eastAsia" w:ascii="FangSong_GB2312" w:hAnsi="FangSong_GB2312" w:eastAsia="FangSong_GB2312" w:cs="宋体"/>
          <w:b/>
          <w:bCs/>
          <w:sz w:val="32"/>
          <w:szCs w:val="32"/>
        </w:rPr>
        <w:t>条</w:t>
      </w:r>
      <w:r>
        <w:rPr>
          <w:rFonts w:hint="eastAsia" w:ascii="FangSong_GB2312" w:hAnsi="FangSong_GB2312" w:eastAsia="FangSong_GB2312"/>
          <w:sz w:val="32"/>
          <w:szCs w:val="32"/>
        </w:rPr>
        <w:t xml:space="preserve"> </w:t>
      </w:r>
      <w:r>
        <w:rPr>
          <w:rFonts w:hint="eastAsia" w:ascii="FangSong_GB2312" w:hAnsi="FangSong_GB2312" w:eastAsia="FangSong_GB2312" w:cs="宋体"/>
          <w:sz w:val="32"/>
          <w:szCs w:val="32"/>
        </w:rPr>
        <w:t>项目资金使用不得存在以下行为：</w:t>
      </w:r>
    </w:p>
    <w:p w14:paraId="01950846">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（一）编报虚假预算；</w:t>
      </w:r>
    </w:p>
    <w:p w14:paraId="4D6B0ECA">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（二）列支与本项目任务无关的支出；</w:t>
      </w:r>
    </w:p>
    <w:p w14:paraId="1F233F6A">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（三）未按规定执行和调剂预算、违反规定转拨项目资金；</w:t>
      </w:r>
    </w:p>
    <w:p w14:paraId="26449742">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（四）通过虚假合同、虚假票据、虚构事项、虚报人员等弄虚作假，转移、套取、报销项目资金；</w:t>
      </w:r>
    </w:p>
    <w:p w14:paraId="306B78F9">
      <w:pPr>
        <w:widowControl w:val="0"/>
        <w:spacing w:line="560" w:lineRule="exact"/>
        <w:ind w:firstLine="640" w:firstLineChars="200"/>
        <w:rPr>
          <w:rFonts w:hint="eastAsia" w:ascii="FangSong_GB2312" w:hAnsi="FangSong_GB2312" w:eastAsia="FangSong_GB2312"/>
          <w:sz w:val="32"/>
          <w:szCs w:val="32"/>
        </w:rPr>
      </w:pPr>
      <w:r>
        <w:rPr>
          <w:rFonts w:hint="eastAsia" w:ascii="FangSong_GB2312" w:hAnsi="FangSong_GB2312" w:eastAsia="FangSong_GB2312" w:cs="宋体"/>
          <w:sz w:val="32"/>
          <w:szCs w:val="32"/>
        </w:rPr>
        <w:t>（五）截留、挤占、挪用项目资金；</w:t>
      </w:r>
    </w:p>
    <w:p w14:paraId="260CB290">
      <w:pPr>
        <w:widowControl w:val="0"/>
        <w:spacing w:line="560" w:lineRule="exact"/>
        <w:ind w:firstLine="640" w:firstLineChars="200"/>
        <w:rPr>
          <w:rFonts w:hint="eastAsia" w:ascii="FangSong_GB2312" w:hAnsi="FangSong_GB2312" w:eastAsia="FangSong_GB2312"/>
          <w:sz w:val="32"/>
          <w:szCs w:val="32"/>
          <w:lang w:eastAsia="zh-CN"/>
        </w:rPr>
      </w:pPr>
      <w:r>
        <w:rPr>
          <w:rFonts w:hint="eastAsia" w:ascii="FangSong_GB2312" w:hAnsi="FangSong_GB2312" w:eastAsia="FangSong_GB2312" w:cs="宋体"/>
          <w:sz w:val="32"/>
          <w:szCs w:val="32"/>
          <w:lang w:eastAsia="zh-CN"/>
        </w:rPr>
        <w:t>（六）设置账外账、随意调账变动支出、随意修改记账凭证、提供虚假财务会计资料等；</w:t>
      </w:r>
    </w:p>
    <w:p w14:paraId="1EB41CF7">
      <w:pPr>
        <w:widowControl w:val="0"/>
        <w:spacing w:line="560" w:lineRule="exact"/>
        <w:ind w:firstLine="640" w:firstLineChars="200"/>
        <w:rPr>
          <w:rFonts w:ascii="FangSong_GB2312" w:hAnsi="FangSong_GB2312" w:eastAsia="FangSong_GB2312" w:cs="宋体"/>
          <w:sz w:val="32"/>
          <w:szCs w:val="32"/>
          <w:lang w:eastAsia="zh-CN"/>
        </w:rPr>
      </w:pPr>
      <w:r>
        <w:rPr>
          <w:rFonts w:hint="eastAsia" w:ascii="FangSong_GB2312" w:hAnsi="FangSong_GB2312" w:eastAsia="FangSong_GB2312" w:cs="宋体"/>
          <w:sz w:val="32"/>
          <w:szCs w:val="32"/>
          <w:lang w:eastAsia="zh-CN"/>
        </w:rPr>
        <w:t>（七）使用项目资金列支应当由个人负担的有关费用和支付各种罚款、捐款、赞助、投资、偿还债务等</w:t>
      </w:r>
    </w:p>
    <w:p w14:paraId="0C429C82">
      <w:pPr>
        <w:widowControl w:val="0"/>
        <w:spacing w:line="560" w:lineRule="exact"/>
        <w:ind w:firstLine="640" w:firstLineChars="200"/>
        <w:rPr>
          <w:rFonts w:hint="eastAsia" w:ascii="FangSong_GB2312" w:hAnsi="FangSong_GB2312" w:eastAsia="FangSong_GB2312" w:cs="宋体"/>
          <w:sz w:val="32"/>
          <w:szCs w:val="32"/>
          <w:lang w:eastAsia="zh-CN"/>
        </w:rPr>
      </w:pPr>
      <w:r>
        <w:rPr>
          <w:rFonts w:hint="eastAsia" w:ascii="FangSong_GB2312" w:hAnsi="FangSong_GB2312" w:eastAsia="FangSong_GB2312" w:cs="宋体"/>
          <w:sz w:val="32"/>
          <w:szCs w:val="32"/>
          <w:lang w:eastAsia="zh-CN"/>
        </w:rPr>
        <w:t>（八）其他违反国家财经纪律的行为。</w:t>
      </w:r>
    </w:p>
    <w:p w14:paraId="26FD30EF">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rPr>
        <w:t>第二十</w:t>
      </w:r>
      <w:r>
        <w:rPr>
          <w:rFonts w:hint="eastAsia" w:ascii="FangSong_GB2312" w:hAnsi="FangSong_GB2312" w:eastAsia="FangSong_GB2312" w:cs="宋体"/>
          <w:b/>
          <w:bCs/>
          <w:sz w:val="32"/>
          <w:szCs w:val="32"/>
          <w:lang w:eastAsia="zh-CN"/>
        </w:rPr>
        <w:t>三</w:t>
      </w:r>
      <w:r>
        <w:rPr>
          <w:rFonts w:hint="eastAsia" w:ascii="FangSong_GB2312" w:hAnsi="FangSong_GB2312" w:eastAsia="FangSong_GB2312" w:cs="宋体"/>
          <w:sz w:val="32"/>
          <w:szCs w:val="32"/>
        </w:rPr>
        <w:t>条</w:t>
      </w:r>
      <w:r>
        <w:rPr>
          <w:rFonts w:ascii="FangSong_GB2312" w:hAnsi="FangSong_GB2312" w:eastAsia="FangSong_GB2312"/>
          <w:sz w:val="32"/>
          <w:szCs w:val="32"/>
        </w:rPr>
        <w:t xml:space="preserve"> </w:t>
      </w:r>
      <w:r>
        <w:rPr>
          <w:rFonts w:hint="eastAsia" w:ascii="FangSong_GB2312" w:hAnsi="FangSong_GB2312" w:eastAsia="FangSong_GB2312"/>
          <w:sz w:val="32"/>
          <w:szCs w:val="32"/>
        </w:rPr>
        <w:t>承担教学科研机构负责对项目资金使用情况进行日常监督。科研处、财务办公室、审计办公室等部门在职责范围内负责对项目资金使用情况进行监督检查。</w:t>
      </w:r>
    </w:p>
    <w:p w14:paraId="6DA0C302">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rPr>
        <w:t>第二十</w:t>
      </w:r>
      <w:r>
        <w:rPr>
          <w:rFonts w:hint="eastAsia" w:ascii="FangSong_GB2312" w:hAnsi="FangSong_GB2312" w:eastAsia="FangSong_GB2312" w:cs="宋体"/>
          <w:b/>
          <w:bCs/>
          <w:sz w:val="32"/>
          <w:szCs w:val="32"/>
          <w:lang w:eastAsia="zh-CN"/>
        </w:rPr>
        <w:t>四</w:t>
      </w:r>
      <w:r>
        <w:rPr>
          <w:rFonts w:hint="eastAsia" w:ascii="FangSong_GB2312" w:hAnsi="FangSong_GB2312" w:eastAsia="FangSong_GB2312" w:cs="宋体"/>
          <w:b/>
          <w:bCs/>
          <w:sz w:val="32"/>
          <w:szCs w:val="32"/>
        </w:rPr>
        <w:t>条</w:t>
      </w:r>
      <w:r>
        <w:rPr>
          <w:rFonts w:ascii="FangSong_GB2312" w:hAnsi="FangSong_GB2312" w:eastAsia="FangSong_GB2312"/>
          <w:sz w:val="32"/>
          <w:szCs w:val="32"/>
        </w:rPr>
        <w:t xml:space="preserve"> 学院任何单位和个人违反本办法相关规定的</w:t>
      </w:r>
      <w:r>
        <w:rPr>
          <w:rFonts w:hint="default" w:ascii="FangSong_GB2312" w:hAnsi="FangSong_GB2312" w:eastAsia="FangSong_GB2312" w:cs="宋体"/>
          <w:sz w:val="32"/>
          <w:szCs w:val="32"/>
          <w:lang w:val="en-US"/>
        </w:rPr>
        <w:t>,</w:t>
      </w:r>
      <w:r>
        <w:rPr>
          <w:rFonts w:hint="eastAsia" w:ascii="FangSong_GB2312" w:hAnsi="FangSong_GB2312" w:eastAsia="FangSong_GB2312" w:cs="宋体"/>
          <w:sz w:val="32"/>
          <w:szCs w:val="32"/>
        </w:rPr>
        <w:t>学院视情节轻重对直接责任人和相关负责人进行批评教育直至纪律处分。</w:t>
      </w:r>
    </w:p>
    <w:p w14:paraId="4B66213B">
      <w:pPr>
        <w:widowControl w:val="0"/>
        <w:spacing w:line="560" w:lineRule="exact"/>
        <w:ind w:firstLine="0" w:firstLineChars="0"/>
        <w:jc w:val="center"/>
        <w:rPr>
          <w:rFonts w:hint="eastAsia" w:ascii="黑体" w:hAnsi="黑体" w:eastAsia="黑体"/>
          <w:sz w:val="32"/>
          <w:szCs w:val="32"/>
        </w:rPr>
      </w:pPr>
      <w:r>
        <w:rPr>
          <w:rFonts w:hint="eastAsia" w:ascii="黑体" w:hAnsi="黑体" w:eastAsia="黑体" w:cs="宋体"/>
          <w:sz w:val="32"/>
          <w:szCs w:val="32"/>
        </w:rPr>
        <w:t>第八章</w:t>
      </w:r>
      <w:r>
        <w:rPr>
          <w:rFonts w:hint="eastAsia" w:ascii="黑体" w:hAnsi="黑体" w:eastAsia="黑体"/>
          <w:sz w:val="32"/>
          <w:szCs w:val="32"/>
          <w:lang w:eastAsia="zh-CN"/>
        </w:rPr>
        <w:t xml:space="preserve">  </w:t>
      </w:r>
      <w:r>
        <w:rPr>
          <w:rFonts w:hint="eastAsia" w:ascii="黑体" w:hAnsi="黑体" w:eastAsia="黑体" w:cs="宋体"/>
          <w:sz w:val="32"/>
          <w:szCs w:val="32"/>
        </w:rPr>
        <w:t>附则</w:t>
      </w:r>
    </w:p>
    <w:p w14:paraId="2815B7DD">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rPr>
        <w:t>第二十</w:t>
      </w:r>
      <w:r>
        <w:rPr>
          <w:rFonts w:hint="eastAsia" w:ascii="FangSong_GB2312" w:hAnsi="FangSong_GB2312" w:eastAsia="FangSong_GB2312" w:cs="宋体"/>
          <w:b/>
          <w:bCs/>
          <w:sz w:val="32"/>
          <w:szCs w:val="32"/>
          <w:lang w:eastAsia="zh-CN"/>
        </w:rPr>
        <w:t>五</w:t>
      </w:r>
      <w:r>
        <w:rPr>
          <w:rFonts w:hint="eastAsia" w:ascii="FangSong_GB2312" w:hAnsi="FangSong_GB2312" w:eastAsia="FangSong_GB2312" w:cs="宋体"/>
          <w:b/>
          <w:bCs/>
          <w:sz w:val="32"/>
          <w:szCs w:val="32"/>
        </w:rPr>
        <w:t>条</w:t>
      </w:r>
      <w:r>
        <w:rPr>
          <w:rFonts w:hint="eastAsia" w:ascii="FangSong_GB2312" w:hAnsi="FangSong_GB2312" w:eastAsia="FangSong_GB2312"/>
          <w:sz w:val="32"/>
          <w:szCs w:val="32"/>
        </w:rPr>
        <w:t xml:space="preserve"> </w:t>
      </w:r>
      <w:r>
        <w:rPr>
          <w:rFonts w:hint="eastAsia" w:ascii="FangSong_GB2312" w:hAnsi="FangSong_GB2312" w:eastAsia="FangSong_GB2312" w:cs="宋体"/>
          <w:sz w:val="32"/>
          <w:szCs w:val="32"/>
        </w:rPr>
        <w:t>本办法由财务办公室负责解释。</w:t>
      </w:r>
    </w:p>
    <w:p w14:paraId="643B748C">
      <w:pPr>
        <w:widowControl w:val="0"/>
        <w:spacing w:line="560" w:lineRule="exact"/>
        <w:ind w:firstLine="643" w:firstLineChars="200"/>
        <w:rPr>
          <w:rFonts w:hint="eastAsia" w:ascii="FangSong_GB2312" w:hAnsi="FangSong_GB2312" w:eastAsia="FangSong_GB2312"/>
          <w:sz w:val="32"/>
          <w:szCs w:val="32"/>
        </w:rPr>
      </w:pPr>
      <w:r>
        <w:rPr>
          <w:rFonts w:hint="eastAsia" w:ascii="FangSong_GB2312" w:hAnsi="FangSong_GB2312" w:eastAsia="FangSong_GB2312" w:cs="宋体"/>
          <w:b/>
          <w:bCs/>
          <w:sz w:val="32"/>
          <w:szCs w:val="32"/>
        </w:rPr>
        <w:t>第二十</w:t>
      </w:r>
      <w:r>
        <w:rPr>
          <w:rFonts w:hint="eastAsia" w:ascii="FangSong_GB2312" w:hAnsi="FangSong_GB2312" w:eastAsia="FangSong_GB2312" w:cs="宋体"/>
          <w:b/>
          <w:bCs/>
          <w:sz w:val="32"/>
          <w:szCs w:val="32"/>
          <w:lang w:eastAsia="zh-CN"/>
        </w:rPr>
        <w:t>六</w:t>
      </w:r>
      <w:r>
        <w:rPr>
          <w:rFonts w:hint="eastAsia" w:ascii="FangSong_GB2312" w:hAnsi="FangSong_GB2312" w:eastAsia="FangSong_GB2312" w:cs="宋体"/>
          <w:b/>
          <w:bCs/>
          <w:sz w:val="32"/>
          <w:szCs w:val="32"/>
        </w:rPr>
        <w:t>条</w:t>
      </w:r>
      <w:r>
        <w:rPr>
          <w:rFonts w:hint="eastAsia" w:ascii="FangSong_GB2312" w:hAnsi="FangSong_GB2312" w:eastAsia="FangSong_GB2312"/>
          <w:sz w:val="32"/>
          <w:szCs w:val="32"/>
        </w:rPr>
        <w:t xml:space="preserve"> </w:t>
      </w:r>
      <w:r>
        <w:rPr>
          <w:rFonts w:hint="eastAsia" w:ascii="FangSong_GB2312" w:hAnsi="FangSong_GB2312" w:eastAsia="FangSong_GB2312" w:cs="宋体"/>
          <w:sz w:val="32"/>
          <w:szCs w:val="32"/>
        </w:rPr>
        <w:t>本办法自公布之日起施行。</w:t>
      </w:r>
    </w:p>
    <w:sectPr>
      <w:footerReference r:id="rId3" w:type="default"/>
      <w:pgSz w:w="11907" w:h="16839"/>
      <w:pgMar w:top="1440" w:right="1689" w:bottom="1440" w:left="1689" w:header="0"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96A71">
    <w:pPr>
      <w:pStyle w:val="3"/>
      <w:spacing w:line="240" w:lineRule="exact"/>
      <w:ind w:left="0"/>
      <w:rPr>
        <w:rFonts w:hint="eastAsia"/>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3AA74">
                          <w:pPr>
                            <w:pStyle w:val="4"/>
                            <w:rPr>
                              <w:rFonts w:ascii="Times New Roman Regular" w:hAnsi="Times New Roman Regular" w:cs="Times New Roman Regular"/>
                              <w:sz w:val="21"/>
                            </w:rPr>
                          </w:pPr>
                          <w:r>
                            <w:rPr>
                              <w:rFonts w:ascii="Times New Roman Regular" w:hAnsi="Times New Roman Regular" w:cs="Times New Roman Regular"/>
                              <w:sz w:val="21"/>
                            </w:rPr>
                            <w:t xml:space="preserve">— </w:t>
                          </w:r>
                          <w:r>
                            <w:rPr>
                              <w:rFonts w:ascii="Times New Roman Regular" w:hAnsi="Times New Roman Regular" w:cs="Times New Roman Regular"/>
                              <w:sz w:val="21"/>
                            </w:rPr>
                            <w:fldChar w:fldCharType="begin"/>
                          </w:r>
                          <w:r>
                            <w:rPr>
                              <w:rFonts w:ascii="Times New Roman Regular" w:hAnsi="Times New Roman Regular" w:cs="Times New Roman Regular"/>
                              <w:sz w:val="21"/>
                            </w:rPr>
                            <w:instrText xml:space="preserve"> PAGE  \* MERGEFORMAT </w:instrText>
                          </w:r>
                          <w:r>
                            <w:rPr>
                              <w:rFonts w:ascii="Times New Roman Regular" w:hAnsi="Times New Roman Regular" w:cs="Times New Roman Regular"/>
                              <w:sz w:val="21"/>
                            </w:rPr>
                            <w:fldChar w:fldCharType="separate"/>
                          </w:r>
                          <w:r>
                            <w:rPr>
                              <w:rFonts w:ascii="Times New Roman Regular" w:hAnsi="Times New Roman Regular" w:cs="Times New Roman Regular"/>
                              <w:sz w:val="21"/>
                            </w:rPr>
                            <w:t>1</w:t>
                          </w:r>
                          <w:r>
                            <w:rPr>
                              <w:rFonts w:ascii="Times New Roman Regular" w:hAnsi="Times New Roman Regular" w:cs="Times New Roman Regular"/>
                              <w:sz w:val="21"/>
                            </w:rPr>
                            <w:fldChar w:fldCharType="end"/>
                          </w:r>
                          <w:r>
                            <w:rPr>
                              <w:rFonts w:ascii="Times New Roman Regular" w:hAnsi="Times New Roman Regular" w:cs="Times New Roman Regular"/>
                              <w:sz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313AA74">
                    <w:pPr>
                      <w:pStyle w:val="4"/>
                      <w:rPr>
                        <w:rFonts w:ascii="Times New Roman Regular" w:hAnsi="Times New Roman Regular" w:cs="Times New Roman Regular"/>
                        <w:sz w:val="21"/>
                      </w:rPr>
                    </w:pPr>
                    <w:r>
                      <w:rPr>
                        <w:rFonts w:ascii="Times New Roman Regular" w:hAnsi="Times New Roman Regular" w:cs="Times New Roman Regular"/>
                        <w:sz w:val="21"/>
                      </w:rPr>
                      <w:t xml:space="preserve">— </w:t>
                    </w:r>
                    <w:r>
                      <w:rPr>
                        <w:rFonts w:ascii="Times New Roman Regular" w:hAnsi="Times New Roman Regular" w:cs="Times New Roman Regular"/>
                        <w:sz w:val="21"/>
                      </w:rPr>
                      <w:fldChar w:fldCharType="begin"/>
                    </w:r>
                    <w:r>
                      <w:rPr>
                        <w:rFonts w:ascii="Times New Roman Regular" w:hAnsi="Times New Roman Regular" w:cs="Times New Roman Regular"/>
                        <w:sz w:val="21"/>
                      </w:rPr>
                      <w:instrText xml:space="preserve"> PAGE  \* MERGEFORMAT </w:instrText>
                    </w:r>
                    <w:r>
                      <w:rPr>
                        <w:rFonts w:ascii="Times New Roman Regular" w:hAnsi="Times New Roman Regular" w:cs="Times New Roman Regular"/>
                        <w:sz w:val="21"/>
                      </w:rPr>
                      <w:fldChar w:fldCharType="separate"/>
                    </w:r>
                    <w:r>
                      <w:rPr>
                        <w:rFonts w:ascii="Times New Roman Regular" w:hAnsi="Times New Roman Regular" w:cs="Times New Roman Regular"/>
                        <w:sz w:val="21"/>
                      </w:rPr>
                      <w:t>1</w:t>
                    </w:r>
                    <w:r>
                      <w:rPr>
                        <w:rFonts w:ascii="Times New Roman Regular" w:hAnsi="Times New Roman Regular" w:cs="Times New Roman Regular"/>
                        <w:sz w:val="21"/>
                      </w:rPr>
                      <w:fldChar w:fldCharType="end"/>
                    </w:r>
                    <w:r>
                      <w:rPr>
                        <w:rFonts w:ascii="Times New Roman Regular" w:hAnsi="Times New Roman Regular" w:cs="Times New Roman Regular"/>
                        <w:sz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8E2346"/>
    <w:rsid w:val="0001111C"/>
    <w:rsid w:val="00360E24"/>
    <w:rsid w:val="005C417B"/>
    <w:rsid w:val="00884234"/>
    <w:rsid w:val="008E2346"/>
    <w:rsid w:val="00CB45FC"/>
    <w:rsid w:val="07566300"/>
    <w:rsid w:val="0B1D7995"/>
    <w:rsid w:val="23D90B00"/>
    <w:rsid w:val="26B32180"/>
    <w:rsid w:val="2AB70C30"/>
    <w:rsid w:val="2CE13D42"/>
    <w:rsid w:val="2E964A19"/>
    <w:rsid w:val="310B3C5E"/>
    <w:rsid w:val="3812489B"/>
    <w:rsid w:val="3FB52D16"/>
    <w:rsid w:val="3FB56B6A"/>
    <w:rsid w:val="401C2EDB"/>
    <w:rsid w:val="443B59E5"/>
    <w:rsid w:val="533C1B78"/>
    <w:rsid w:val="541419F8"/>
    <w:rsid w:val="587A4EC7"/>
    <w:rsid w:val="5BCB7214"/>
    <w:rsid w:val="5F9C013F"/>
    <w:rsid w:val="5FFC5072"/>
    <w:rsid w:val="627662A0"/>
    <w:rsid w:val="643C189A"/>
    <w:rsid w:val="65647607"/>
    <w:rsid w:val="66B22C0C"/>
    <w:rsid w:val="709C1A26"/>
    <w:rsid w:val="70D7130B"/>
    <w:rsid w:val="731B2CE2"/>
    <w:rsid w:val="73F95B7C"/>
    <w:rsid w:val="751F2C26"/>
    <w:rsid w:val="79044C09"/>
    <w:rsid w:val="7AFD5506"/>
    <w:rsid w:val="DFBB6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style>
  <w:style w:type="paragraph" w:styleId="3">
    <w:name w:val="Body Text"/>
    <w:basedOn w:val="1"/>
    <w:semiHidden/>
    <w:qFormat/>
    <w:uiPriority w:val="0"/>
    <w:rPr>
      <w:rFonts w:ascii="宋体" w:hAnsi="宋体" w:eastAsia="宋体" w:cs="宋体"/>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annotation subject"/>
    <w:basedOn w:val="2"/>
    <w:next w:val="2"/>
    <w:link w:val="14"/>
    <w:qFormat/>
    <w:uiPriority w:val="0"/>
    <w:rPr>
      <w:b/>
      <w:bCs/>
    </w:rPr>
  </w:style>
  <w:style w:type="character" w:styleId="9">
    <w:name w:val="Hyperlink"/>
    <w:basedOn w:val="8"/>
    <w:qFormat/>
    <w:uiPriority w:val="0"/>
    <w:rPr>
      <w:color w:val="0000FF" w:themeColor="hyperlink"/>
      <w:u w:val="single"/>
      <w14:textFill>
        <w14:solidFill>
          <w14:schemeClr w14:val="hlink"/>
        </w14:solidFill>
      </w14:textFill>
    </w:rPr>
  </w:style>
  <w:style w:type="character" w:styleId="10">
    <w:name w:val="annotation reference"/>
    <w:basedOn w:val="8"/>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Revision"/>
    <w:hidden/>
    <w:unhideWhenUsed/>
    <w:qFormat/>
    <w:uiPriority w:val="99"/>
    <w:rPr>
      <w:rFonts w:ascii="Arial" w:hAnsi="Arial" w:eastAsia="Arial" w:cs="Arial"/>
      <w:snapToGrid w:val="0"/>
      <w:color w:val="000000"/>
      <w:sz w:val="21"/>
      <w:szCs w:val="21"/>
      <w:lang w:val="en-US" w:eastAsia="en-US" w:bidi="ar-SA"/>
    </w:rPr>
  </w:style>
  <w:style w:type="character" w:customStyle="1" w:styleId="13">
    <w:name w:val="批注文字 字符"/>
    <w:basedOn w:val="8"/>
    <w:link w:val="2"/>
    <w:qFormat/>
    <w:uiPriority w:val="0"/>
    <w:rPr>
      <w:rFonts w:ascii="Arial" w:hAnsi="Arial" w:eastAsia="Arial" w:cs="Arial"/>
      <w:snapToGrid w:val="0"/>
      <w:color w:val="000000"/>
      <w:sz w:val="21"/>
      <w:szCs w:val="21"/>
      <w:lang w:eastAsia="en-US"/>
    </w:rPr>
  </w:style>
  <w:style w:type="character" w:customStyle="1" w:styleId="14">
    <w:name w:val="批注主题 字符"/>
    <w:basedOn w:val="13"/>
    <w:link w:val="6"/>
    <w:qFormat/>
    <w:uiPriority w:val="0"/>
    <w:rPr>
      <w:rFonts w:ascii="Arial" w:hAnsi="Arial" w:eastAsia="Arial" w:cs="Arial"/>
      <w:b/>
      <w:bCs/>
      <w:snapToGrid w:val="0"/>
      <w:color w:val="000000"/>
      <w:sz w:val="21"/>
      <w:szCs w:val="2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3021</Words>
  <Characters>3046</Characters>
  <Lines>81</Lines>
  <Paragraphs>64</Paragraphs>
  <TotalTime>3</TotalTime>
  <ScaleCrop>false</ScaleCrop>
  <LinksUpToDate>false</LinksUpToDate>
  <CharactersWithSpaces>3089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2025-03-14T06:41:00Z</dcterms:created>
  <dc:creator>dell780</dc:creator>
  <cp:lastModifiedBy>maojie</cp:lastModifiedBy>
  <dcterms:modified xsi:type="dcterms:W3CDTF">2026-02-10T11:41:28Z</dcterms:modified>
  <dc:title>第一篇  国家规章制度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2025-10-21T16:08:44Z</vt:filetime>
  </property>
  <property fmtid="{D5CDD505-2E9C-101B-9397-08002B2CF9AE}" pid="4" name="KSOTemplateDocerSaveRecord">
    <vt:lpwstr>eyJoZGlkIjoiM2M1MTExOWE5ZGVmNzcwM2FhZDgzMTI4OGU2OGRiOWMiLCJ1c2VySWQiOiIyNDk0NzU3ODcifQ==</vt:lpwstr>
  </property>
  <property fmtid="{D5CDD505-2E9C-101B-9397-08002B2CF9AE}" pid="5" name="KSOProductBuildVer">
    <vt:lpwstr>2052-12.1.0.25225</vt:lpwstr>
  </property>
  <property fmtid="{D5CDD505-2E9C-101B-9397-08002B2CF9AE}" pid="6" name="ICV">
    <vt:lpwstr>31CC4891521445D68D9AC2BF4F6C5037_12</vt:lpwstr>
  </property>
</Properties>
</file>