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_GB2312" w:eastAsia="仿宋_GB2312"/>
          <w:sz w:val="32"/>
          <w:szCs w:val="32"/>
          <w:shd w:val="clear" w:color="auto" w:fill="auto"/>
          <w:lang w:val="en-US" w:eastAsia="zh-CN"/>
        </w:rPr>
      </w:pPr>
      <w:bookmarkStart w:id="1" w:name="_GoBack"/>
      <w:bookmarkEnd w:id="1"/>
      <w:r>
        <w:rPr>
          <w:rFonts w:hint="eastAsia" w:ascii="仿宋_GB2312" w:eastAsia="仿宋_GB2312"/>
          <w:sz w:val="32"/>
          <w:szCs w:val="32"/>
          <w:shd w:val="clear" w:color="auto" w:fill="auto"/>
        </w:rPr>
        <w:t>清深国院规〔20</w:t>
      </w:r>
      <w:r>
        <w:rPr>
          <w:rFonts w:ascii="仿宋_GB2312" w:eastAsia="仿宋_GB2312"/>
          <w:sz w:val="32"/>
          <w:szCs w:val="32"/>
          <w:shd w:val="clear" w:color="auto" w:fill="auto"/>
        </w:rPr>
        <w:t>2</w:t>
      </w:r>
      <w:r>
        <w:rPr>
          <w:rFonts w:hint="default" w:ascii="仿宋_GB2312" w:eastAsia="仿宋_GB2312"/>
          <w:sz w:val="32"/>
          <w:szCs w:val="32"/>
          <w:shd w:val="clear" w:color="auto" w:fill="auto"/>
        </w:rPr>
        <w:t>3</w:t>
      </w:r>
      <w:r>
        <w:rPr>
          <w:rFonts w:hint="eastAsia" w:ascii="仿宋_GB2312" w:eastAsia="仿宋_GB2312"/>
          <w:sz w:val="32"/>
          <w:szCs w:val="32"/>
          <w:shd w:val="clear" w:color="auto" w:fill="auto"/>
        </w:rPr>
        <w:t>〕</w:t>
      </w:r>
      <w:r>
        <w:rPr>
          <w:rFonts w:hint="eastAsia" w:ascii="仿宋_GB2312" w:eastAsia="仿宋_GB2312"/>
          <w:sz w:val="32"/>
          <w:szCs w:val="32"/>
          <w:shd w:val="clear" w:color="auto" w:fill="auto"/>
          <w:lang w:val="en-US" w:eastAsia="zh-CN"/>
        </w:rPr>
        <w:t>17</w:t>
      </w:r>
      <w:r>
        <w:rPr>
          <w:rFonts w:hint="eastAsia" w:ascii="仿宋_GB2312" w:eastAsia="仿宋_GB2312"/>
          <w:sz w:val="32"/>
          <w:szCs w:val="32"/>
          <w:shd w:val="clear" w:color="auto" w:fill="auto"/>
        </w:rPr>
        <w:t>号        签发：</w:t>
      </w:r>
      <w:r>
        <w:rPr>
          <w:rFonts w:hint="eastAsia" w:ascii="仿宋_GB2312" w:eastAsia="仿宋_GB2312"/>
          <w:sz w:val="32"/>
          <w:szCs w:val="32"/>
          <w:shd w:val="clear" w:color="auto" w:fill="auto"/>
          <w:lang w:val="en-US" w:eastAsia="zh-CN"/>
        </w:rPr>
        <w:t>欧阳证</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aps w:val="0"/>
          <w:color w:val="000000"/>
          <w:spacing w:val="0"/>
          <w:kern w:val="0"/>
          <w:sz w:val="36"/>
          <w:szCs w:val="36"/>
          <w:lang w:val="en-US" w:eastAsia="zh-CN" w:bidi="ar"/>
        </w:rPr>
      </w:pPr>
      <w:r>
        <w:rPr>
          <w:rFonts w:hint="eastAsia" w:ascii="方正小标宋简体" w:hAnsi="方正小标宋简体" w:eastAsia="方正小标宋简体" w:cs="方正小标宋简体"/>
          <w:caps w:val="0"/>
          <w:color w:val="000000"/>
          <w:spacing w:val="0"/>
          <w:kern w:val="0"/>
          <w:sz w:val="36"/>
          <w:szCs w:val="36"/>
          <w:lang w:val="en-US" w:eastAsia="zh-CN" w:bidi="ar"/>
        </w:rPr>
        <w:t> </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caps w:val="0"/>
          <w:color w:val="000000"/>
          <w:spacing w:val="0"/>
          <w:kern w:val="0"/>
          <w:sz w:val="36"/>
          <w:szCs w:val="36"/>
          <w:lang w:val="en-US" w:eastAsia="zh-CN" w:bidi="ar"/>
        </w:rPr>
        <w:t>清华大学深圳国际研究生院固定资产清查实施细则</w:t>
      </w:r>
    </w:p>
    <w:p>
      <w:pPr>
        <w:shd w:val="clear"/>
        <w:adjustRightInd w:val="0"/>
        <w:snapToGrid w:val="0"/>
        <w:spacing w:line="560" w:lineRule="exact"/>
        <w:ind w:right="-227" w:rightChars="-108"/>
        <w:jc w:val="center"/>
        <w:rPr>
          <w:rFonts w:ascii="Times New Roman Regular" w:hAnsi="Times New Roman Regular" w:eastAsia="仿宋_GB2312" w:cs="Times New Roman Regular"/>
          <w:color w:val="000000"/>
          <w:kern w:val="0"/>
          <w:sz w:val="28"/>
          <w:szCs w:val="28"/>
        </w:rPr>
      </w:pPr>
      <w:bookmarkStart w:id="0" w:name="_Hlk85197994"/>
      <w:r>
        <w:rPr>
          <w:rFonts w:ascii="Times New Roman Regular" w:hAnsi="Times New Roman Regular" w:eastAsia="仿宋_GB2312" w:cs="Times New Roman Regular"/>
          <w:color w:val="000000"/>
          <w:kern w:val="0"/>
          <w:sz w:val="28"/>
          <w:szCs w:val="28"/>
        </w:rPr>
        <w:t>二</w:t>
      </w:r>
      <w:r>
        <w:rPr>
          <w:rFonts w:hint="eastAsia" w:ascii="仿宋_GB2312" w:hAnsi="仿宋_GB2312" w:eastAsia="仿宋_GB2312" w:cs="仿宋_GB2312"/>
          <w:i w:val="0"/>
          <w:iCs w:val="0"/>
          <w:caps w:val="0"/>
          <w:color w:val="000000"/>
          <w:spacing w:val="0"/>
          <w:kern w:val="0"/>
          <w:sz w:val="28"/>
          <w:szCs w:val="28"/>
          <w:shd w:val="clear" w:fill="auto"/>
          <w:lang w:bidi="ar"/>
        </w:rPr>
        <w:t>〇</w:t>
      </w:r>
      <w:r>
        <w:rPr>
          <w:rFonts w:ascii="Times New Roman Regular" w:hAnsi="Times New Roman Regular" w:eastAsia="仿宋_GB2312" w:cs="Times New Roman Regular"/>
          <w:color w:val="000000"/>
          <w:kern w:val="0"/>
          <w:sz w:val="28"/>
          <w:szCs w:val="28"/>
        </w:rPr>
        <w:t>一八年第十二次党政联席会议（2018年12月10日）</w:t>
      </w:r>
      <w:r>
        <w:rPr>
          <w:rFonts w:hint="eastAsia" w:ascii="Times New Roman Regular" w:hAnsi="Times New Roman Regular" w:eastAsia="仿宋_GB2312" w:cs="Times New Roman Regular"/>
          <w:color w:val="000000"/>
          <w:kern w:val="0"/>
          <w:sz w:val="28"/>
          <w:szCs w:val="28"/>
          <w:lang w:val="en-US" w:eastAsia="zh-CN"/>
        </w:rPr>
        <w:t>审议</w:t>
      </w:r>
      <w:r>
        <w:rPr>
          <w:rFonts w:ascii="Times New Roman Regular" w:hAnsi="Times New Roman Regular" w:eastAsia="仿宋_GB2312" w:cs="Times New Roman Regular"/>
          <w:color w:val="000000"/>
          <w:kern w:val="0"/>
          <w:sz w:val="28"/>
          <w:szCs w:val="28"/>
        </w:rPr>
        <w:t>通过</w:t>
      </w:r>
    </w:p>
    <w:p>
      <w:pPr>
        <w:shd w:val="clear"/>
        <w:adjustRightInd w:val="0"/>
        <w:snapToGrid w:val="0"/>
        <w:spacing w:line="560" w:lineRule="exact"/>
        <w:ind w:right="-227" w:rightChars="-108"/>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sz w:val="28"/>
          <w:szCs w:val="28"/>
        </w:rPr>
        <w:t>二</w:t>
      </w:r>
      <w:r>
        <w:rPr>
          <w:rFonts w:hint="eastAsia" w:ascii="仿宋_GB2312" w:hAnsi="仿宋_GB2312" w:eastAsia="仿宋_GB2312" w:cs="仿宋_GB2312"/>
          <w:i w:val="0"/>
          <w:iCs w:val="0"/>
          <w:caps w:val="0"/>
          <w:color w:val="000000"/>
          <w:spacing w:val="0"/>
          <w:kern w:val="0"/>
          <w:sz w:val="28"/>
          <w:szCs w:val="28"/>
          <w:shd w:val="clear" w:fill="auto"/>
          <w:lang w:bidi="ar"/>
        </w:rPr>
        <w:t>〇</w:t>
      </w:r>
      <w:r>
        <w:rPr>
          <w:rFonts w:ascii="Times New Roman Regular" w:hAnsi="Times New Roman Regular" w:eastAsia="仿宋_GB2312" w:cs="Times New Roman Regular"/>
          <w:sz w:val="28"/>
          <w:szCs w:val="28"/>
        </w:rPr>
        <w:t>二一年第三十一次院务会（2021年11月29日）</w:t>
      </w:r>
      <w:bookmarkEnd w:id="0"/>
      <w:r>
        <w:rPr>
          <w:rFonts w:hint="eastAsia" w:ascii="Times New Roman Regular" w:hAnsi="Times New Roman Regular" w:eastAsia="仿宋_GB2312" w:cs="Times New Roman Regular"/>
          <w:sz w:val="28"/>
          <w:szCs w:val="28"/>
          <w:lang w:val="en-US" w:eastAsia="zh-CN"/>
        </w:rPr>
        <w:t>第一次</w:t>
      </w:r>
      <w:r>
        <w:rPr>
          <w:rFonts w:ascii="Times New Roman Regular" w:hAnsi="Times New Roman Regular" w:eastAsia="仿宋_GB2312" w:cs="Times New Roman Regular"/>
          <w:sz w:val="28"/>
          <w:szCs w:val="28"/>
        </w:rPr>
        <w:t>修订</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i w:val="0"/>
          <w:iCs w:val="0"/>
          <w:caps w:val="0"/>
          <w:color w:val="000000"/>
          <w:spacing w:val="0"/>
          <w:kern w:val="0"/>
          <w:sz w:val="28"/>
          <w:szCs w:val="28"/>
          <w:shd w:val="clear" w:fill="auto"/>
          <w:lang w:val="en-US" w:eastAsia="zh-CN" w:bidi="ar"/>
        </w:rPr>
      </w:pPr>
      <w:r>
        <w:rPr>
          <w:rFonts w:hint="eastAsia" w:ascii="仿宋_GB2312" w:hAnsi="仿宋_GB2312" w:eastAsia="仿宋_GB2312" w:cs="仿宋_GB2312"/>
          <w:i w:val="0"/>
          <w:iCs w:val="0"/>
          <w:caps w:val="0"/>
          <w:color w:val="000000"/>
          <w:spacing w:val="0"/>
          <w:kern w:val="0"/>
          <w:sz w:val="28"/>
          <w:szCs w:val="28"/>
          <w:shd w:val="clear" w:fill="auto"/>
          <w:lang w:bidi="ar"/>
        </w:rPr>
        <w:t>二〇二</w:t>
      </w:r>
      <w:r>
        <w:rPr>
          <w:rFonts w:hint="eastAsia" w:ascii="仿宋_GB2312" w:hAnsi="仿宋_GB2312" w:eastAsia="仿宋_GB2312" w:cs="仿宋_GB2312"/>
          <w:i w:val="0"/>
          <w:iCs w:val="0"/>
          <w:caps w:val="0"/>
          <w:color w:val="000000"/>
          <w:spacing w:val="0"/>
          <w:kern w:val="0"/>
          <w:sz w:val="28"/>
          <w:szCs w:val="28"/>
          <w:shd w:val="clear" w:fill="auto"/>
          <w:lang w:val="en-US" w:eastAsia="zh-CN" w:bidi="ar"/>
        </w:rPr>
        <w:t>三</w:t>
      </w:r>
      <w:r>
        <w:rPr>
          <w:rFonts w:hint="eastAsia" w:ascii="仿宋_GB2312" w:hAnsi="仿宋_GB2312" w:eastAsia="仿宋_GB2312" w:cs="仿宋_GB2312"/>
          <w:i w:val="0"/>
          <w:iCs w:val="0"/>
          <w:caps w:val="0"/>
          <w:color w:val="000000"/>
          <w:spacing w:val="0"/>
          <w:kern w:val="0"/>
          <w:sz w:val="28"/>
          <w:szCs w:val="28"/>
          <w:shd w:val="clear" w:fill="auto"/>
          <w:lang w:bidi="ar"/>
        </w:rPr>
        <w:t>年第</w:t>
      </w:r>
      <w:r>
        <w:rPr>
          <w:rFonts w:hint="eastAsia" w:ascii="仿宋_GB2312" w:hAnsi="仿宋_GB2312" w:eastAsia="仿宋_GB2312" w:cs="仿宋_GB2312"/>
          <w:i w:val="0"/>
          <w:iCs w:val="0"/>
          <w:caps w:val="0"/>
          <w:color w:val="000000"/>
          <w:spacing w:val="0"/>
          <w:kern w:val="0"/>
          <w:sz w:val="28"/>
          <w:szCs w:val="28"/>
          <w:shd w:val="clear" w:fill="auto"/>
          <w:lang w:val="en-US" w:eastAsia="zh-CN" w:bidi="ar"/>
        </w:rPr>
        <w:t>二十九</w:t>
      </w:r>
      <w:r>
        <w:rPr>
          <w:rFonts w:hint="eastAsia" w:ascii="仿宋_GB2312" w:hAnsi="仿宋_GB2312" w:eastAsia="仿宋_GB2312" w:cs="仿宋_GB2312"/>
          <w:i w:val="0"/>
          <w:iCs w:val="0"/>
          <w:caps w:val="0"/>
          <w:color w:val="000000"/>
          <w:spacing w:val="0"/>
          <w:kern w:val="0"/>
          <w:sz w:val="28"/>
          <w:szCs w:val="28"/>
          <w:shd w:val="clear" w:fill="auto"/>
          <w:lang w:bidi="ar"/>
        </w:rPr>
        <w:t>次院务会（</w:t>
      </w:r>
      <w:r>
        <w:rPr>
          <w:rFonts w:hint="eastAsia" w:ascii="仿宋_GB2312" w:hAnsi="仿宋_GB2312" w:eastAsia="仿宋_GB2312" w:cs="仿宋_GB2312"/>
          <w:i w:val="0"/>
          <w:iCs w:val="0"/>
          <w:caps w:val="0"/>
          <w:color w:val="000000"/>
          <w:spacing w:val="0"/>
          <w:kern w:val="0"/>
          <w:sz w:val="28"/>
          <w:szCs w:val="28"/>
          <w:shd w:val="clear" w:fill="auto"/>
          <w:lang w:val="en-US" w:eastAsia="zh-CN" w:bidi="ar"/>
        </w:rPr>
        <w:t>2023</w:t>
      </w:r>
      <w:r>
        <w:rPr>
          <w:rFonts w:hint="eastAsia" w:ascii="仿宋_GB2312" w:hAnsi="仿宋_GB2312" w:eastAsia="仿宋_GB2312" w:cs="仿宋_GB2312"/>
          <w:i w:val="0"/>
          <w:iCs w:val="0"/>
          <w:caps w:val="0"/>
          <w:color w:val="000000"/>
          <w:spacing w:val="0"/>
          <w:kern w:val="0"/>
          <w:sz w:val="28"/>
          <w:szCs w:val="28"/>
          <w:shd w:val="clear" w:fill="auto"/>
          <w:lang w:bidi="ar"/>
        </w:rPr>
        <w:t>年</w:t>
      </w:r>
      <w:r>
        <w:rPr>
          <w:rFonts w:hint="eastAsia" w:ascii="仿宋_GB2312" w:hAnsi="仿宋_GB2312" w:eastAsia="仿宋_GB2312" w:cs="仿宋_GB2312"/>
          <w:i w:val="0"/>
          <w:iCs w:val="0"/>
          <w:caps w:val="0"/>
          <w:color w:val="000000"/>
          <w:spacing w:val="0"/>
          <w:kern w:val="0"/>
          <w:sz w:val="28"/>
          <w:szCs w:val="28"/>
          <w:shd w:val="clear" w:fill="auto"/>
          <w:lang w:val="en-US" w:eastAsia="zh-CN" w:bidi="ar"/>
        </w:rPr>
        <w:t>12</w:t>
      </w:r>
      <w:r>
        <w:rPr>
          <w:rFonts w:hint="eastAsia" w:ascii="仿宋_GB2312" w:hAnsi="仿宋_GB2312" w:eastAsia="仿宋_GB2312" w:cs="仿宋_GB2312"/>
          <w:i w:val="0"/>
          <w:iCs w:val="0"/>
          <w:caps w:val="0"/>
          <w:color w:val="000000"/>
          <w:spacing w:val="0"/>
          <w:kern w:val="0"/>
          <w:sz w:val="28"/>
          <w:szCs w:val="28"/>
          <w:shd w:val="clear" w:fill="auto"/>
          <w:lang w:bidi="ar"/>
        </w:rPr>
        <w:t>月</w:t>
      </w:r>
      <w:r>
        <w:rPr>
          <w:rFonts w:hint="eastAsia" w:ascii="仿宋_GB2312" w:hAnsi="仿宋_GB2312" w:eastAsia="仿宋_GB2312" w:cs="仿宋_GB2312"/>
          <w:i w:val="0"/>
          <w:iCs w:val="0"/>
          <w:caps w:val="0"/>
          <w:color w:val="000000"/>
          <w:spacing w:val="0"/>
          <w:kern w:val="0"/>
          <w:sz w:val="28"/>
          <w:szCs w:val="28"/>
          <w:shd w:val="clear" w:fill="auto"/>
          <w:lang w:val="en-US" w:eastAsia="zh-CN" w:bidi="ar"/>
        </w:rPr>
        <w:t>4</w:t>
      </w:r>
      <w:r>
        <w:rPr>
          <w:rFonts w:hint="eastAsia" w:ascii="仿宋_GB2312" w:hAnsi="仿宋_GB2312" w:eastAsia="仿宋_GB2312" w:cs="仿宋_GB2312"/>
          <w:i w:val="0"/>
          <w:iCs w:val="0"/>
          <w:caps w:val="0"/>
          <w:color w:val="000000"/>
          <w:spacing w:val="0"/>
          <w:kern w:val="0"/>
          <w:sz w:val="28"/>
          <w:szCs w:val="28"/>
          <w:shd w:val="clear" w:fill="auto"/>
          <w:lang w:bidi="ar"/>
        </w:rPr>
        <w:t>日）</w:t>
      </w:r>
      <w:r>
        <w:rPr>
          <w:rFonts w:hint="eastAsia" w:ascii="仿宋_GB2312" w:hAnsi="仿宋_GB2312" w:eastAsia="仿宋_GB2312" w:cs="仿宋_GB2312"/>
          <w:i w:val="0"/>
          <w:iCs w:val="0"/>
          <w:caps w:val="0"/>
          <w:color w:val="000000"/>
          <w:spacing w:val="0"/>
          <w:kern w:val="0"/>
          <w:sz w:val="28"/>
          <w:szCs w:val="28"/>
          <w:shd w:val="clear" w:fill="auto"/>
          <w:lang w:val="en-US" w:eastAsia="zh-CN" w:bidi="ar"/>
        </w:rPr>
        <w:t>第二次修订</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i w:val="0"/>
          <w:iCs w:val="0"/>
          <w:caps w:val="0"/>
          <w:color w:val="000000"/>
          <w:spacing w:val="0"/>
          <w:kern w:val="0"/>
          <w:sz w:val="28"/>
          <w:szCs w:val="28"/>
          <w:shd w:val="clear" w:fill="auto"/>
          <w:lang w:val="en-US" w:eastAsia="zh-CN" w:bidi="ar"/>
        </w:rPr>
      </w:pP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b w:val="0"/>
          <w:bCs w:val="0"/>
          <w:sz w:val="32"/>
          <w:szCs w:val="32"/>
        </w:rPr>
      </w:pPr>
      <w:r>
        <w:rPr>
          <w:rFonts w:hint="eastAsia" w:ascii="黑体" w:hAnsi="黑体" w:eastAsia="黑体" w:cs="黑体"/>
          <w:b w:val="0"/>
          <w:bCs w:val="0"/>
          <w:caps w:val="0"/>
          <w:color w:val="000000"/>
          <w:spacing w:val="0"/>
          <w:kern w:val="0"/>
          <w:sz w:val="32"/>
          <w:szCs w:val="32"/>
          <w:shd w:val="clear" w:fill="FFFFFF"/>
          <w:lang w:val="en-US" w:eastAsia="zh-CN" w:bidi="ar"/>
        </w:rPr>
        <w:t>第一章 总则</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第一条</w:t>
      </w:r>
      <w:r>
        <w:rPr>
          <w:rFonts w:hint="eastAsia" w:ascii="仿宋_GB2312" w:hAnsi="仿宋_GB2312" w:eastAsia="仿宋_GB2312" w:cs="仿宋_GB2312"/>
          <w:caps w:val="0"/>
          <w:color w:val="000000"/>
          <w:spacing w:val="0"/>
          <w:kern w:val="0"/>
          <w:sz w:val="32"/>
          <w:szCs w:val="32"/>
          <w:shd w:val="clear" w:fill="FFFFFF"/>
          <w:lang w:val="en-US" w:eastAsia="zh-CN" w:bidi="ar"/>
        </w:rPr>
        <w:t> 为加强清华大学深圳国际研究生院（以下简称“学院”）固定资产管理，规范固定资产清查工作程序，真实反映学院的固定资产状况，提高固定资产使用效益，根据《行政事业单位资产清查核实管理办法》（财资〔2016〕1号）、《</w:t>
      </w:r>
      <w:r>
        <w:rPr>
          <w:rStyle w:val="7"/>
          <w:rFonts w:hint="eastAsia" w:ascii="仿宋_GB2312" w:hAnsi="仿宋_GB2312" w:eastAsia="仿宋_GB2312" w:cs="仿宋_GB2312"/>
          <w:i w:val="0"/>
          <w:iCs w:val="0"/>
          <w:caps w:val="0"/>
          <w:color w:val="000000"/>
          <w:spacing w:val="0"/>
          <w:kern w:val="0"/>
          <w:sz w:val="32"/>
          <w:szCs w:val="32"/>
          <w:u w:val="none"/>
          <w:shd w:val="clear" w:fill="FFFFFF"/>
          <w:lang w:bidi="ar"/>
        </w:rPr>
        <w:t>政府会计准则第3号——固定资产</w:t>
      </w:r>
      <w:r>
        <w:rPr>
          <w:rFonts w:hint="eastAsia" w:ascii="仿宋_GB2312" w:hAnsi="仿宋_GB2312" w:eastAsia="仿宋_GB2312" w:cs="仿宋_GB2312"/>
          <w:caps w:val="0"/>
          <w:color w:val="000000"/>
          <w:spacing w:val="0"/>
          <w:kern w:val="0"/>
          <w:sz w:val="32"/>
          <w:szCs w:val="32"/>
          <w:shd w:val="clear" w:fill="FFFFFF"/>
          <w:lang w:val="en-US" w:eastAsia="zh-CN" w:bidi="ar"/>
        </w:rPr>
        <w:t>》《深圳市行政事业性国有资产管理办法》（深府办〔2022〕5号）、《清华大学固定资产管理规定》（清校发〔2021〕54号）、《清华大学深圳国际研究生院固定资产管理规定》，结合学院实际情况，制定本实施细则。</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第二条 </w:t>
      </w:r>
      <w:r>
        <w:rPr>
          <w:rFonts w:hint="eastAsia" w:ascii="仿宋_GB2312" w:hAnsi="仿宋_GB2312" w:eastAsia="仿宋_GB2312" w:cs="仿宋_GB2312"/>
          <w:caps w:val="0"/>
          <w:color w:val="000000"/>
          <w:spacing w:val="0"/>
          <w:kern w:val="0"/>
          <w:sz w:val="32"/>
          <w:szCs w:val="32"/>
          <w:shd w:val="clear" w:fill="FFFFFF"/>
          <w:lang w:val="en-US" w:eastAsia="zh-CN" w:bidi="ar"/>
        </w:rPr>
        <w:t>本细则所称固定资产清查，是指由学院发起的对各部门的固定资产进行资产盘点、资产账务清理，依法依规认定各项固定资产损溢，真实反映学院固定资产占有使用状况的工作。</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由上级部门要求或特定经济行为需要所包含的固定资产清查，可参照本细则执行，或按照相关规定、工作程序和方法执行。</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第三条 </w:t>
      </w:r>
      <w:r>
        <w:rPr>
          <w:rFonts w:hint="eastAsia" w:ascii="仿宋_GB2312" w:hAnsi="仿宋_GB2312" w:eastAsia="仿宋_GB2312" w:cs="仿宋_GB2312"/>
          <w:caps w:val="0"/>
          <w:color w:val="000000"/>
          <w:spacing w:val="0"/>
          <w:kern w:val="0"/>
          <w:sz w:val="32"/>
          <w:szCs w:val="32"/>
          <w:shd w:val="clear" w:fill="FFFFFF"/>
          <w:lang w:val="en-US" w:eastAsia="zh-CN" w:bidi="ar"/>
        </w:rPr>
        <w:t>本细则所称固定资产盘点，是指对固定资产进行实物清点，以确定固定资产在一定时期的实存数的工作。</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第四条</w:t>
      </w:r>
      <w:r>
        <w:rPr>
          <w:rFonts w:hint="eastAsia" w:ascii="仿宋_GB2312" w:hAnsi="仿宋_GB2312" w:eastAsia="仿宋_GB2312" w:cs="仿宋_GB2312"/>
          <w:caps w:val="0"/>
          <w:color w:val="000000"/>
          <w:spacing w:val="0"/>
          <w:kern w:val="0"/>
          <w:sz w:val="32"/>
          <w:szCs w:val="32"/>
          <w:shd w:val="clear" w:fill="FFFFFF"/>
          <w:lang w:val="en-US" w:eastAsia="zh-CN" w:bidi="ar"/>
        </w:rPr>
        <w:t> 固定资产清查应秉持“全面彻底、不重不漏、不虚报、不瞒报，账实相符”的原则。</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32"/>
          <w:szCs w:val="32"/>
        </w:rPr>
      </w:pPr>
      <w:r>
        <w:rPr>
          <w:rFonts w:hint="eastAsia" w:ascii="黑体" w:hAnsi="黑体" w:eastAsia="黑体" w:cs="黑体"/>
          <w:b w:val="0"/>
          <w:bCs w:val="0"/>
          <w:caps w:val="0"/>
          <w:color w:val="000000"/>
          <w:spacing w:val="0"/>
          <w:kern w:val="0"/>
          <w:sz w:val="32"/>
          <w:szCs w:val="32"/>
          <w:shd w:val="clear" w:fill="FFFFFF"/>
          <w:lang w:val="en-US" w:eastAsia="zh-CN" w:bidi="ar"/>
        </w:rPr>
        <w:t>第二章 管理机构及职责</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第五条</w:t>
      </w:r>
      <w:r>
        <w:rPr>
          <w:rFonts w:hint="eastAsia" w:ascii="仿宋_GB2312" w:hAnsi="仿宋_GB2312" w:eastAsia="仿宋_GB2312" w:cs="仿宋_GB2312"/>
          <w:caps w:val="0"/>
          <w:color w:val="000000"/>
          <w:spacing w:val="0"/>
          <w:kern w:val="0"/>
          <w:sz w:val="32"/>
          <w:szCs w:val="32"/>
          <w:shd w:val="clear" w:fill="FFFFFF"/>
          <w:lang w:val="en-US" w:eastAsia="zh-CN" w:bidi="ar"/>
        </w:rPr>
        <w:t> 学院各类固定资产的归口管理部门，负责组织归口管理资产的清查工作。其职责为：</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（一）明确归口管理资产的清查方式，制定清查实施方案并组织实施；</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（二）审核、汇总各部门提交的清查资料，编制清查报告报院国有资产管理委员会（以下简称“院国资委”）；</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aps w:val="0"/>
          <w:color w:val="000000"/>
          <w:spacing w:val="0"/>
          <w:kern w:val="0"/>
          <w:sz w:val="32"/>
          <w:szCs w:val="32"/>
          <w:shd w:val="clear" w:fill="FFFFFF"/>
          <w:lang w:val="en-US" w:eastAsia="zh-CN" w:bidi="ar"/>
        </w:rPr>
      </w:pPr>
      <w:r>
        <w:rPr>
          <w:rFonts w:hint="eastAsia" w:ascii="仿宋_GB2312" w:hAnsi="仿宋_GB2312" w:eastAsia="仿宋_GB2312" w:cs="仿宋_GB2312"/>
          <w:caps w:val="0"/>
          <w:color w:val="000000"/>
          <w:spacing w:val="0"/>
          <w:kern w:val="0"/>
          <w:sz w:val="32"/>
          <w:szCs w:val="32"/>
          <w:shd w:val="clear" w:fill="FFFFFF"/>
          <w:lang w:val="en-US" w:eastAsia="zh-CN" w:bidi="ar"/>
        </w:rPr>
        <w:t>（三）对损溢资产提出处置建议，通过院内规定的审批程序后，报上级部门审批；</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（四）通知使用部门责任人、财务部门执行损溢资产的处置；会同财务部门进行账务处理，调整损溢资产资产账；</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（五）分类整理清查资料，建立归口管理资产的清查档案资料库；</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（六）要求各使用部门每年至少完成一次本部门资产的清查，归口管理部门每年抽检复核使用部门的清查情况。</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第六条</w:t>
      </w:r>
      <w:r>
        <w:rPr>
          <w:rFonts w:hint="eastAsia" w:ascii="仿宋_GB2312" w:hAnsi="仿宋_GB2312" w:eastAsia="仿宋_GB2312" w:cs="仿宋_GB2312"/>
          <w:caps w:val="0"/>
          <w:color w:val="000000"/>
          <w:spacing w:val="0"/>
          <w:kern w:val="0"/>
          <w:sz w:val="32"/>
          <w:szCs w:val="32"/>
          <w:shd w:val="clear" w:fill="FFFFFF"/>
          <w:lang w:val="en-US" w:eastAsia="zh-CN" w:bidi="ar"/>
        </w:rPr>
        <w:t> 财务部门负责损溢资产资金帐的调整，收缴盘亏资产赔偿金。</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第七条</w:t>
      </w:r>
      <w:r>
        <w:rPr>
          <w:rFonts w:hint="eastAsia" w:ascii="仿宋_GB2312" w:hAnsi="仿宋_GB2312" w:eastAsia="仿宋_GB2312" w:cs="仿宋_GB2312"/>
          <w:caps w:val="0"/>
          <w:color w:val="000000"/>
          <w:spacing w:val="0"/>
          <w:kern w:val="0"/>
          <w:sz w:val="32"/>
          <w:szCs w:val="32"/>
          <w:shd w:val="clear" w:fill="FFFFFF"/>
          <w:lang w:val="en-US" w:eastAsia="zh-CN" w:bidi="ar"/>
        </w:rPr>
        <w:t> 资产使用部门资产主管负责人的职责为：</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（一）指定专人任本部门资产管理员负责资产清查的具体组织实施；</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aps w:val="0"/>
          <w:color w:val="000000"/>
          <w:spacing w:val="0"/>
          <w:kern w:val="0"/>
          <w:sz w:val="32"/>
          <w:szCs w:val="32"/>
          <w:shd w:val="clear" w:fill="FFFFFF"/>
          <w:lang w:val="en-US" w:eastAsia="zh-CN" w:bidi="ar"/>
        </w:rPr>
      </w:pPr>
      <w:r>
        <w:rPr>
          <w:rFonts w:hint="eastAsia" w:ascii="仿宋_GB2312" w:hAnsi="仿宋_GB2312" w:eastAsia="仿宋_GB2312" w:cs="仿宋_GB2312"/>
          <w:caps w:val="0"/>
          <w:color w:val="000000"/>
          <w:spacing w:val="0"/>
          <w:kern w:val="0"/>
          <w:sz w:val="32"/>
          <w:szCs w:val="32"/>
          <w:shd w:val="clear" w:fill="FFFFFF"/>
          <w:lang w:val="en-US" w:eastAsia="zh-CN" w:bidi="ar"/>
        </w:rPr>
        <w:t>（二）对本部门资产的清查结果审核确认；</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（三）组织盘亏资产的责任认定，并形成书面材料，报归口管理部门；</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（四）督促本部门固定资产领用人执行资产盘亏赔偿。</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第八条</w:t>
      </w:r>
      <w:r>
        <w:rPr>
          <w:rFonts w:hint="eastAsia" w:ascii="仿宋_GB2312" w:hAnsi="仿宋_GB2312" w:eastAsia="仿宋_GB2312" w:cs="仿宋_GB2312"/>
          <w:caps w:val="0"/>
          <w:color w:val="000000"/>
          <w:spacing w:val="0"/>
          <w:kern w:val="0"/>
          <w:sz w:val="32"/>
          <w:szCs w:val="32"/>
          <w:shd w:val="clear" w:fill="FFFFFF"/>
          <w:lang w:val="en-US" w:eastAsia="zh-CN" w:bidi="ar"/>
        </w:rPr>
        <w:t> 资产管理员的职责</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按照归口管理部门发布的清查方式、方案组织完成本部门固定资产清查，包括：</w:t>
      </w:r>
    </w:p>
    <w:p>
      <w:pPr>
        <w:keepNext w:val="0"/>
        <w:keepLines w:val="0"/>
        <w:pageBreakBefore w:val="0"/>
        <w:widowControl w:val="0"/>
        <w:numPr>
          <w:ilvl w:val="-1"/>
          <w:numId w:val="0"/>
        </w:numPr>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（一）组织本部门资产领用人按期完成自查，填报或审核本部门清查结果；</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（二）组织本部门更新资产管理系统内变动的资产信息，保障账实相符；</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（三）向归口管理部门上报部门自查结果。有损益资产的，还应线下提交资产盘亏申报表、资产盘盈申报表、盘亏资产责任认定书、盘亏资产情况说明及相关证明材料等纸质资料；</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（四）配合归口管理部门现场核查；</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（五）督促本部门固定资产领用人执行资产盘亏赔偿；</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（六）负责分类整理本部门清查资料，建立固定资产清查档案资料库等。</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第九条 </w:t>
      </w:r>
      <w:r>
        <w:rPr>
          <w:rFonts w:hint="eastAsia" w:ascii="仿宋_GB2312" w:hAnsi="仿宋_GB2312" w:eastAsia="仿宋_GB2312" w:cs="仿宋_GB2312"/>
          <w:caps w:val="0"/>
          <w:color w:val="000000"/>
          <w:spacing w:val="0"/>
          <w:kern w:val="0"/>
          <w:sz w:val="32"/>
          <w:szCs w:val="32"/>
          <w:shd w:val="clear" w:fill="FFFFFF"/>
          <w:lang w:val="en-US" w:eastAsia="zh-CN" w:bidi="ar"/>
        </w:rPr>
        <w:t>资产领用人的职责</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（一）完成本人领用固定资产的清查，对本人领用资产的清查结果负直接责任；</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（二）对本人盘亏、盘盈的资产提交情况说明并提供证明材料；</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（三）执行盘亏固定资产的赔偿。</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sz w:val="32"/>
          <w:szCs w:val="32"/>
        </w:rPr>
      </w:pPr>
      <w:r>
        <w:rPr>
          <w:rFonts w:hint="eastAsia" w:ascii="黑体" w:hAnsi="黑体" w:eastAsia="黑体" w:cs="黑体"/>
          <w:b w:val="0"/>
          <w:bCs w:val="0"/>
          <w:caps w:val="0"/>
          <w:color w:val="000000"/>
          <w:spacing w:val="0"/>
          <w:kern w:val="0"/>
          <w:sz w:val="32"/>
          <w:szCs w:val="32"/>
          <w:shd w:val="clear" w:fill="FFFFFF"/>
          <w:lang w:val="en-US" w:eastAsia="zh-CN" w:bidi="ar"/>
        </w:rPr>
        <w:t>第三章 固定资产清查的程序</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第十条 </w:t>
      </w:r>
      <w:r>
        <w:rPr>
          <w:rFonts w:hint="eastAsia" w:ascii="仿宋_GB2312" w:hAnsi="仿宋_GB2312" w:eastAsia="仿宋_GB2312" w:cs="仿宋_GB2312"/>
          <w:caps w:val="0"/>
          <w:color w:val="000000"/>
          <w:spacing w:val="0"/>
          <w:kern w:val="0"/>
          <w:sz w:val="32"/>
          <w:szCs w:val="32"/>
          <w:shd w:val="clear" w:fill="FFFFFF"/>
          <w:lang w:val="en-US" w:eastAsia="zh-CN" w:bidi="ar"/>
        </w:rPr>
        <w:t>归口管理部门确定清查方式及制定清查方案，包括：</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（一）确定盘点基准日；</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（二）清查工作相关责任人名单；</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leftChars="0" w:right="0" w:firstLine="64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caps w:val="0"/>
          <w:color w:val="000000"/>
          <w:spacing w:val="0"/>
          <w:kern w:val="0"/>
          <w:sz w:val="32"/>
          <w:szCs w:val="32"/>
          <w:shd w:val="clear" w:fill="FFFFFF"/>
          <w:lang w:val="en-US" w:eastAsia="zh-CN" w:bidi="ar"/>
        </w:rPr>
        <w:t>（三）明确清查方式，可线上通过资产管理系统开展或线下通过提交纸质资料开展。如线下开展，制定自查盘点单等清查资料的填报范本；</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（四）确定清查工作的流程及日程安排；</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（五）明确损溢资产的后续处置。</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caps w:val="0"/>
          <w:color w:val="000000"/>
          <w:spacing w:val="0"/>
          <w:kern w:val="0"/>
          <w:sz w:val="32"/>
          <w:szCs w:val="32"/>
          <w:shd w:val="clear" w:fill="FFFFFF"/>
          <w:lang w:val="en-US" w:eastAsia="zh-CN" w:bidi="ar"/>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第十一条</w:t>
      </w:r>
      <w:r>
        <w:rPr>
          <w:rFonts w:hint="eastAsia" w:ascii="仿宋_GB2312" w:hAnsi="仿宋_GB2312" w:eastAsia="仿宋_GB2312" w:cs="仿宋_GB2312"/>
          <w:caps w:val="0"/>
          <w:color w:val="000000"/>
          <w:spacing w:val="0"/>
          <w:kern w:val="0"/>
          <w:sz w:val="32"/>
          <w:szCs w:val="32"/>
          <w:shd w:val="clear" w:fill="FFFFFF"/>
          <w:lang w:val="en-US" w:eastAsia="zh-CN" w:bidi="ar"/>
        </w:rPr>
        <w:t> 归口管理部门组织开展固定资产清查，主要包括：</w:t>
      </w:r>
    </w:p>
    <w:p>
      <w:pPr>
        <w:keepNext w:val="0"/>
        <w:keepLines w:val="0"/>
        <w:pageBreakBefore w:val="0"/>
        <w:widowControl w:val="0"/>
        <w:numPr>
          <w:ilvl w:val="0"/>
          <w:numId w:val="1"/>
        </w:numPr>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caps w:val="0"/>
          <w:color w:val="000000"/>
          <w:spacing w:val="0"/>
          <w:kern w:val="0"/>
          <w:sz w:val="32"/>
          <w:szCs w:val="32"/>
          <w:shd w:val="clear" w:fill="FFFFFF"/>
          <w:lang w:val="en-US" w:eastAsia="zh-CN" w:bidi="ar"/>
        </w:rPr>
      </w:pPr>
      <w:r>
        <w:rPr>
          <w:rFonts w:hint="eastAsia" w:ascii="仿宋_GB2312" w:hAnsi="仿宋_GB2312" w:eastAsia="仿宋_GB2312" w:cs="仿宋_GB2312"/>
          <w:caps w:val="0"/>
          <w:color w:val="000000"/>
          <w:spacing w:val="0"/>
          <w:kern w:val="0"/>
          <w:sz w:val="32"/>
          <w:szCs w:val="32"/>
          <w:shd w:val="clear" w:fill="FFFFFF"/>
          <w:lang w:val="en-US" w:eastAsia="zh-CN" w:bidi="ar"/>
        </w:rPr>
        <w:t>归口管理部门发送通知，部署清查工作，安排相关培训。</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caps w:val="0"/>
          <w:color w:val="000000"/>
          <w:spacing w:val="0"/>
          <w:kern w:val="0"/>
          <w:sz w:val="32"/>
          <w:szCs w:val="32"/>
          <w:shd w:val="clear" w:fill="FFFFFF"/>
          <w:lang w:val="en-US" w:eastAsia="zh-CN" w:bidi="ar"/>
        </w:rPr>
      </w:pPr>
      <w:r>
        <w:rPr>
          <w:rFonts w:hint="eastAsia" w:ascii="仿宋_GB2312" w:hAnsi="仿宋_GB2312" w:eastAsia="仿宋_GB2312" w:cs="仿宋_GB2312"/>
          <w:caps w:val="0"/>
          <w:color w:val="000000"/>
          <w:spacing w:val="0"/>
          <w:kern w:val="0"/>
          <w:sz w:val="32"/>
          <w:szCs w:val="32"/>
          <w:shd w:val="clear" w:fill="FFFFFF"/>
          <w:lang w:val="en-US" w:eastAsia="zh-CN" w:bidi="ar"/>
        </w:rPr>
        <w:t>（二）资产管理员根据清查方式、清查方案组织本部门固定资产自查，并提交部门自查结果。</w:t>
      </w:r>
    </w:p>
    <w:p>
      <w:pPr>
        <w:keepNext w:val="0"/>
        <w:keepLines w:val="0"/>
        <w:pageBreakBefore w:val="0"/>
        <w:widowControl w:val="0"/>
        <w:numPr>
          <w:ilvl w:val="-1"/>
          <w:numId w:val="0"/>
        </w:numPr>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kern w:val="0"/>
          <w:sz w:val="32"/>
          <w:szCs w:val="32"/>
          <w:shd w:val="clear" w:fill="FFFFFF"/>
          <w:lang w:bidi="ar"/>
        </w:rPr>
      </w:pPr>
      <w:r>
        <w:rPr>
          <w:rFonts w:hint="eastAsia" w:ascii="仿宋_GB2312" w:hAnsi="仿宋_GB2312" w:eastAsia="仿宋_GB2312" w:cs="仿宋_GB2312"/>
          <w:caps w:val="0"/>
          <w:color w:val="000000"/>
          <w:spacing w:val="0"/>
          <w:kern w:val="0"/>
          <w:sz w:val="32"/>
          <w:szCs w:val="32"/>
          <w:shd w:val="clear" w:fill="FFFFFF"/>
          <w:lang w:val="en-US" w:eastAsia="zh-CN" w:bidi="ar"/>
        </w:rPr>
        <w:t>对账实不符，盘盈、盘亏的固定资产，需逐笔查明原因，编制资产盘亏申报表、资产盘盈申报表并收集盘亏资产情况说明等证明材料；协助部门负责人组织盘亏资产责任认定，由本部门盘亏资产责任认定小组提出处理意见，填报盘亏资产责任认定书、并由相关责任人签字确认。</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aps w:val="0"/>
          <w:color w:val="000000"/>
          <w:spacing w:val="0"/>
          <w:kern w:val="0"/>
          <w:sz w:val="32"/>
          <w:szCs w:val="32"/>
          <w:shd w:val="clear" w:fill="FFFFFF"/>
          <w:lang w:val="en-US" w:eastAsia="zh-CN" w:bidi="ar"/>
        </w:rPr>
        <w:t>（三）</w:t>
      </w:r>
      <w:r>
        <w:rPr>
          <w:rFonts w:hint="eastAsia" w:ascii="仿宋_GB2312" w:hAnsi="仿宋_GB2312" w:eastAsia="仿宋_GB2312" w:cs="仿宋_GB2312"/>
          <w:caps w:val="0"/>
          <w:color w:val="000000"/>
          <w:spacing w:val="0"/>
          <w:kern w:val="0"/>
          <w:sz w:val="32"/>
          <w:szCs w:val="32"/>
          <w:shd w:val="clear" w:fill="FFFFFF"/>
          <w:lang w:val="en-US" w:eastAsia="zh-CN" w:bidi="ar"/>
        </w:rPr>
        <w:t>归口管理部门根据使用部门上报的自查结果，指派专人现场核查。</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val="0"/>
          <w:bCs w:val="0"/>
          <w:caps w:val="0"/>
          <w:color w:val="000000"/>
          <w:spacing w:val="0"/>
          <w:kern w:val="0"/>
          <w:sz w:val="32"/>
          <w:szCs w:val="32"/>
          <w:shd w:val="clear" w:fill="FFFFFF"/>
          <w:lang w:val="en-US" w:eastAsia="zh-CN" w:bidi="ar"/>
        </w:rPr>
        <w:t>（四）</w:t>
      </w:r>
      <w:r>
        <w:rPr>
          <w:rFonts w:hint="eastAsia" w:ascii="仿宋_GB2312" w:hAnsi="仿宋_GB2312" w:eastAsia="仿宋_GB2312" w:cs="仿宋_GB2312"/>
          <w:caps w:val="0"/>
          <w:color w:val="000000"/>
          <w:spacing w:val="0"/>
          <w:kern w:val="0"/>
          <w:sz w:val="32"/>
          <w:szCs w:val="32"/>
          <w:shd w:val="clear" w:fill="FFFFFF"/>
          <w:lang w:val="en-US" w:eastAsia="zh-CN" w:bidi="ar"/>
        </w:rPr>
        <w:t>归口管理部门汇总自查、核查情况，编制清查报告报院国资委。</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sz w:val="32"/>
          <w:szCs w:val="32"/>
        </w:rPr>
      </w:pPr>
      <w:r>
        <w:rPr>
          <w:rFonts w:hint="eastAsia" w:ascii="黑体" w:hAnsi="黑体" w:eastAsia="黑体" w:cs="黑体"/>
          <w:b w:val="0"/>
          <w:bCs w:val="0"/>
          <w:caps w:val="0"/>
          <w:color w:val="000000"/>
          <w:spacing w:val="0"/>
          <w:kern w:val="0"/>
          <w:sz w:val="32"/>
          <w:szCs w:val="32"/>
          <w:shd w:val="clear" w:fill="FFFFFF"/>
          <w:lang w:val="en-US" w:eastAsia="zh-CN" w:bidi="ar"/>
        </w:rPr>
        <w:t>第四章 损溢资产的处置</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第十二条</w:t>
      </w:r>
      <w:r>
        <w:rPr>
          <w:rFonts w:hint="eastAsia" w:ascii="仿宋_GB2312" w:hAnsi="仿宋_GB2312" w:eastAsia="仿宋_GB2312" w:cs="仿宋_GB2312"/>
          <w:caps w:val="0"/>
          <w:color w:val="000000"/>
          <w:spacing w:val="0"/>
          <w:kern w:val="0"/>
          <w:sz w:val="32"/>
          <w:szCs w:val="32"/>
          <w:shd w:val="clear" w:fill="FFFFFF"/>
          <w:lang w:val="en-US" w:eastAsia="zh-CN" w:bidi="ar"/>
        </w:rPr>
        <w:t> 盘亏资产的处置，根据《清华大学深圳国际研究生院固定资产管理规定》中损失核销相关要求执行。</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第十三条 </w:t>
      </w:r>
      <w:r>
        <w:rPr>
          <w:rFonts w:hint="eastAsia" w:ascii="仿宋_GB2312" w:hAnsi="仿宋_GB2312" w:eastAsia="仿宋_GB2312" w:cs="仿宋_GB2312"/>
          <w:caps w:val="0"/>
          <w:color w:val="000000"/>
          <w:spacing w:val="0"/>
          <w:kern w:val="0"/>
          <w:sz w:val="32"/>
          <w:szCs w:val="32"/>
          <w:shd w:val="clear" w:fill="FFFFFF"/>
          <w:lang w:val="en-US" w:eastAsia="zh-CN" w:bidi="ar"/>
        </w:rPr>
        <w:t>盘亏资产赔偿款收缴</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一）归口管理部门根据相关规定或审批意见确定赔偿金额和缴款日期后通知责任人所在部门及财务部门，由责任人所在部门负责催缴赔偿款，财务部门负责收款。责任人应及时将财务部门出具的缴款收据报归口管理部门，归口管理部门依据缴款收据进行资产账处理，财务部门调整对应资金账；</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（二）赔偿款的缴款期一般不得超过半年。如果赔偿金额较大，赔偿者一次缴款有困难，可申请分期或缓期缴纳。由责任人提出申请，经所在部门初审报归口管理部门审核后报主管院领导审批；</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kern w:val="0"/>
          <w:sz w:val="32"/>
          <w:szCs w:val="32"/>
          <w:shd w:val="clear" w:fill="FFFFFF"/>
          <w:lang w:val="en-US" w:eastAsia="zh-CN" w:bidi="ar"/>
        </w:rPr>
        <w:t>（三）收缴的赔偿款按照国家相关规定统一管理。</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firstLine="643"/>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aps w:val="0"/>
          <w:color w:val="000000"/>
          <w:spacing w:val="0"/>
          <w:kern w:val="0"/>
          <w:sz w:val="32"/>
          <w:szCs w:val="32"/>
          <w:shd w:val="clear" w:fill="FFFFFF"/>
          <w:lang w:val="en-US" w:eastAsia="zh-CN" w:bidi="ar"/>
        </w:rPr>
        <w:t>第十四条 </w:t>
      </w:r>
      <w:r>
        <w:rPr>
          <w:rFonts w:hint="eastAsia" w:ascii="仿宋_GB2312" w:hAnsi="仿宋_GB2312" w:eastAsia="仿宋_GB2312" w:cs="仿宋_GB2312"/>
          <w:caps w:val="0"/>
          <w:color w:val="000000"/>
          <w:spacing w:val="0"/>
          <w:kern w:val="0"/>
          <w:sz w:val="32"/>
          <w:szCs w:val="32"/>
          <w:shd w:val="clear" w:fill="FFFFFF"/>
          <w:lang w:val="en-US" w:eastAsia="zh-CN" w:bidi="ar"/>
        </w:rPr>
        <w:t>确定为盘盈的资产，领用人应于清查结束1个月内凭借合同、发票等凭证材料建账。</w:t>
      </w:r>
    </w:p>
    <w:p>
      <w:pPr>
        <w:keepNext w:val="0"/>
        <w:keepLines w:val="0"/>
        <w:pageBreakBefore w:val="0"/>
        <w:widowControl w:val="0"/>
        <w:suppressLineNumbers w:val="0"/>
        <w:shd w:val="clear" w:fill="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b w:val="0"/>
          <w:bCs w:val="0"/>
          <w:sz w:val="32"/>
          <w:szCs w:val="32"/>
        </w:rPr>
      </w:pPr>
      <w:r>
        <w:rPr>
          <w:rFonts w:hint="eastAsia" w:ascii="黑体" w:hAnsi="黑体" w:eastAsia="黑体" w:cs="黑体"/>
          <w:b w:val="0"/>
          <w:bCs w:val="0"/>
          <w:caps w:val="0"/>
          <w:color w:val="000000"/>
          <w:spacing w:val="0"/>
          <w:kern w:val="0"/>
          <w:sz w:val="32"/>
          <w:szCs w:val="32"/>
          <w:shd w:val="clear" w:fill="FFFFFF"/>
          <w:lang w:val="en-US" w:eastAsia="zh-CN" w:bidi="ar"/>
        </w:rPr>
        <w:t>第五章 附 则</w:t>
      </w:r>
    </w:p>
    <w:p>
      <w:pPr>
        <w:pStyle w:val="9"/>
        <w:keepNext w:val="0"/>
        <w:keepLines w:val="0"/>
        <w:pageBreakBefore w:val="0"/>
        <w:shd w:val="clear"/>
        <w:kinsoku/>
        <w:wordWrap/>
        <w:overflowPunct/>
        <w:topLinePunct w:val="0"/>
        <w:autoSpaceDE/>
        <w:autoSpaceDN/>
        <w:bidi w:val="0"/>
        <w:adjustRightInd/>
        <w:snapToGrid/>
        <w:spacing w:line="560" w:lineRule="exact"/>
        <w:ind w:firstLine="64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aps w:val="0"/>
          <w:color w:val="000000"/>
          <w:spacing w:val="0"/>
          <w:kern w:val="0"/>
          <w:sz w:val="32"/>
          <w:szCs w:val="32"/>
          <w:lang w:val="en-US" w:eastAsia="zh-CN" w:bidi="ar"/>
        </w:rPr>
        <w:t>第十五条</w:t>
      </w:r>
      <w:r>
        <w:rPr>
          <w:rFonts w:hint="eastAsia" w:ascii="仿宋_GB2312" w:hAnsi="仿宋_GB2312" w:eastAsia="仿宋_GB2312" w:cs="仿宋_GB2312"/>
          <w:caps w:val="0"/>
          <w:color w:val="000000"/>
          <w:spacing w:val="0"/>
          <w:kern w:val="0"/>
          <w:sz w:val="32"/>
          <w:szCs w:val="32"/>
          <w:lang w:val="en-US" w:eastAsia="zh-CN" w:bidi="ar"/>
        </w:rPr>
        <w:t> 本实施细则自公布之日起施行，由采购与资产管理中心负责解释。</w:t>
      </w:r>
    </w:p>
    <w:p>
      <w:pPr>
        <w:shd w:val="clear"/>
        <w:rPr>
          <w:rFonts w:hint="eastAsia" w:ascii="仿宋" w:hAnsi="仿宋" w:eastAsia="仿宋" w:cs="仿宋"/>
        </w:rPr>
      </w:pPr>
    </w:p>
    <w:p>
      <w:pPr>
        <w:shd w:val="clear"/>
        <w:rPr>
          <w:rFonts w:hint="eastAsia" w:ascii="仿宋" w:hAnsi="仿宋" w:eastAsia="仿宋" w:cs="仿宋"/>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imes New Roman Regular" w:hAnsi="Times New Roman Regular" w:cs="Times New Roman Regular"/>
                              <w:sz w:val="20"/>
                              <w:szCs w:val="28"/>
                            </w:rPr>
                          </w:pPr>
                          <w:r>
                            <w:rPr>
                              <w:rFonts w:ascii="Times New Roman Regular" w:hAnsi="Times New Roman Regular" w:cs="Times New Roman Regular"/>
                              <w:sz w:val="20"/>
                              <w:szCs w:val="28"/>
                            </w:rPr>
                            <w:t xml:space="preserve">— </w:t>
                          </w:r>
                          <w:r>
                            <w:rPr>
                              <w:rFonts w:ascii="Times New Roman Regular" w:hAnsi="Times New Roman Regular" w:cs="Times New Roman Regular"/>
                              <w:sz w:val="20"/>
                              <w:szCs w:val="28"/>
                            </w:rPr>
                            <w:fldChar w:fldCharType="begin"/>
                          </w:r>
                          <w:r>
                            <w:rPr>
                              <w:rFonts w:ascii="Times New Roman Regular" w:hAnsi="Times New Roman Regular" w:cs="Times New Roman Regular"/>
                              <w:sz w:val="20"/>
                              <w:szCs w:val="28"/>
                            </w:rPr>
                            <w:instrText xml:space="preserve"> PAGE  \* MERGEFORMAT </w:instrText>
                          </w:r>
                          <w:r>
                            <w:rPr>
                              <w:rFonts w:ascii="Times New Roman Regular" w:hAnsi="Times New Roman Regular" w:cs="Times New Roman Regular"/>
                              <w:sz w:val="20"/>
                              <w:szCs w:val="28"/>
                            </w:rPr>
                            <w:fldChar w:fldCharType="separate"/>
                          </w:r>
                          <w:r>
                            <w:rPr>
                              <w:rFonts w:ascii="Times New Roman Regular" w:hAnsi="Times New Roman Regular" w:cs="Times New Roman Regular"/>
                              <w:sz w:val="20"/>
                              <w:szCs w:val="28"/>
                            </w:rPr>
                            <w:t>- 1 -</w:t>
                          </w:r>
                          <w:r>
                            <w:rPr>
                              <w:rFonts w:ascii="Times New Roman Regular" w:hAnsi="Times New Roman Regular" w:cs="Times New Roman Regular"/>
                              <w:sz w:val="20"/>
                              <w:szCs w:val="28"/>
                            </w:rPr>
                            <w:fldChar w:fldCharType="end"/>
                          </w:r>
                          <w:r>
                            <w:rPr>
                              <w:rFonts w:ascii="Times New Roman Regular" w:hAnsi="Times New Roman Regular" w:cs="Times New Roman Regular"/>
                              <w:sz w:val="20"/>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ascii="Times New Roman Regular" w:hAnsi="Times New Roman Regular" w:cs="Times New Roman Regular"/>
                        <w:sz w:val="20"/>
                        <w:szCs w:val="28"/>
                      </w:rPr>
                    </w:pPr>
                    <w:r>
                      <w:rPr>
                        <w:rFonts w:ascii="Times New Roman Regular" w:hAnsi="Times New Roman Regular" w:cs="Times New Roman Regular"/>
                        <w:sz w:val="20"/>
                        <w:szCs w:val="28"/>
                      </w:rPr>
                      <w:t xml:space="preserve">— </w:t>
                    </w:r>
                    <w:r>
                      <w:rPr>
                        <w:rFonts w:ascii="Times New Roman Regular" w:hAnsi="Times New Roman Regular" w:cs="Times New Roman Regular"/>
                        <w:sz w:val="20"/>
                        <w:szCs w:val="28"/>
                      </w:rPr>
                      <w:fldChar w:fldCharType="begin"/>
                    </w:r>
                    <w:r>
                      <w:rPr>
                        <w:rFonts w:ascii="Times New Roman Regular" w:hAnsi="Times New Roman Regular" w:cs="Times New Roman Regular"/>
                        <w:sz w:val="20"/>
                        <w:szCs w:val="28"/>
                      </w:rPr>
                      <w:instrText xml:space="preserve"> PAGE  \* MERGEFORMAT </w:instrText>
                    </w:r>
                    <w:r>
                      <w:rPr>
                        <w:rFonts w:ascii="Times New Roman Regular" w:hAnsi="Times New Roman Regular" w:cs="Times New Roman Regular"/>
                        <w:sz w:val="20"/>
                        <w:szCs w:val="28"/>
                      </w:rPr>
                      <w:fldChar w:fldCharType="separate"/>
                    </w:r>
                    <w:r>
                      <w:rPr>
                        <w:rFonts w:ascii="Times New Roman Regular" w:hAnsi="Times New Roman Regular" w:cs="Times New Roman Regular"/>
                        <w:sz w:val="20"/>
                        <w:szCs w:val="28"/>
                      </w:rPr>
                      <w:t>- 1 -</w:t>
                    </w:r>
                    <w:r>
                      <w:rPr>
                        <w:rFonts w:ascii="Times New Roman Regular" w:hAnsi="Times New Roman Regular" w:cs="Times New Roman Regular"/>
                        <w:sz w:val="20"/>
                        <w:szCs w:val="28"/>
                      </w:rPr>
                      <w:fldChar w:fldCharType="end"/>
                    </w:r>
                    <w:r>
                      <w:rPr>
                        <w:rFonts w:ascii="Times New Roman Regular" w:hAnsi="Times New Roman Regular" w:cs="Times New Roman Regular"/>
                        <w:sz w:val="20"/>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EAC58"/>
    <w:multiLevelType w:val="singleLevel"/>
    <w:tmpl w:val="85FEAC5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3MGU3NGJkOWRlNWZiYzYwMmNiZjNlZDY1MjgzNDEifQ=="/>
  </w:docVars>
  <w:rsids>
    <w:rsidRoot w:val="00000000"/>
    <w:rsid w:val="00393497"/>
    <w:rsid w:val="033F1D32"/>
    <w:rsid w:val="05A2309F"/>
    <w:rsid w:val="089B216C"/>
    <w:rsid w:val="0F041293"/>
    <w:rsid w:val="1306761A"/>
    <w:rsid w:val="1BBA0154"/>
    <w:rsid w:val="1E58620F"/>
    <w:rsid w:val="21B12892"/>
    <w:rsid w:val="251329BF"/>
    <w:rsid w:val="30216B85"/>
    <w:rsid w:val="307A2E12"/>
    <w:rsid w:val="33BF319C"/>
    <w:rsid w:val="33E032A3"/>
    <w:rsid w:val="34D5162D"/>
    <w:rsid w:val="426D46CB"/>
    <w:rsid w:val="43D22789"/>
    <w:rsid w:val="488F1628"/>
    <w:rsid w:val="4D0D6F3D"/>
    <w:rsid w:val="4DFFD265"/>
    <w:rsid w:val="4E9054B8"/>
    <w:rsid w:val="55676EAF"/>
    <w:rsid w:val="5C9F1D92"/>
    <w:rsid w:val="63517D54"/>
    <w:rsid w:val="64AD0E69"/>
    <w:rsid w:val="66456AF7"/>
    <w:rsid w:val="68AF2172"/>
    <w:rsid w:val="6FBB17A1"/>
    <w:rsid w:val="70423B28"/>
    <w:rsid w:val="7243079E"/>
    <w:rsid w:val="75522576"/>
    <w:rsid w:val="75FFAAF0"/>
    <w:rsid w:val="7AEB566F"/>
    <w:rsid w:val="7C8140E8"/>
    <w:rsid w:val="7E7D0A97"/>
    <w:rsid w:val="7F63732B"/>
    <w:rsid w:val="7FFF6682"/>
    <w:rsid w:val="87CFB762"/>
    <w:rsid w:val="DFFBE1F5"/>
    <w:rsid w:val="EB7BF9C4"/>
    <w:rsid w:val="EEF7C8C3"/>
    <w:rsid w:val="EF99FBBA"/>
    <w:rsid w:val="F6FFB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3069</Words>
  <Characters>3147</Characters>
  <Lines>0</Lines>
  <Paragraphs>0</Paragraphs>
  <TotalTime>23</TotalTime>
  <ScaleCrop>false</ScaleCrop>
  <LinksUpToDate>false</LinksUpToDate>
  <CharactersWithSpaces>3225</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2023-04-19T07:48:00Z</dcterms:created>
  <dc:creator>admin</dc:creator>
  <cp:lastModifiedBy>马静宜</cp:lastModifiedBy>
  <cp:lastPrinted>2023-04-26T07:49:00Z</cp:lastPrinted>
  <dcterms:modified xsi:type="dcterms:W3CDTF">2023-12-21T09:06:02Z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796C26C059504177A551F7AC59D74E7F_13</vt:lpwstr>
  </property>
</Properties>
</file>