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D03E4A">
      <w:pPr>
        <w:widowControl w:val="0"/>
        <w:kinsoku/>
        <w:autoSpaceDE/>
        <w:autoSpaceDN/>
        <w:adjustRightInd/>
        <w:snapToGrid/>
        <w:spacing w:after="0" w:afterLines="0" w:line="560" w:lineRule="exact"/>
        <w:ind w:firstLine="0" w:firstLineChars="0"/>
        <w:jc w:val="right"/>
        <w:textAlignment w:val="auto"/>
        <w:rPr>
          <w:rFonts w:ascii="Calibri" w:hAnsi="Calibri" w:eastAsia="宋体" w:cs="Times New Roman"/>
          <w:szCs w:val="24"/>
        </w:rPr>
      </w:pPr>
      <w:r>
        <w:rPr>
          <w:rFonts w:hint="eastAsia" w:ascii="仿宋_GB2312" w:hAnsi="仿宋_GB2312" w:eastAsia="仿宋_GB2312" w:cs="仿宋_GB2312"/>
          <w:snapToGrid/>
          <w:color w:val="000000"/>
          <w:kern w:val="2"/>
          <w:sz w:val="32"/>
          <w:szCs w:val="32"/>
          <w:lang w:val="en-US" w:eastAsia="zh-CN"/>
        </w:rPr>
        <w:t>清深国院规〔2026〕50</w:t>
      </w:r>
      <w:bookmarkStart w:id="0" w:name="_GoBack"/>
      <w:bookmarkEnd w:id="0"/>
      <w:r>
        <w:rPr>
          <w:rFonts w:hint="eastAsia" w:ascii="仿宋_GB2312" w:hAnsi="仿宋_GB2312" w:eastAsia="仿宋_GB2312" w:cs="仿宋_GB2312"/>
          <w:snapToGrid/>
          <w:color w:val="000000"/>
          <w:kern w:val="2"/>
          <w:sz w:val="32"/>
          <w:szCs w:val="32"/>
          <w:lang w:val="en-US" w:eastAsia="zh-CN"/>
        </w:rPr>
        <w:t>号</w:t>
      </w:r>
    </w:p>
    <w:p w14:paraId="081B362B">
      <w:pPr>
        <w:pStyle w:val="21"/>
        <w:autoSpaceDE/>
        <w:autoSpaceDN/>
        <w:spacing w:line="560" w:lineRule="exact"/>
        <w:ind w:firstLine="0" w:firstLineChars="0"/>
        <w:jc w:val="center"/>
        <w:rPr>
          <w:rFonts w:hint="eastAsia" w:ascii="方正小标宋简体" w:hAnsi="方正小标宋简体" w:eastAsia="方正小标宋简体" w:cs="方正小标宋简体"/>
          <w:bCs/>
          <w:color w:val="auto"/>
          <w:kern w:val="2"/>
          <w:sz w:val="44"/>
          <w:szCs w:val="44"/>
          <w:lang w:eastAsia="zh-CN"/>
        </w:rPr>
      </w:pPr>
    </w:p>
    <w:p w14:paraId="6BE4B3EE">
      <w:pPr>
        <w:pStyle w:val="21"/>
        <w:autoSpaceDE/>
        <w:autoSpaceDN/>
        <w:spacing w:line="560" w:lineRule="exact"/>
        <w:ind w:firstLine="0" w:firstLineChars="0"/>
        <w:jc w:val="center"/>
        <w:rPr>
          <w:rFonts w:hint="eastAsia" w:ascii="方正小标宋简体" w:hAnsi="方正小标宋简体" w:eastAsia="方正小标宋简体" w:cs="方正小标宋简体"/>
          <w:bCs/>
          <w:color w:val="auto"/>
          <w:kern w:val="2"/>
          <w:sz w:val="36"/>
          <w:szCs w:val="36"/>
          <w:lang w:eastAsia="zh-CN"/>
        </w:rPr>
      </w:pPr>
      <w:r>
        <w:rPr>
          <w:rFonts w:hint="eastAsia" w:ascii="方正小标宋简体" w:hAnsi="方正小标宋简体" w:eastAsia="方正小标宋简体" w:cs="方正小标宋简体"/>
          <w:bCs/>
          <w:color w:val="auto"/>
          <w:kern w:val="2"/>
          <w:sz w:val="36"/>
          <w:szCs w:val="36"/>
          <w:lang w:eastAsia="zh-CN"/>
        </w:rPr>
        <w:t>清华大学深圳国际研究生院安全管理规定</w:t>
      </w:r>
    </w:p>
    <w:p w14:paraId="61643F68">
      <w:pPr>
        <w:spacing w:line="560" w:lineRule="exact"/>
        <w:jc w:val="center"/>
        <w:rPr>
          <w:rFonts w:hint="default" w:ascii="仿宋_GB2312" w:eastAsia="仿宋_GB2312"/>
          <w:sz w:val="32"/>
          <w:szCs w:val="32"/>
          <w:lang w:val="en-US" w:eastAsia="zh-CN"/>
        </w:rPr>
      </w:pPr>
      <w:r>
        <w:rPr>
          <w:rFonts w:hint="eastAsia" w:ascii="仿宋_GB2312" w:eastAsia="仿宋_GB2312"/>
          <w:sz w:val="32"/>
          <w:szCs w:val="32"/>
        </w:rPr>
        <w:t>二</w:t>
      </w:r>
      <w:r>
        <w:rPr>
          <w:rFonts w:hint="eastAsia" w:ascii="仿宋_GB2312" w:hAnsi="仿宋_GB2312" w:eastAsia="仿宋_GB2312" w:cs="仿宋_GB2312"/>
          <w:color w:val="000000"/>
          <w:sz w:val="32"/>
          <w:szCs w:val="32"/>
        </w:rPr>
        <w:t>〇</w:t>
      </w:r>
      <w:r>
        <w:rPr>
          <w:rFonts w:hint="eastAsia" w:ascii="仿宋_GB2312" w:eastAsia="仿宋_GB2312"/>
          <w:sz w:val="32"/>
          <w:szCs w:val="32"/>
        </w:rPr>
        <w:t>二</w:t>
      </w:r>
      <w:r>
        <w:rPr>
          <w:rFonts w:hint="eastAsia" w:ascii="仿宋_GB2312" w:eastAsia="仿宋_GB2312"/>
          <w:sz w:val="32"/>
          <w:szCs w:val="32"/>
          <w:lang w:val="en-US" w:eastAsia="zh-CN"/>
        </w:rPr>
        <w:t>六</w:t>
      </w:r>
      <w:r>
        <w:rPr>
          <w:rFonts w:hint="eastAsia" w:ascii="仿宋_GB2312" w:eastAsia="仿宋_GB2312"/>
          <w:sz w:val="32"/>
          <w:szCs w:val="32"/>
        </w:rPr>
        <w:t>年第</w:t>
      </w:r>
      <w:r>
        <w:rPr>
          <w:rFonts w:hint="eastAsia" w:ascii="仿宋_GB2312" w:eastAsia="仿宋_GB2312"/>
          <w:sz w:val="32"/>
          <w:szCs w:val="32"/>
          <w:lang w:val="en-US" w:eastAsia="zh-CN"/>
        </w:rPr>
        <w:t>十五</w:t>
      </w:r>
      <w:r>
        <w:rPr>
          <w:rFonts w:hint="eastAsia" w:ascii="仿宋_GB2312" w:eastAsia="仿宋_GB2312"/>
          <w:sz w:val="32"/>
          <w:szCs w:val="32"/>
        </w:rPr>
        <w:t>次</w:t>
      </w:r>
      <w:r>
        <w:rPr>
          <w:rFonts w:hint="eastAsia" w:ascii="仿宋_GB2312" w:eastAsia="仿宋_GB2312"/>
          <w:sz w:val="32"/>
          <w:szCs w:val="32"/>
          <w:lang w:val="en-US" w:eastAsia="zh-CN"/>
        </w:rPr>
        <w:t>党政联席</w:t>
      </w:r>
      <w:r>
        <w:rPr>
          <w:rFonts w:hint="eastAsia" w:ascii="仿宋_GB2312" w:eastAsia="仿宋_GB2312"/>
          <w:sz w:val="32"/>
          <w:szCs w:val="32"/>
        </w:rPr>
        <w:t>会</w:t>
      </w:r>
      <w:r>
        <w:rPr>
          <w:rFonts w:hint="eastAsia" w:ascii="仿宋_GB2312" w:eastAsia="仿宋_GB2312"/>
          <w:sz w:val="32"/>
          <w:szCs w:val="32"/>
          <w:lang w:val="en-US" w:eastAsia="zh-CN"/>
        </w:rPr>
        <w:t>议</w:t>
      </w:r>
      <w:r>
        <w:rPr>
          <w:rFonts w:hint="eastAsia" w:ascii="仿宋_GB2312" w:eastAsia="仿宋_GB2312"/>
          <w:sz w:val="32"/>
          <w:szCs w:val="32"/>
        </w:rPr>
        <w:t>（202</w:t>
      </w:r>
      <w:r>
        <w:rPr>
          <w:rFonts w:hint="eastAsia" w:ascii="仿宋_GB2312" w:eastAsia="仿宋_GB2312"/>
          <w:sz w:val="32"/>
          <w:szCs w:val="32"/>
          <w:lang w:val="en-US" w:eastAsia="zh-CN"/>
        </w:rPr>
        <w:t>6</w:t>
      </w:r>
      <w:r>
        <w:rPr>
          <w:rFonts w:hint="eastAsia" w:ascii="仿宋_GB2312" w:eastAsia="仿宋_GB2312"/>
          <w:sz w:val="32"/>
          <w:szCs w:val="32"/>
        </w:rPr>
        <w:t>年</w:t>
      </w:r>
      <w:r>
        <w:rPr>
          <w:rFonts w:hint="eastAsia" w:ascii="仿宋_GB2312" w:eastAsia="仿宋_GB2312"/>
          <w:sz w:val="32"/>
          <w:szCs w:val="32"/>
          <w:lang w:val="en-US" w:eastAsia="zh-CN"/>
        </w:rPr>
        <w:t>5</w:t>
      </w:r>
      <w:r>
        <w:rPr>
          <w:rFonts w:hint="eastAsia" w:ascii="仿宋_GB2312" w:eastAsia="仿宋_GB2312"/>
          <w:sz w:val="32"/>
          <w:szCs w:val="32"/>
        </w:rPr>
        <w:t>月</w:t>
      </w:r>
      <w:r>
        <w:rPr>
          <w:rFonts w:hint="eastAsia" w:ascii="仿宋_GB2312" w:eastAsia="仿宋_GB2312"/>
          <w:sz w:val="32"/>
          <w:szCs w:val="32"/>
          <w:lang w:val="en-US" w:eastAsia="zh-CN"/>
        </w:rPr>
        <w:t>5</w:t>
      </w:r>
      <w:r>
        <w:rPr>
          <w:rFonts w:hint="eastAsia" w:ascii="仿宋_GB2312" w:eastAsia="仿宋_GB2312"/>
          <w:sz w:val="32"/>
          <w:szCs w:val="32"/>
        </w:rPr>
        <w:t>日）</w:t>
      </w:r>
      <w:r>
        <w:rPr>
          <w:rFonts w:hint="eastAsia" w:ascii="仿宋_GB2312" w:eastAsia="仿宋_GB2312"/>
          <w:sz w:val="32"/>
          <w:szCs w:val="32"/>
          <w:lang w:val="en-US" w:eastAsia="zh-CN"/>
        </w:rPr>
        <w:t>审议通过</w:t>
      </w:r>
    </w:p>
    <w:p w14:paraId="33B17C6E">
      <w:pPr>
        <w:pStyle w:val="21"/>
        <w:autoSpaceDE/>
        <w:autoSpaceDN/>
        <w:spacing w:line="560" w:lineRule="exact"/>
        <w:ind w:firstLine="0" w:firstLineChars="0"/>
        <w:jc w:val="center"/>
        <w:rPr>
          <w:rFonts w:hint="eastAsia" w:ascii="仿宋_GB2312" w:hAnsi="仿宋_GB2312" w:eastAsia="仿宋_GB2312" w:cs="仿宋_GB2312"/>
          <w:b/>
          <w:bCs/>
          <w:color w:val="auto"/>
          <w:kern w:val="2"/>
          <w:sz w:val="32"/>
          <w:szCs w:val="32"/>
          <w:lang w:val="en-US" w:eastAsia="zh-CN" w:bidi="ar-SA"/>
        </w:rPr>
      </w:pPr>
    </w:p>
    <w:p w14:paraId="202BF8FD">
      <w:pPr>
        <w:pStyle w:val="21"/>
        <w:autoSpaceDE/>
        <w:autoSpaceDN/>
        <w:spacing w:line="560" w:lineRule="exact"/>
        <w:ind w:firstLine="0" w:firstLineChars="0"/>
        <w:jc w:val="center"/>
        <w:rPr>
          <w:rFonts w:hint="eastAsia" w:ascii="黑体" w:hAnsi="黑体" w:eastAsia="黑体" w:cs="黑体"/>
          <w:b w:val="0"/>
          <w:bCs w:val="0"/>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第一章 总则</w:t>
      </w:r>
    </w:p>
    <w:p w14:paraId="51FBD408">
      <w:pPr>
        <w:autoSpaceDE/>
        <w:autoSpaceDN/>
        <w:spacing w:line="560" w:lineRule="exact"/>
        <w:ind w:firstLine="643"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b/>
          <w:bCs/>
          <w:color w:val="auto"/>
          <w:kern w:val="2"/>
          <w:sz w:val="32"/>
          <w:szCs w:val="32"/>
          <w:lang w:eastAsia="zh-CN"/>
        </w:rPr>
        <w:t>第一条</w:t>
      </w:r>
      <w:r>
        <w:rPr>
          <w:rFonts w:hint="eastAsia" w:ascii="仿宋_GB2312" w:hAnsi="仿宋_GB2312" w:eastAsia="仿宋_GB2312" w:cs="仿宋_GB2312"/>
          <w:b/>
          <w:bCs/>
          <w:color w:val="auto"/>
          <w:kern w:val="2"/>
          <w:sz w:val="32"/>
          <w:szCs w:val="32"/>
          <w:lang w:val="en-US" w:eastAsia="zh-CN"/>
        </w:rPr>
        <w:t xml:space="preserve"> </w:t>
      </w:r>
      <w:r>
        <w:rPr>
          <w:rFonts w:hint="eastAsia" w:ascii="仿宋_GB2312" w:hAnsi="仿宋_GB2312" w:eastAsia="仿宋_GB2312" w:cs="仿宋_GB2312"/>
          <w:color w:val="auto"/>
          <w:kern w:val="2"/>
          <w:sz w:val="32"/>
          <w:szCs w:val="32"/>
          <w:lang w:eastAsia="zh-CN"/>
        </w:rPr>
        <w:t>为了加强学院安全管理，防止和减少安全事故，保障师生员工人身安全和国家、集体、个人的财产安全，维护学院正常秩序，根据《中华人民共和国安全生产法》、《清华大学安全管理规定》等的相关规定，结合学院实际，制定本规定。</w:t>
      </w:r>
    </w:p>
    <w:p w14:paraId="64926FF7">
      <w:pPr>
        <w:autoSpaceDE/>
        <w:autoSpaceDN/>
        <w:spacing w:line="560" w:lineRule="exact"/>
        <w:ind w:firstLine="643"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b/>
          <w:bCs/>
          <w:color w:val="auto"/>
          <w:kern w:val="2"/>
          <w:sz w:val="32"/>
          <w:szCs w:val="32"/>
          <w:lang w:eastAsia="zh-CN"/>
        </w:rPr>
        <w:t>第二条</w:t>
      </w:r>
      <w:r>
        <w:rPr>
          <w:rFonts w:hint="eastAsia" w:ascii="仿宋_GB2312" w:hAnsi="仿宋_GB2312" w:eastAsia="仿宋_GB2312" w:cs="仿宋_GB2312"/>
          <w:b/>
          <w:bCs/>
          <w:color w:val="auto"/>
          <w:kern w:val="2"/>
          <w:sz w:val="32"/>
          <w:szCs w:val="32"/>
          <w:lang w:val="en-US" w:eastAsia="zh-CN"/>
        </w:rPr>
        <w:t xml:space="preserve"> </w:t>
      </w:r>
      <w:r>
        <w:rPr>
          <w:rFonts w:hint="eastAsia" w:ascii="仿宋_GB2312" w:hAnsi="仿宋_GB2312" w:eastAsia="仿宋_GB2312" w:cs="仿宋_GB2312"/>
          <w:color w:val="auto"/>
          <w:kern w:val="2"/>
          <w:sz w:val="32"/>
          <w:szCs w:val="32"/>
          <w:lang w:eastAsia="zh-CN"/>
        </w:rPr>
        <w:t>本规定适用于学院各教学</w:t>
      </w:r>
      <w:r>
        <w:rPr>
          <w:rFonts w:hint="eastAsia" w:ascii="仿宋_GB2312" w:hAnsi="仿宋_GB2312" w:eastAsia="仿宋_GB2312" w:cs="仿宋_GB2312"/>
          <w:color w:val="auto"/>
          <w:kern w:val="2"/>
          <w:sz w:val="32"/>
          <w:szCs w:val="32"/>
          <w:lang w:val="en-US" w:eastAsia="zh-CN"/>
        </w:rPr>
        <w:t>科研</w:t>
      </w:r>
      <w:r>
        <w:rPr>
          <w:rFonts w:hint="eastAsia" w:ascii="仿宋_GB2312" w:hAnsi="仿宋_GB2312" w:eastAsia="仿宋_GB2312" w:cs="仿宋_GB2312"/>
          <w:color w:val="auto"/>
          <w:kern w:val="2"/>
          <w:sz w:val="32"/>
          <w:szCs w:val="32"/>
          <w:lang w:eastAsia="zh-CN"/>
        </w:rPr>
        <w:t>机构、</w:t>
      </w:r>
      <w:r>
        <w:rPr>
          <w:rFonts w:hint="eastAsia" w:ascii="仿宋_GB2312" w:hAnsi="仿宋_GB2312" w:eastAsia="仿宋_GB2312" w:cs="仿宋_GB2312"/>
          <w:color w:val="auto"/>
          <w:kern w:val="2"/>
          <w:sz w:val="32"/>
          <w:szCs w:val="32"/>
          <w:lang w:val="en-US" w:eastAsia="zh-CN"/>
        </w:rPr>
        <w:t>党政</w:t>
      </w:r>
      <w:r>
        <w:rPr>
          <w:rFonts w:hint="eastAsia" w:ascii="仿宋_GB2312" w:hAnsi="仿宋_GB2312" w:eastAsia="仿宋_GB2312" w:cs="仿宋_GB2312"/>
          <w:color w:val="auto"/>
          <w:kern w:val="2"/>
          <w:sz w:val="32"/>
          <w:szCs w:val="32"/>
          <w:lang w:eastAsia="zh-CN"/>
        </w:rPr>
        <w:t>职能部门、</w:t>
      </w:r>
      <w:r>
        <w:rPr>
          <w:rFonts w:hint="eastAsia" w:ascii="仿宋_GB2312" w:hAnsi="仿宋_GB2312" w:eastAsia="仿宋_GB2312" w:cs="仿宋_GB2312"/>
          <w:color w:val="auto"/>
          <w:kern w:val="2"/>
          <w:sz w:val="32"/>
          <w:szCs w:val="32"/>
          <w:lang w:val="en-US" w:eastAsia="zh-CN"/>
        </w:rPr>
        <w:t>支撑服务机构、附属机构</w:t>
      </w:r>
      <w:r>
        <w:rPr>
          <w:rFonts w:hint="eastAsia" w:ascii="仿宋_GB2312" w:hAnsi="仿宋_GB2312" w:eastAsia="仿宋_GB2312" w:cs="仿宋_GB2312"/>
          <w:color w:val="auto"/>
          <w:kern w:val="2"/>
          <w:sz w:val="32"/>
          <w:szCs w:val="32"/>
          <w:lang w:eastAsia="zh-CN"/>
        </w:rPr>
        <w:t>等二级单位（以下简称各单位）及各类人员的安全管理。</w:t>
      </w:r>
    </w:p>
    <w:p w14:paraId="3FDD878B">
      <w:pPr>
        <w:autoSpaceDE/>
        <w:autoSpaceDN/>
        <w:spacing w:line="560" w:lineRule="exact"/>
        <w:ind w:firstLine="643"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b/>
          <w:bCs/>
          <w:color w:val="auto"/>
          <w:kern w:val="2"/>
          <w:sz w:val="32"/>
          <w:szCs w:val="32"/>
          <w:lang w:eastAsia="zh-CN"/>
        </w:rPr>
        <w:t xml:space="preserve">第三条 </w:t>
      </w:r>
      <w:r>
        <w:rPr>
          <w:rFonts w:hint="eastAsia" w:ascii="仿宋_GB2312" w:hAnsi="仿宋_GB2312" w:eastAsia="仿宋_GB2312" w:cs="仿宋_GB2312"/>
          <w:color w:val="auto"/>
          <w:kern w:val="2"/>
          <w:sz w:val="32"/>
          <w:szCs w:val="32"/>
          <w:lang w:eastAsia="zh-CN"/>
        </w:rPr>
        <w:t>本规定所称安全管理工作，包括学院维护安全稳定工作、校园秩序管理工作、安全生产监督管理工作等。</w:t>
      </w:r>
    </w:p>
    <w:p w14:paraId="72B03852">
      <w:pPr>
        <w:autoSpaceDE/>
        <w:autoSpaceDN/>
        <w:spacing w:line="560" w:lineRule="exact"/>
        <w:ind w:firstLine="643"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b/>
          <w:bCs/>
          <w:color w:val="auto"/>
          <w:kern w:val="2"/>
          <w:sz w:val="32"/>
          <w:szCs w:val="32"/>
          <w:lang w:eastAsia="zh-CN"/>
        </w:rPr>
        <w:t xml:space="preserve">第四条 </w:t>
      </w:r>
      <w:r>
        <w:rPr>
          <w:rFonts w:hint="eastAsia" w:ascii="仿宋_GB2312" w:hAnsi="仿宋_GB2312" w:eastAsia="仿宋_GB2312" w:cs="仿宋_GB2312"/>
          <w:color w:val="auto"/>
          <w:kern w:val="2"/>
          <w:sz w:val="32"/>
          <w:szCs w:val="32"/>
          <w:lang w:eastAsia="zh-CN"/>
        </w:rPr>
        <w:t>学院安全管理工作坚持中国共产党的领导，坚持以人民为中心，坚持安全发展理念，坚持安全第一、预防为主、综合治理的方针，坚守发展决不能以牺牲安全为代价的红线；强化和落实安全管理主体责任，坚持党政同责、一岗双责、齐抓共管、失职追责，实行总体规划、统筹协调，分工管理、协同配合，分级负责、全员参与的管理机制。</w:t>
      </w:r>
    </w:p>
    <w:p w14:paraId="1BFBEED7">
      <w:pPr>
        <w:autoSpaceDE/>
        <w:autoSpaceDN/>
        <w:spacing w:line="560" w:lineRule="exact"/>
        <w:ind w:firstLine="643"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b/>
          <w:bCs/>
          <w:color w:val="auto"/>
          <w:kern w:val="2"/>
          <w:sz w:val="32"/>
          <w:szCs w:val="32"/>
          <w:lang w:eastAsia="zh-CN"/>
        </w:rPr>
        <w:t xml:space="preserve">第五条 </w:t>
      </w:r>
      <w:r>
        <w:rPr>
          <w:rFonts w:hint="eastAsia" w:ascii="仿宋_GB2312" w:hAnsi="仿宋_GB2312" w:eastAsia="仿宋_GB2312" w:cs="仿宋_GB2312"/>
          <w:color w:val="auto"/>
          <w:kern w:val="2"/>
          <w:sz w:val="32"/>
          <w:szCs w:val="32"/>
          <w:lang w:eastAsia="zh-CN"/>
        </w:rPr>
        <w:t>安全管理工作坚持管业务必须管安全、管生产经营必须管安全和谁主管谁负责的原则，明确并落实各单位安全工作职责。</w:t>
      </w:r>
    </w:p>
    <w:p w14:paraId="60E8FA00">
      <w:pPr>
        <w:pStyle w:val="21"/>
        <w:autoSpaceDE/>
        <w:autoSpaceDN/>
        <w:spacing w:line="560" w:lineRule="exact"/>
        <w:ind w:firstLine="0" w:firstLineChars="0"/>
        <w:jc w:val="center"/>
        <w:rPr>
          <w:rFonts w:hint="eastAsia" w:ascii="黑体" w:hAnsi="黑体" w:eastAsia="黑体" w:cs="黑体"/>
          <w:b w:val="0"/>
          <w:bCs w:val="0"/>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第二章 管理体系</w:t>
      </w:r>
    </w:p>
    <w:p w14:paraId="69E675BC">
      <w:pPr>
        <w:autoSpaceDE/>
        <w:autoSpaceDN/>
        <w:spacing w:line="560" w:lineRule="exact"/>
        <w:ind w:firstLine="643"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b/>
          <w:bCs/>
          <w:color w:val="auto"/>
          <w:kern w:val="2"/>
          <w:sz w:val="32"/>
          <w:szCs w:val="32"/>
          <w:lang w:eastAsia="zh-CN"/>
        </w:rPr>
        <w:t xml:space="preserve">第六条 </w:t>
      </w:r>
      <w:r>
        <w:rPr>
          <w:rFonts w:hint="eastAsia" w:ascii="仿宋_GB2312" w:hAnsi="仿宋_GB2312" w:eastAsia="仿宋_GB2312" w:cs="仿宋_GB2312"/>
          <w:color w:val="auto"/>
          <w:kern w:val="2"/>
          <w:sz w:val="32"/>
          <w:szCs w:val="32"/>
          <w:lang w:eastAsia="zh-CN"/>
        </w:rPr>
        <w:t>学院党委统一领导全院安全管理工作，学院</w:t>
      </w:r>
      <w:r>
        <w:rPr>
          <w:rFonts w:hint="eastAsia" w:ascii="仿宋_GB2312" w:hAnsi="仿宋_GB2312" w:eastAsia="仿宋_GB2312" w:cs="仿宋_GB2312"/>
          <w:color w:val="auto"/>
          <w:kern w:val="2"/>
          <w:sz w:val="32"/>
          <w:szCs w:val="32"/>
          <w:lang w:val="en-US" w:eastAsia="zh-CN"/>
        </w:rPr>
        <w:t>党委会会议或</w:t>
      </w:r>
      <w:r>
        <w:rPr>
          <w:rFonts w:hint="eastAsia" w:ascii="仿宋_GB2312" w:hAnsi="仿宋_GB2312" w:eastAsia="仿宋_GB2312" w:cs="仿宋_GB2312"/>
          <w:color w:val="auto"/>
          <w:kern w:val="2"/>
          <w:sz w:val="32"/>
          <w:szCs w:val="32"/>
          <w:lang w:eastAsia="zh-CN"/>
        </w:rPr>
        <w:t>党政联席会</w:t>
      </w:r>
      <w:r>
        <w:rPr>
          <w:rFonts w:hint="eastAsia" w:ascii="仿宋_GB2312" w:hAnsi="仿宋_GB2312" w:eastAsia="仿宋_GB2312" w:cs="仿宋_GB2312"/>
          <w:color w:val="auto"/>
          <w:kern w:val="2"/>
          <w:sz w:val="32"/>
          <w:szCs w:val="32"/>
          <w:lang w:val="en-US" w:eastAsia="zh-CN"/>
        </w:rPr>
        <w:t>议</w:t>
      </w:r>
      <w:r>
        <w:rPr>
          <w:rFonts w:hint="eastAsia" w:ascii="仿宋_GB2312" w:hAnsi="仿宋_GB2312" w:eastAsia="仿宋_GB2312" w:cs="仿宋_GB2312"/>
          <w:color w:val="auto"/>
          <w:kern w:val="2"/>
          <w:sz w:val="32"/>
          <w:szCs w:val="32"/>
          <w:lang w:eastAsia="zh-CN"/>
        </w:rPr>
        <w:t>研究决定安全管理重要事项。</w:t>
      </w:r>
    </w:p>
    <w:p w14:paraId="1AFEECD7">
      <w:pPr>
        <w:autoSpaceDE/>
        <w:autoSpaceDN/>
        <w:spacing w:line="560" w:lineRule="exact"/>
        <w:ind w:firstLine="643"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b/>
          <w:bCs/>
          <w:color w:val="auto"/>
          <w:kern w:val="2"/>
          <w:sz w:val="32"/>
          <w:szCs w:val="32"/>
          <w:lang w:eastAsia="zh-CN"/>
        </w:rPr>
        <w:t xml:space="preserve">第七条 </w:t>
      </w:r>
      <w:r>
        <w:rPr>
          <w:rFonts w:hint="eastAsia" w:ascii="仿宋_GB2312" w:hAnsi="仿宋_GB2312" w:eastAsia="仿宋_GB2312" w:cs="仿宋_GB2312"/>
          <w:color w:val="auto"/>
          <w:kern w:val="2"/>
          <w:sz w:val="32"/>
          <w:szCs w:val="32"/>
          <w:lang w:eastAsia="zh-CN"/>
        </w:rPr>
        <w:t>学院校园综合治理工作领导小组统筹协调全院安全管理工作。</w:t>
      </w:r>
    </w:p>
    <w:p w14:paraId="1BF10702">
      <w:pPr>
        <w:autoSpaceDE/>
        <w:autoSpaceDN/>
        <w:spacing w:line="560" w:lineRule="exact"/>
        <w:ind w:firstLine="643"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b/>
          <w:bCs/>
          <w:color w:val="auto"/>
          <w:kern w:val="2"/>
          <w:sz w:val="32"/>
          <w:szCs w:val="32"/>
          <w:lang w:eastAsia="zh-CN"/>
        </w:rPr>
        <w:t xml:space="preserve">第八条 </w:t>
      </w:r>
      <w:r>
        <w:rPr>
          <w:rFonts w:hint="eastAsia" w:ascii="仿宋_GB2312" w:hAnsi="仿宋_GB2312" w:eastAsia="仿宋_GB2312" w:cs="仿宋_GB2312"/>
          <w:color w:val="auto"/>
          <w:kern w:val="2"/>
          <w:sz w:val="32"/>
          <w:szCs w:val="32"/>
          <w:lang w:eastAsia="zh-CN"/>
        </w:rPr>
        <w:t>总务办公室作为学院校园综合治理工作领导小组办事机构，归口负责学院安全管理工作。相关部门或机构（以下统称分管部门）分工负责安全监督管理工作：</w:t>
      </w:r>
      <w:r>
        <w:rPr>
          <w:rFonts w:hint="eastAsia" w:ascii="仿宋_GB2312" w:hAnsi="仿宋_GB2312" w:eastAsia="仿宋_GB2312" w:cs="仿宋_GB2312"/>
          <w:color w:val="auto"/>
          <w:kern w:val="2"/>
          <w:sz w:val="32"/>
          <w:szCs w:val="32"/>
          <w:lang w:eastAsia="zh-CN"/>
        </w:rPr>
        <w:br w:type="textWrapping"/>
      </w:r>
      <w:r>
        <w:rPr>
          <w:rFonts w:hint="eastAsia" w:ascii="仿宋_GB2312" w:hAnsi="仿宋_GB2312" w:eastAsia="仿宋_GB2312" w:cs="仿宋_GB2312"/>
          <w:color w:val="auto"/>
          <w:kern w:val="2"/>
          <w:sz w:val="32"/>
          <w:szCs w:val="32"/>
          <w:lang w:val="en-US" w:eastAsia="zh-CN"/>
        </w:rPr>
        <w:t xml:space="preserve">    </w:t>
      </w:r>
      <w:r>
        <w:rPr>
          <w:rFonts w:hint="eastAsia" w:ascii="仿宋_GB2312" w:hAnsi="仿宋_GB2312" w:eastAsia="仿宋_GB2312" w:cs="仿宋_GB2312"/>
          <w:color w:val="auto"/>
          <w:kern w:val="2"/>
          <w:sz w:val="32"/>
          <w:szCs w:val="32"/>
          <w:lang w:eastAsia="zh-CN"/>
        </w:rPr>
        <w:t>（一）校园秩序、大型活动以及教学办公区的安全监督管理由总务办公室负责；</w:t>
      </w:r>
      <w:r>
        <w:rPr>
          <w:rFonts w:hint="eastAsia" w:ascii="仿宋_GB2312" w:hAnsi="仿宋_GB2312" w:eastAsia="仿宋_GB2312" w:cs="仿宋_GB2312"/>
          <w:color w:val="auto"/>
          <w:kern w:val="2"/>
          <w:sz w:val="32"/>
          <w:szCs w:val="32"/>
          <w:lang w:eastAsia="zh-CN"/>
        </w:rPr>
        <w:br w:type="textWrapping"/>
      </w:r>
      <w:r>
        <w:rPr>
          <w:rFonts w:hint="eastAsia" w:ascii="仿宋_GB2312" w:hAnsi="仿宋_GB2312" w:eastAsia="仿宋_GB2312" w:cs="仿宋_GB2312"/>
          <w:color w:val="auto"/>
          <w:kern w:val="2"/>
          <w:sz w:val="32"/>
          <w:szCs w:val="32"/>
          <w:lang w:val="en-US" w:eastAsia="zh-CN"/>
        </w:rPr>
        <w:t xml:space="preserve">    </w:t>
      </w:r>
      <w:r>
        <w:rPr>
          <w:rFonts w:hint="eastAsia" w:ascii="仿宋_GB2312" w:hAnsi="仿宋_GB2312" w:eastAsia="仿宋_GB2312" w:cs="仿宋_GB2312"/>
          <w:color w:val="auto"/>
          <w:kern w:val="2"/>
          <w:sz w:val="32"/>
          <w:szCs w:val="32"/>
          <w:lang w:eastAsia="zh-CN"/>
        </w:rPr>
        <w:t>（二）学生公寓区的综合治理和安全监督管理由</w:t>
      </w:r>
      <w:r>
        <w:rPr>
          <w:rFonts w:hint="eastAsia" w:ascii="仿宋_GB2312" w:hAnsi="仿宋_GB2312" w:eastAsia="仿宋_GB2312" w:cs="仿宋_GB2312"/>
          <w:color w:val="auto"/>
          <w:kern w:val="2"/>
          <w:sz w:val="32"/>
          <w:szCs w:val="32"/>
          <w:lang w:val="en-US" w:eastAsia="zh-CN"/>
        </w:rPr>
        <w:t>总务办</w:t>
      </w:r>
      <w:r>
        <w:rPr>
          <w:rFonts w:hint="eastAsia" w:ascii="仿宋_GB2312" w:hAnsi="仿宋_GB2312" w:eastAsia="仿宋_GB2312" w:cs="仿宋_GB2312"/>
          <w:color w:val="auto"/>
          <w:kern w:val="2"/>
          <w:sz w:val="32"/>
          <w:szCs w:val="32"/>
          <w:lang w:eastAsia="zh-CN"/>
        </w:rPr>
        <w:t>公室负责；</w:t>
      </w:r>
      <w:r>
        <w:rPr>
          <w:rFonts w:hint="eastAsia" w:ascii="仿宋_GB2312" w:hAnsi="仿宋_GB2312" w:eastAsia="仿宋_GB2312" w:cs="仿宋_GB2312"/>
          <w:color w:val="auto"/>
          <w:kern w:val="2"/>
          <w:sz w:val="32"/>
          <w:szCs w:val="32"/>
          <w:lang w:eastAsia="zh-CN"/>
        </w:rPr>
        <w:br w:type="textWrapping"/>
      </w:r>
      <w:r>
        <w:rPr>
          <w:rFonts w:hint="eastAsia" w:ascii="仿宋_GB2312" w:hAnsi="仿宋_GB2312" w:eastAsia="仿宋_GB2312" w:cs="仿宋_GB2312"/>
          <w:color w:val="auto"/>
          <w:kern w:val="2"/>
          <w:sz w:val="32"/>
          <w:szCs w:val="32"/>
          <w:highlight w:val="none"/>
          <w:lang w:val="en-US" w:eastAsia="zh-CN"/>
        </w:rPr>
        <w:t xml:space="preserve">    </w:t>
      </w:r>
      <w:r>
        <w:rPr>
          <w:rFonts w:hint="eastAsia" w:ascii="仿宋_GB2312" w:hAnsi="仿宋_GB2312" w:eastAsia="仿宋_GB2312" w:cs="仿宋_GB2312"/>
          <w:color w:val="auto"/>
          <w:kern w:val="2"/>
          <w:sz w:val="32"/>
          <w:szCs w:val="32"/>
          <w:highlight w:val="none"/>
          <w:lang w:eastAsia="zh-CN"/>
        </w:rPr>
        <w:t>（三）实验室的安全监督管理由科研处负责；</w:t>
      </w:r>
      <w:r>
        <w:rPr>
          <w:rFonts w:hint="eastAsia" w:ascii="仿宋_GB2312" w:hAnsi="仿宋_GB2312" w:eastAsia="仿宋_GB2312" w:cs="仿宋_GB2312"/>
          <w:color w:val="auto"/>
          <w:kern w:val="2"/>
          <w:sz w:val="32"/>
          <w:szCs w:val="32"/>
          <w:highlight w:val="none"/>
          <w:lang w:eastAsia="zh-CN"/>
        </w:rPr>
        <w:br w:type="textWrapping"/>
      </w:r>
      <w:r>
        <w:rPr>
          <w:rFonts w:hint="eastAsia" w:ascii="仿宋_GB2312" w:hAnsi="仿宋_GB2312" w:eastAsia="仿宋_GB2312" w:cs="仿宋_GB2312"/>
          <w:color w:val="auto"/>
          <w:kern w:val="2"/>
          <w:sz w:val="32"/>
          <w:szCs w:val="32"/>
          <w:lang w:val="en-US" w:eastAsia="zh-CN"/>
        </w:rPr>
        <w:t xml:space="preserve">    </w:t>
      </w:r>
      <w:r>
        <w:rPr>
          <w:rFonts w:hint="eastAsia" w:ascii="仿宋_GB2312" w:hAnsi="仿宋_GB2312" w:eastAsia="仿宋_GB2312" w:cs="仿宋_GB2312"/>
          <w:color w:val="auto"/>
          <w:kern w:val="2"/>
          <w:sz w:val="32"/>
          <w:szCs w:val="32"/>
          <w:lang w:eastAsia="zh-CN"/>
        </w:rPr>
        <w:t>（四）计算机网络的安全监督管理由信</w:t>
      </w:r>
      <w:r>
        <w:rPr>
          <w:rFonts w:hint="eastAsia" w:ascii="仿宋_GB2312" w:hAnsi="仿宋_GB2312" w:eastAsia="仿宋_GB2312" w:cs="仿宋_GB2312"/>
          <w:color w:val="auto"/>
          <w:kern w:val="2"/>
          <w:sz w:val="32"/>
          <w:szCs w:val="32"/>
          <w:lang w:val="en-US" w:eastAsia="zh-CN"/>
        </w:rPr>
        <w:t>息与数据服务</w:t>
      </w:r>
      <w:r>
        <w:rPr>
          <w:rFonts w:hint="eastAsia" w:ascii="仿宋_GB2312" w:hAnsi="仿宋_GB2312" w:eastAsia="仿宋_GB2312" w:cs="仿宋_GB2312"/>
          <w:color w:val="auto"/>
          <w:kern w:val="2"/>
          <w:sz w:val="32"/>
          <w:szCs w:val="32"/>
          <w:lang w:eastAsia="zh-CN"/>
        </w:rPr>
        <w:t>中心负责；</w:t>
      </w:r>
      <w:r>
        <w:rPr>
          <w:rFonts w:hint="eastAsia" w:ascii="仿宋_GB2312" w:hAnsi="仿宋_GB2312" w:eastAsia="仿宋_GB2312" w:cs="仿宋_GB2312"/>
          <w:color w:val="auto"/>
          <w:kern w:val="2"/>
          <w:sz w:val="32"/>
          <w:szCs w:val="32"/>
          <w:lang w:eastAsia="zh-CN"/>
        </w:rPr>
        <w:br w:type="textWrapping"/>
      </w:r>
      <w:r>
        <w:rPr>
          <w:rFonts w:hint="eastAsia" w:ascii="仿宋_GB2312" w:hAnsi="仿宋_GB2312" w:eastAsia="仿宋_GB2312" w:cs="仿宋_GB2312"/>
          <w:color w:val="auto"/>
          <w:kern w:val="2"/>
          <w:sz w:val="32"/>
          <w:szCs w:val="32"/>
          <w:lang w:val="en-US" w:eastAsia="zh-CN"/>
        </w:rPr>
        <w:t xml:space="preserve">    </w:t>
      </w:r>
      <w:r>
        <w:rPr>
          <w:rFonts w:hint="eastAsia" w:ascii="仿宋_GB2312" w:hAnsi="仿宋_GB2312" w:eastAsia="仿宋_GB2312" w:cs="仿宋_GB2312"/>
          <w:color w:val="auto"/>
          <w:kern w:val="2"/>
          <w:sz w:val="32"/>
          <w:szCs w:val="32"/>
          <w:lang w:eastAsia="zh-CN"/>
        </w:rPr>
        <w:t>（五）学</w:t>
      </w:r>
      <w:r>
        <w:rPr>
          <w:rFonts w:hint="eastAsia" w:ascii="仿宋_GB2312" w:hAnsi="仿宋_GB2312" w:eastAsia="仿宋_GB2312" w:cs="仿宋_GB2312"/>
          <w:color w:val="auto"/>
          <w:kern w:val="2"/>
          <w:sz w:val="32"/>
          <w:szCs w:val="32"/>
          <w:lang w:val="en-US" w:eastAsia="zh-CN"/>
        </w:rPr>
        <w:t>院</w:t>
      </w:r>
      <w:r>
        <w:rPr>
          <w:rFonts w:hint="eastAsia" w:ascii="仿宋_GB2312" w:hAnsi="仿宋_GB2312" w:eastAsia="仿宋_GB2312" w:cs="仿宋_GB2312"/>
          <w:color w:val="auto"/>
          <w:kern w:val="2"/>
          <w:sz w:val="32"/>
          <w:szCs w:val="32"/>
          <w:lang w:eastAsia="zh-CN"/>
        </w:rPr>
        <w:t>房屋建筑（重点涉及房屋建筑结构、屋顶及外立面等方面）及土地权属的安全监督管理由总务办公室负责；</w:t>
      </w:r>
    </w:p>
    <w:p w14:paraId="5E456E9A">
      <w:pPr>
        <w:autoSpaceDE/>
        <w:autoSpaceDN/>
        <w:spacing w:line="560" w:lineRule="exact"/>
        <w:ind w:firstLine="640"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color w:val="auto"/>
          <w:kern w:val="2"/>
          <w:sz w:val="32"/>
          <w:szCs w:val="32"/>
          <w:lang w:eastAsia="zh-CN"/>
        </w:rPr>
        <w:t>（六）在建工地及其临时生活区的安全监督管理由总务办公室</w:t>
      </w:r>
      <w:r>
        <w:rPr>
          <w:rFonts w:hint="eastAsia" w:ascii="仿宋_GB2312" w:hAnsi="仿宋_GB2312" w:eastAsia="仿宋_GB2312" w:cs="仿宋_GB2312"/>
          <w:color w:val="auto"/>
          <w:kern w:val="2"/>
          <w:sz w:val="32"/>
          <w:szCs w:val="32"/>
          <w:lang w:val="en-US" w:eastAsia="zh-CN"/>
        </w:rPr>
        <w:t>等</w:t>
      </w:r>
      <w:r>
        <w:rPr>
          <w:rFonts w:hint="eastAsia" w:ascii="仿宋_GB2312" w:hAnsi="仿宋_GB2312" w:eastAsia="仿宋_GB2312" w:cs="仿宋_GB2312"/>
          <w:color w:val="auto"/>
          <w:kern w:val="2"/>
          <w:sz w:val="32"/>
          <w:szCs w:val="32"/>
          <w:lang w:eastAsia="zh-CN"/>
        </w:rPr>
        <w:t>承担建设项目管理职责的单位负责；</w:t>
      </w:r>
      <w:r>
        <w:rPr>
          <w:rFonts w:hint="eastAsia" w:ascii="仿宋_GB2312" w:hAnsi="仿宋_GB2312" w:eastAsia="仿宋_GB2312" w:cs="仿宋_GB2312"/>
          <w:color w:val="auto"/>
          <w:kern w:val="2"/>
          <w:sz w:val="32"/>
          <w:szCs w:val="32"/>
          <w:lang w:eastAsia="zh-CN"/>
        </w:rPr>
        <w:br w:type="textWrapping"/>
      </w:r>
      <w:r>
        <w:rPr>
          <w:rFonts w:hint="eastAsia" w:ascii="仿宋_GB2312" w:hAnsi="仿宋_GB2312" w:eastAsia="仿宋_GB2312" w:cs="仿宋_GB2312"/>
          <w:color w:val="auto"/>
          <w:kern w:val="2"/>
          <w:sz w:val="32"/>
          <w:szCs w:val="32"/>
          <w:lang w:val="en-US" w:eastAsia="zh-CN"/>
        </w:rPr>
        <w:t xml:space="preserve">    </w:t>
      </w:r>
      <w:r>
        <w:rPr>
          <w:rFonts w:hint="eastAsia" w:ascii="仿宋_GB2312" w:hAnsi="仿宋_GB2312" w:eastAsia="仿宋_GB2312" w:cs="仿宋_GB2312"/>
          <w:color w:val="auto"/>
          <w:kern w:val="2"/>
          <w:sz w:val="32"/>
          <w:szCs w:val="32"/>
          <w:lang w:eastAsia="zh-CN"/>
        </w:rPr>
        <w:t>（七）市政基础设施、人防地下空间和室外构筑物（实验设备类除外）的安全监督管理由总务办公室负责；</w:t>
      </w:r>
      <w:r>
        <w:rPr>
          <w:rFonts w:hint="eastAsia" w:ascii="仿宋_GB2312" w:hAnsi="仿宋_GB2312" w:eastAsia="仿宋_GB2312" w:cs="仿宋_GB2312"/>
          <w:color w:val="auto"/>
          <w:kern w:val="2"/>
          <w:sz w:val="32"/>
          <w:szCs w:val="32"/>
          <w:lang w:eastAsia="zh-CN"/>
        </w:rPr>
        <w:br w:type="textWrapping"/>
      </w:r>
      <w:r>
        <w:rPr>
          <w:rFonts w:hint="eastAsia" w:ascii="仿宋_GB2312" w:hAnsi="仿宋_GB2312" w:eastAsia="仿宋_GB2312" w:cs="仿宋_GB2312"/>
          <w:color w:val="auto"/>
          <w:kern w:val="2"/>
          <w:sz w:val="32"/>
          <w:szCs w:val="32"/>
          <w:lang w:val="en-US" w:eastAsia="zh-CN"/>
        </w:rPr>
        <w:t xml:space="preserve">    </w:t>
      </w:r>
      <w:r>
        <w:rPr>
          <w:rFonts w:hint="eastAsia" w:ascii="仿宋_GB2312" w:hAnsi="仿宋_GB2312" w:eastAsia="仿宋_GB2312" w:cs="仿宋_GB2312"/>
          <w:color w:val="auto"/>
          <w:kern w:val="2"/>
          <w:sz w:val="32"/>
          <w:szCs w:val="32"/>
          <w:lang w:eastAsia="zh-CN"/>
        </w:rPr>
        <w:t>（八）校园食品安全监督管理由总务办公室负责。</w:t>
      </w:r>
      <w:r>
        <w:rPr>
          <w:rFonts w:hint="eastAsia" w:ascii="仿宋_GB2312" w:hAnsi="仿宋_GB2312" w:eastAsia="仿宋_GB2312" w:cs="仿宋_GB2312"/>
          <w:color w:val="auto"/>
          <w:kern w:val="2"/>
          <w:sz w:val="32"/>
          <w:szCs w:val="32"/>
          <w:lang w:eastAsia="zh-CN"/>
        </w:rPr>
        <w:br w:type="textWrapping"/>
      </w:r>
      <w:r>
        <w:rPr>
          <w:rFonts w:hint="eastAsia" w:ascii="仿宋_GB2312" w:hAnsi="仿宋_GB2312" w:eastAsia="仿宋_GB2312" w:cs="仿宋_GB2312"/>
          <w:color w:val="auto"/>
          <w:kern w:val="2"/>
          <w:sz w:val="32"/>
          <w:szCs w:val="32"/>
          <w:lang w:val="en-US" w:eastAsia="zh-CN"/>
        </w:rPr>
        <w:t xml:space="preserve">    </w:t>
      </w:r>
      <w:r>
        <w:rPr>
          <w:rFonts w:hint="eastAsia" w:ascii="仿宋_GB2312" w:hAnsi="仿宋_GB2312" w:eastAsia="仿宋_GB2312" w:cs="仿宋_GB2312"/>
          <w:color w:val="auto"/>
          <w:kern w:val="2"/>
          <w:sz w:val="32"/>
          <w:szCs w:val="32"/>
          <w:lang w:eastAsia="zh-CN"/>
        </w:rPr>
        <w:t>其他相关范围的安全监督管理，由校园综合治理工作领导小组研究确定分管部门。</w:t>
      </w:r>
    </w:p>
    <w:p w14:paraId="33B3497C">
      <w:pPr>
        <w:autoSpaceDE/>
        <w:autoSpaceDN/>
        <w:spacing w:line="560" w:lineRule="exact"/>
        <w:ind w:left="638" w:leftChars="290" w:firstLine="0" w:firstLineChars="0"/>
        <w:jc w:val="left"/>
        <w:rPr>
          <w:rFonts w:hint="eastAsia" w:ascii="仿宋_GB2312" w:hAnsi="仿宋_GB2312" w:eastAsia="仿宋_GB2312" w:cs="仿宋_GB2312"/>
          <w:color w:val="auto"/>
          <w:kern w:val="2"/>
          <w:sz w:val="32"/>
          <w:szCs w:val="32"/>
          <w:highlight w:val="yellow"/>
          <w:lang w:eastAsia="zh-CN"/>
        </w:rPr>
      </w:pPr>
      <w:r>
        <w:rPr>
          <w:rFonts w:hint="eastAsia" w:ascii="仿宋_GB2312" w:hAnsi="仿宋_GB2312" w:eastAsia="仿宋_GB2312" w:cs="仿宋_GB2312"/>
          <w:b/>
          <w:bCs/>
          <w:color w:val="auto"/>
          <w:kern w:val="2"/>
          <w:sz w:val="32"/>
          <w:szCs w:val="32"/>
          <w:lang w:eastAsia="zh-CN"/>
        </w:rPr>
        <w:t xml:space="preserve">第九条 </w:t>
      </w:r>
      <w:r>
        <w:rPr>
          <w:rFonts w:hint="eastAsia" w:ascii="仿宋_GB2312" w:hAnsi="仿宋_GB2312" w:eastAsia="仿宋_GB2312" w:cs="仿宋_GB2312"/>
          <w:color w:val="auto"/>
          <w:kern w:val="2"/>
          <w:sz w:val="32"/>
          <w:szCs w:val="32"/>
          <w:lang w:eastAsia="zh-CN"/>
        </w:rPr>
        <w:t>分管部门安全监督管理职责</w:t>
      </w:r>
      <w:r>
        <w:rPr>
          <w:rFonts w:hint="eastAsia" w:ascii="仿宋_GB2312" w:hAnsi="仿宋_GB2312" w:eastAsia="仿宋_GB2312" w:cs="仿宋_GB2312"/>
          <w:color w:val="auto"/>
          <w:kern w:val="2"/>
          <w:sz w:val="32"/>
          <w:szCs w:val="32"/>
          <w:highlight w:val="none"/>
          <w:lang w:eastAsia="zh-CN"/>
        </w:rPr>
        <w:t>：</w:t>
      </w:r>
    </w:p>
    <w:p w14:paraId="5E5435FB">
      <w:pPr>
        <w:autoSpaceDE/>
        <w:autoSpaceDN/>
        <w:spacing w:line="560" w:lineRule="exact"/>
        <w:ind w:firstLine="640"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color w:val="auto"/>
          <w:kern w:val="2"/>
          <w:sz w:val="32"/>
          <w:szCs w:val="32"/>
          <w:lang w:eastAsia="zh-CN"/>
        </w:rPr>
        <w:t>（一）执行安全管理工作相关法律法规、规章以及学院规定；</w:t>
      </w:r>
      <w:r>
        <w:rPr>
          <w:rFonts w:hint="eastAsia" w:ascii="仿宋_GB2312" w:hAnsi="仿宋_GB2312" w:eastAsia="仿宋_GB2312" w:cs="仿宋_GB2312"/>
          <w:color w:val="auto"/>
          <w:kern w:val="2"/>
          <w:sz w:val="32"/>
          <w:szCs w:val="32"/>
          <w:lang w:eastAsia="zh-CN"/>
        </w:rPr>
        <w:br w:type="textWrapping"/>
      </w:r>
      <w:r>
        <w:rPr>
          <w:rFonts w:hint="eastAsia" w:ascii="仿宋_GB2312" w:hAnsi="仿宋_GB2312" w:eastAsia="仿宋_GB2312" w:cs="仿宋_GB2312"/>
          <w:color w:val="auto"/>
          <w:kern w:val="2"/>
          <w:sz w:val="32"/>
          <w:szCs w:val="32"/>
          <w:lang w:val="en-US" w:eastAsia="zh-CN"/>
        </w:rPr>
        <w:t xml:space="preserve">    </w:t>
      </w:r>
      <w:r>
        <w:rPr>
          <w:rFonts w:hint="eastAsia" w:ascii="仿宋_GB2312" w:hAnsi="仿宋_GB2312" w:eastAsia="仿宋_GB2312" w:cs="仿宋_GB2312"/>
          <w:color w:val="auto"/>
          <w:kern w:val="2"/>
          <w:sz w:val="32"/>
          <w:szCs w:val="32"/>
          <w:lang w:eastAsia="zh-CN"/>
        </w:rPr>
        <w:t>（二）组织制定职责范围内安全管理工作具体实施办法；</w:t>
      </w:r>
      <w:r>
        <w:rPr>
          <w:rFonts w:hint="eastAsia" w:ascii="仿宋_GB2312" w:hAnsi="仿宋_GB2312" w:eastAsia="仿宋_GB2312" w:cs="仿宋_GB2312"/>
          <w:color w:val="auto"/>
          <w:kern w:val="2"/>
          <w:sz w:val="32"/>
          <w:szCs w:val="32"/>
          <w:lang w:eastAsia="zh-CN"/>
        </w:rPr>
        <w:br w:type="textWrapping"/>
      </w:r>
      <w:r>
        <w:rPr>
          <w:rFonts w:hint="eastAsia" w:ascii="仿宋_GB2312" w:hAnsi="仿宋_GB2312" w:eastAsia="仿宋_GB2312" w:cs="仿宋_GB2312"/>
          <w:color w:val="auto"/>
          <w:kern w:val="2"/>
          <w:sz w:val="32"/>
          <w:szCs w:val="32"/>
          <w:lang w:val="en-US" w:eastAsia="zh-CN"/>
        </w:rPr>
        <w:t xml:space="preserve">    </w:t>
      </w:r>
      <w:r>
        <w:rPr>
          <w:rFonts w:hint="eastAsia" w:ascii="仿宋_GB2312" w:hAnsi="仿宋_GB2312" w:eastAsia="仿宋_GB2312" w:cs="仿宋_GB2312"/>
          <w:color w:val="auto"/>
          <w:kern w:val="2"/>
          <w:sz w:val="32"/>
          <w:szCs w:val="32"/>
          <w:lang w:eastAsia="zh-CN"/>
        </w:rPr>
        <w:t>（三）制定并实施职责范围内的安全宣传、教育和培训计划；</w:t>
      </w:r>
      <w:r>
        <w:rPr>
          <w:rFonts w:hint="eastAsia" w:ascii="仿宋_GB2312" w:hAnsi="仿宋_GB2312" w:eastAsia="仿宋_GB2312" w:cs="仿宋_GB2312"/>
          <w:color w:val="auto"/>
          <w:kern w:val="2"/>
          <w:sz w:val="32"/>
          <w:szCs w:val="32"/>
          <w:lang w:eastAsia="zh-CN"/>
        </w:rPr>
        <w:br w:type="textWrapping"/>
      </w:r>
      <w:r>
        <w:rPr>
          <w:rFonts w:hint="eastAsia" w:ascii="仿宋_GB2312" w:hAnsi="仿宋_GB2312" w:eastAsia="仿宋_GB2312" w:cs="仿宋_GB2312"/>
          <w:color w:val="auto"/>
          <w:kern w:val="2"/>
          <w:sz w:val="32"/>
          <w:szCs w:val="32"/>
          <w:lang w:val="en-US" w:eastAsia="zh-CN"/>
        </w:rPr>
        <w:t xml:space="preserve">    </w:t>
      </w:r>
      <w:r>
        <w:rPr>
          <w:rFonts w:hint="eastAsia" w:ascii="仿宋_GB2312" w:hAnsi="仿宋_GB2312" w:eastAsia="仿宋_GB2312" w:cs="仿宋_GB2312"/>
          <w:color w:val="auto"/>
          <w:kern w:val="2"/>
          <w:sz w:val="32"/>
          <w:szCs w:val="32"/>
          <w:lang w:eastAsia="zh-CN"/>
        </w:rPr>
        <w:t>（四）组织开展职责范围内安全监督检查及安全隐患整改工作；</w:t>
      </w:r>
      <w:r>
        <w:rPr>
          <w:rFonts w:hint="eastAsia" w:ascii="仿宋_GB2312" w:hAnsi="仿宋_GB2312" w:eastAsia="仿宋_GB2312" w:cs="仿宋_GB2312"/>
          <w:color w:val="auto"/>
          <w:kern w:val="2"/>
          <w:sz w:val="32"/>
          <w:szCs w:val="32"/>
          <w:lang w:eastAsia="zh-CN"/>
        </w:rPr>
        <w:br w:type="textWrapping"/>
      </w:r>
      <w:r>
        <w:rPr>
          <w:rFonts w:hint="eastAsia" w:ascii="仿宋_GB2312" w:hAnsi="仿宋_GB2312" w:eastAsia="仿宋_GB2312" w:cs="仿宋_GB2312"/>
          <w:color w:val="auto"/>
          <w:kern w:val="2"/>
          <w:sz w:val="32"/>
          <w:szCs w:val="32"/>
          <w:lang w:val="en-US" w:eastAsia="zh-CN"/>
        </w:rPr>
        <w:t xml:space="preserve">    </w:t>
      </w:r>
      <w:r>
        <w:rPr>
          <w:rFonts w:hint="eastAsia" w:ascii="仿宋_GB2312" w:hAnsi="仿宋_GB2312" w:eastAsia="仿宋_GB2312" w:cs="仿宋_GB2312"/>
          <w:color w:val="auto"/>
          <w:kern w:val="2"/>
          <w:sz w:val="32"/>
          <w:szCs w:val="32"/>
          <w:lang w:eastAsia="zh-CN"/>
        </w:rPr>
        <w:t>（五）对安全隐患和责任事故提出整改或处理建议。</w:t>
      </w:r>
    </w:p>
    <w:p w14:paraId="0E63D8BB">
      <w:pPr>
        <w:autoSpaceDE/>
        <w:autoSpaceDN/>
        <w:spacing w:line="560" w:lineRule="exact"/>
        <w:ind w:firstLine="643"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b/>
          <w:bCs/>
          <w:color w:val="auto"/>
          <w:kern w:val="2"/>
          <w:sz w:val="32"/>
          <w:szCs w:val="32"/>
          <w:lang w:eastAsia="zh-CN"/>
        </w:rPr>
        <w:t xml:space="preserve">第十条 </w:t>
      </w:r>
      <w:r>
        <w:rPr>
          <w:rFonts w:hint="eastAsia" w:ascii="仿宋_GB2312" w:hAnsi="仿宋_GB2312" w:eastAsia="仿宋_GB2312" w:cs="仿宋_GB2312"/>
          <w:color w:val="auto"/>
          <w:kern w:val="2"/>
          <w:sz w:val="32"/>
          <w:szCs w:val="32"/>
          <w:lang w:eastAsia="zh-CN"/>
        </w:rPr>
        <w:t>各单位应当就所使用管理的房屋建筑和设备设施、所实施的建设项目、人员等履行安全管理主体责任。各单位应当履行下列安全职责：</w:t>
      </w:r>
    </w:p>
    <w:p w14:paraId="149D6EFF">
      <w:pPr>
        <w:autoSpaceDE/>
        <w:autoSpaceDN/>
        <w:spacing w:line="560" w:lineRule="exact"/>
        <w:ind w:firstLine="640"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color w:val="auto"/>
          <w:kern w:val="2"/>
          <w:sz w:val="32"/>
          <w:szCs w:val="32"/>
          <w:lang w:eastAsia="zh-CN"/>
        </w:rPr>
        <w:t>（一）落实学院安全管理相关规定，建立健全本单位安全管理工作责任制；</w:t>
      </w:r>
      <w:r>
        <w:rPr>
          <w:rFonts w:hint="eastAsia" w:ascii="仿宋_GB2312" w:hAnsi="仿宋_GB2312" w:eastAsia="仿宋_GB2312" w:cs="仿宋_GB2312"/>
          <w:color w:val="auto"/>
          <w:kern w:val="2"/>
          <w:sz w:val="32"/>
          <w:szCs w:val="32"/>
          <w:lang w:eastAsia="zh-CN"/>
        </w:rPr>
        <w:br w:type="textWrapping"/>
      </w:r>
      <w:r>
        <w:rPr>
          <w:rFonts w:hint="eastAsia" w:ascii="仿宋_GB2312" w:hAnsi="仿宋_GB2312" w:eastAsia="仿宋_GB2312" w:cs="仿宋_GB2312"/>
          <w:color w:val="auto"/>
          <w:kern w:val="2"/>
          <w:sz w:val="32"/>
          <w:szCs w:val="32"/>
          <w:lang w:val="en-US" w:eastAsia="zh-CN"/>
        </w:rPr>
        <w:t xml:space="preserve">    </w:t>
      </w:r>
      <w:r>
        <w:rPr>
          <w:rFonts w:hint="eastAsia" w:ascii="仿宋_GB2312" w:hAnsi="仿宋_GB2312" w:eastAsia="仿宋_GB2312" w:cs="仿宋_GB2312"/>
          <w:color w:val="auto"/>
          <w:kern w:val="2"/>
          <w:sz w:val="32"/>
          <w:szCs w:val="32"/>
          <w:lang w:eastAsia="zh-CN"/>
        </w:rPr>
        <w:t>（二）制定本单位年度安全工作计划，落实安全管理经费；</w:t>
      </w:r>
      <w:r>
        <w:rPr>
          <w:rFonts w:hint="eastAsia" w:ascii="仿宋_GB2312" w:hAnsi="仿宋_GB2312" w:eastAsia="仿宋_GB2312" w:cs="仿宋_GB2312"/>
          <w:color w:val="auto"/>
          <w:kern w:val="2"/>
          <w:sz w:val="32"/>
          <w:szCs w:val="32"/>
          <w:lang w:eastAsia="zh-CN"/>
        </w:rPr>
        <w:br w:type="textWrapping"/>
      </w:r>
      <w:r>
        <w:rPr>
          <w:rFonts w:hint="eastAsia" w:ascii="仿宋_GB2312" w:hAnsi="仿宋_GB2312" w:eastAsia="仿宋_GB2312" w:cs="仿宋_GB2312"/>
          <w:color w:val="auto"/>
          <w:kern w:val="2"/>
          <w:sz w:val="32"/>
          <w:szCs w:val="32"/>
          <w:lang w:val="en-US" w:eastAsia="zh-CN"/>
        </w:rPr>
        <w:t xml:space="preserve">    </w:t>
      </w:r>
      <w:r>
        <w:rPr>
          <w:rFonts w:hint="eastAsia" w:ascii="仿宋_GB2312" w:hAnsi="仿宋_GB2312" w:eastAsia="仿宋_GB2312" w:cs="仿宋_GB2312"/>
          <w:color w:val="auto"/>
          <w:kern w:val="2"/>
          <w:sz w:val="32"/>
          <w:szCs w:val="32"/>
          <w:lang w:eastAsia="zh-CN"/>
        </w:rPr>
        <w:t>（三）制定本单位的安全管理规章制度和安全操作规程；</w:t>
      </w:r>
      <w:r>
        <w:rPr>
          <w:rFonts w:hint="eastAsia" w:ascii="仿宋_GB2312" w:hAnsi="仿宋_GB2312" w:eastAsia="仿宋_GB2312" w:cs="仿宋_GB2312"/>
          <w:color w:val="auto"/>
          <w:kern w:val="2"/>
          <w:sz w:val="32"/>
          <w:szCs w:val="32"/>
          <w:lang w:eastAsia="zh-CN"/>
        </w:rPr>
        <w:br w:type="textWrapping"/>
      </w:r>
      <w:r>
        <w:rPr>
          <w:rFonts w:hint="eastAsia" w:ascii="仿宋_GB2312" w:hAnsi="仿宋_GB2312" w:eastAsia="仿宋_GB2312" w:cs="仿宋_GB2312"/>
          <w:color w:val="auto"/>
          <w:kern w:val="2"/>
          <w:sz w:val="32"/>
          <w:szCs w:val="32"/>
          <w:lang w:val="en-US" w:eastAsia="zh-CN"/>
        </w:rPr>
        <w:t xml:space="preserve">    </w:t>
      </w:r>
      <w:r>
        <w:rPr>
          <w:rFonts w:hint="eastAsia" w:ascii="仿宋_GB2312" w:hAnsi="仿宋_GB2312" w:eastAsia="仿宋_GB2312" w:cs="仿宋_GB2312"/>
          <w:color w:val="auto"/>
          <w:kern w:val="2"/>
          <w:sz w:val="32"/>
          <w:szCs w:val="32"/>
          <w:lang w:eastAsia="zh-CN"/>
        </w:rPr>
        <w:t>（四）制定并实施本单位的安全教育和培训计划；</w:t>
      </w:r>
      <w:r>
        <w:rPr>
          <w:rFonts w:hint="eastAsia" w:ascii="仿宋_GB2312" w:hAnsi="仿宋_GB2312" w:eastAsia="仿宋_GB2312" w:cs="仿宋_GB2312"/>
          <w:color w:val="auto"/>
          <w:kern w:val="2"/>
          <w:sz w:val="32"/>
          <w:szCs w:val="32"/>
          <w:lang w:eastAsia="zh-CN"/>
        </w:rPr>
        <w:br w:type="textWrapping"/>
      </w:r>
      <w:r>
        <w:rPr>
          <w:rFonts w:hint="eastAsia" w:ascii="仿宋_GB2312" w:hAnsi="仿宋_GB2312" w:eastAsia="仿宋_GB2312" w:cs="仿宋_GB2312"/>
          <w:color w:val="auto"/>
          <w:kern w:val="2"/>
          <w:sz w:val="32"/>
          <w:szCs w:val="32"/>
          <w:lang w:val="en-US" w:eastAsia="zh-CN"/>
        </w:rPr>
        <w:t xml:space="preserve">    </w:t>
      </w:r>
      <w:r>
        <w:rPr>
          <w:rFonts w:hint="eastAsia" w:ascii="仿宋_GB2312" w:hAnsi="仿宋_GB2312" w:eastAsia="仿宋_GB2312" w:cs="仿宋_GB2312"/>
          <w:color w:val="auto"/>
          <w:kern w:val="2"/>
          <w:sz w:val="32"/>
          <w:szCs w:val="32"/>
          <w:lang w:eastAsia="zh-CN"/>
        </w:rPr>
        <w:t>（五）落实本单位安全管理日常监督检查工作，及时消除安全事故隐患；</w:t>
      </w:r>
      <w:r>
        <w:rPr>
          <w:rFonts w:hint="eastAsia" w:ascii="仿宋_GB2312" w:hAnsi="仿宋_GB2312" w:eastAsia="仿宋_GB2312" w:cs="仿宋_GB2312"/>
          <w:color w:val="auto"/>
          <w:kern w:val="2"/>
          <w:sz w:val="32"/>
          <w:szCs w:val="32"/>
          <w:lang w:eastAsia="zh-CN"/>
        </w:rPr>
        <w:br w:type="textWrapping"/>
      </w:r>
      <w:r>
        <w:rPr>
          <w:rFonts w:hint="eastAsia" w:ascii="仿宋_GB2312" w:hAnsi="仿宋_GB2312" w:eastAsia="仿宋_GB2312" w:cs="仿宋_GB2312"/>
          <w:color w:val="auto"/>
          <w:kern w:val="2"/>
          <w:sz w:val="32"/>
          <w:szCs w:val="32"/>
          <w:lang w:val="en-US" w:eastAsia="zh-CN"/>
        </w:rPr>
        <w:t xml:space="preserve">    </w:t>
      </w:r>
      <w:r>
        <w:rPr>
          <w:rFonts w:hint="eastAsia" w:ascii="仿宋_GB2312" w:hAnsi="仿宋_GB2312" w:eastAsia="仿宋_GB2312" w:cs="仿宋_GB2312"/>
          <w:color w:val="auto"/>
          <w:kern w:val="2"/>
          <w:sz w:val="32"/>
          <w:szCs w:val="32"/>
          <w:lang w:eastAsia="zh-CN"/>
        </w:rPr>
        <w:t>（六）制定并实施本单位的安全事故应急预案；</w:t>
      </w:r>
      <w:r>
        <w:rPr>
          <w:rFonts w:hint="eastAsia" w:ascii="仿宋_GB2312" w:hAnsi="仿宋_GB2312" w:eastAsia="仿宋_GB2312" w:cs="仿宋_GB2312"/>
          <w:color w:val="auto"/>
          <w:kern w:val="2"/>
          <w:sz w:val="32"/>
          <w:szCs w:val="32"/>
          <w:lang w:eastAsia="zh-CN"/>
        </w:rPr>
        <w:br w:type="textWrapping"/>
      </w:r>
      <w:r>
        <w:rPr>
          <w:rFonts w:hint="eastAsia" w:ascii="仿宋_GB2312" w:hAnsi="仿宋_GB2312" w:eastAsia="仿宋_GB2312" w:cs="仿宋_GB2312"/>
          <w:color w:val="auto"/>
          <w:kern w:val="2"/>
          <w:sz w:val="32"/>
          <w:szCs w:val="32"/>
          <w:lang w:val="en-US" w:eastAsia="zh-CN"/>
        </w:rPr>
        <w:t xml:space="preserve">    </w:t>
      </w:r>
      <w:r>
        <w:rPr>
          <w:rFonts w:hint="eastAsia" w:ascii="仿宋_GB2312" w:hAnsi="仿宋_GB2312" w:eastAsia="仿宋_GB2312" w:cs="仿宋_GB2312"/>
          <w:color w:val="auto"/>
          <w:kern w:val="2"/>
          <w:sz w:val="32"/>
          <w:szCs w:val="32"/>
          <w:lang w:eastAsia="zh-CN"/>
        </w:rPr>
        <w:t>（七）及时报告并采取措施妥善处置安全事故，保护事故现场，接受事故调查。</w:t>
      </w:r>
    </w:p>
    <w:p w14:paraId="024D5723">
      <w:pPr>
        <w:autoSpaceDE/>
        <w:autoSpaceDN/>
        <w:spacing w:line="560" w:lineRule="exact"/>
        <w:ind w:firstLine="643"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b/>
          <w:bCs/>
          <w:color w:val="auto"/>
          <w:kern w:val="2"/>
          <w:sz w:val="32"/>
          <w:szCs w:val="32"/>
          <w:lang w:eastAsia="zh-CN"/>
        </w:rPr>
        <w:t xml:space="preserve">第十一条 </w:t>
      </w:r>
      <w:r>
        <w:rPr>
          <w:rFonts w:hint="eastAsia" w:ascii="仿宋_GB2312" w:hAnsi="仿宋_GB2312" w:eastAsia="仿宋_GB2312" w:cs="仿宋_GB2312"/>
          <w:color w:val="auto"/>
          <w:kern w:val="2"/>
          <w:sz w:val="32"/>
          <w:szCs w:val="32"/>
          <w:lang w:eastAsia="zh-CN"/>
        </w:rPr>
        <w:t>各单位主要负责人为本单位安全责任人，全面负责本单位安全管理工作。</w:t>
      </w:r>
      <w:r>
        <w:rPr>
          <w:rFonts w:hint="eastAsia" w:ascii="仿宋_GB2312" w:hAnsi="仿宋_GB2312" w:eastAsia="仿宋_GB2312" w:cs="仿宋_GB2312"/>
          <w:color w:val="auto"/>
          <w:kern w:val="2"/>
          <w:sz w:val="32"/>
          <w:szCs w:val="32"/>
          <w:lang w:eastAsia="zh-CN"/>
        </w:rPr>
        <w:br w:type="textWrapping"/>
      </w:r>
      <w:r>
        <w:rPr>
          <w:rFonts w:hint="eastAsia" w:ascii="仿宋_GB2312" w:hAnsi="仿宋_GB2312" w:eastAsia="仿宋_GB2312" w:cs="仿宋_GB2312"/>
          <w:color w:val="auto"/>
          <w:kern w:val="2"/>
          <w:sz w:val="32"/>
          <w:szCs w:val="32"/>
          <w:lang w:val="en-US" w:eastAsia="zh-CN"/>
        </w:rPr>
        <w:t xml:space="preserve">    </w:t>
      </w:r>
      <w:r>
        <w:rPr>
          <w:rFonts w:hint="eastAsia" w:ascii="仿宋_GB2312" w:hAnsi="仿宋_GB2312" w:eastAsia="仿宋_GB2312" w:cs="仿宋_GB2312"/>
          <w:color w:val="auto"/>
          <w:kern w:val="2"/>
          <w:sz w:val="32"/>
          <w:szCs w:val="32"/>
          <w:lang w:eastAsia="zh-CN"/>
        </w:rPr>
        <w:t>各单位主要负责人应当与学院签订安全责任书。</w:t>
      </w:r>
    </w:p>
    <w:p w14:paraId="3E481C84">
      <w:pPr>
        <w:pStyle w:val="21"/>
        <w:autoSpaceDE/>
        <w:autoSpaceDN/>
        <w:spacing w:line="560" w:lineRule="exact"/>
        <w:ind w:firstLine="0" w:firstLineChars="0"/>
        <w:jc w:val="center"/>
        <w:rPr>
          <w:rFonts w:hint="eastAsia" w:ascii="黑体" w:hAnsi="黑体" w:eastAsia="黑体" w:cs="黑体"/>
          <w:b w:val="0"/>
          <w:bCs w:val="0"/>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第三章 监督检查和隐患治理</w:t>
      </w:r>
    </w:p>
    <w:p w14:paraId="1D80183B">
      <w:pPr>
        <w:autoSpaceDE/>
        <w:autoSpaceDN/>
        <w:spacing w:line="560" w:lineRule="exact"/>
        <w:ind w:firstLine="643"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b/>
          <w:bCs/>
          <w:color w:val="auto"/>
          <w:kern w:val="2"/>
          <w:sz w:val="32"/>
          <w:szCs w:val="32"/>
          <w:lang w:eastAsia="zh-CN"/>
        </w:rPr>
        <w:t xml:space="preserve">第十二条 </w:t>
      </w:r>
      <w:r>
        <w:rPr>
          <w:rFonts w:hint="eastAsia" w:ascii="仿宋_GB2312" w:hAnsi="仿宋_GB2312" w:eastAsia="仿宋_GB2312" w:cs="仿宋_GB2312"/>
          <w:color w:val="auto"/>
          <w:kern w:val="2"/>
          <w:sz w:val="32"/>
          <w:szCs w:val="32"/>
          <w:lang w:eastAsia="zh-CN"/>
        </w:rPr>
        <w:t>学院校园综合治理工作领导小组根据学院的发展状况，组织有关部门按照职责分工，建立健全安全风险分级管控和隐患排查治理的工作制度及规范，对学院容易发生重大生产安全事故的单位进行严格检查。各分管部门应当按照分类分级监督管理的要求，全面推行安全风险分级管控机制，进一步强化隐患排查治理，推进事故预防工作科学化、信息化、标准化，实现把风险控制在隐患形成之前、把隐患消灭在事故前面。</w:t>
      </w:r>
    </w:p>
    <w:p w14:paraId="7988888C">
      <w:pPr>
        <w:autoSpaceDE/>
        <w:autoSpaceDN/>
        <w:spacing w:line="560" w:lineRule="exact"/>
        <w:ind w:firstLine="643"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b/>
          <w:bCs/>
          <w:color w:val="auto"/>
          <w:kern w:val="2"/>
          <w:sz w:val="32"/>
          <w:szCs w:val="32"/>
          <w:lang w:eastAsia="zh-CN"/>
        </w:rPr>
        <w:t xml:space="preserve">第十三条 </w:t>
      </w:r>
      <w:r>
        <w:rPr>
          <w:rFonts w:hint="eastAsia" w:ascii="仿宋_GB2312" w:hAnsi="仿宋_GB2312" w:eastAsia="仿宋_GB2312" w:cs="仿宋_GB2312"/>
          <w:color w:val="auto"/>
          <w:kern w:val="2"/>
          <w:sz w:val="32"/>
          <w:szCs w:val="32"/>
          <w:lang w:eastAsia="zh-CN"/>
        </w:rPr>
        <w:t>分管部门按照学院有关规定开展安全生产监督管理工作，对院内各单位的安全管理工作进行监督检查</w:t>
      </w:r>
      <w:r>
        <w:rPr>
          <w:rFonts w:hint="eastAsia" w:ascii="仿宋_GB2312" w:hAnsi="仿宋_GB2312" w:eastAsia="仿宋_GB2312" w:cs="仿宋_GB2312"/>
          <w:color w:val="auto"/>
          <w:kern w:val="2"/>
          <w:sz w:val="32"/>
          <w:szCs w:val="32"/>
          <w:highlight w:val="none"/>
          <w:lang w:eastAsia="zh-CN"/>
        </w:rPr>
        <w:t>：</w:t>
      </w:r>
      <w:r>
        <w:rPr>
          <w:rFonts w:hint="eastAsia" w:ascii="仿宋_GB2312" w:hAnsi="仿宋_GB2312" w:eastAsia="仿宋_GB2312" w:cs="仿宋_GB2312"/>
          <w:color w:val="auto"/>
          <w:kern w:val="2"/>
          <w:sz w:val="32"/>
          <w:szCs w:val="32"/>
          <w:lang w:eastAsia="zh-CN"/>
        </w:rPr>
        <w:br w:type="textWrapping"/>
      </w:r>
      <w:r>
        <w:rPr>
          <w:rFonts w:hint="eastAsia" w:ascii="仿宋_GB2312" w:hAnsi="仿宋_GB2312" w:eastAsia="仿宋_GB2312" w:cs="仿宋_GB2312"/>
          <w:color w:val="auto"/>
          <w:kern w:val="2"/>
          <w:sz w:val="32"/>
          <w:szCs w:val="32"/>
          <w:lang w:val="en-US" w:eastAsia="zh-CN"/>
        </w:rPr>
        <w:t xml:space="preserve">    </w:t>
      </w:r>
      <w:r>
        <w:rPr>
          <w:rFonts w:hint="eastAsia" w:ascii="仿宋_GB2312" w:hAnsi="仿宋_GB2312" w:eastAsia="仿宋_GB2312" w:cs="仿宋_GB2312"/>
          <w:color w:val="auto"/>
          <w:kern w:val="2"/>
          <w:sz w:val="32"/>
          <w:szCs w:val="32"/>
          <w:lang w:eastAsia="zh-CN"/>
        </w:rPr>
        <w:t>（一）对各单位进行检查，调阅有关书面资料，向相关单位和工作人员了解情况。</w:t>
      </w:r>
      <w:r>
        <w:rPr>
          <w:rFonts w:hint="eastAsia" w:ascii="仿宋_GB2312" w:hAnsi="仿宋_GB2312" w:eastAsia="仿宋_GB2312" w:cs="仿宋_GB2312"/>
          <w:color w:val="auto"/>
          <w:kern w:val="2"/>
          <w:sz w:val="32"/>
          <w:szCs w:val="32"/>
          <w:lang w:eastAsia="zh-CN"/>
        </w:rPr>
        <w:br w:type="textWrapping"/>
      </w:r>
      <w:r>
        <w:rPr>
          <w:rFonts w:hint="eastAsia" w:ascii="仿宋_GB2312" w:hAnsi="仿宋_GB2312" w:eastAsia="仿宋_GB2312" w:cs="仿宋_GB2312"/>
          <w:color w:val="auto"/>
          <w:kern w:val="2"/>
          <w:sz w:val="32"/>
          <w:szCs w:val="32"/>
          <w:lang w:val="en-US" w:eastAsia="zh-CN"/>
        </w:rPr>
        <w:t xml:space="preserve">    </w:t>
      </w:r>
      <w:r>
        <w:rPr>
          <w:rFonts w:hint="eastAsia" w:ascii="仿宋_GB2312" w:hAnsi="仿宋_GB2312" w:eastAsia="仿宋_GB2312" w:cs="仿宋_GB2312"/>
          <w:color w:val="auto"/>
          <w:kern w:val="2"/>
          <w:sz w:val="32"/>
          <w:szCs w:val="32"/>
          <w:lang w:eastAsia="zh-CN"/>
        </w:rPr>
        <w:t>（二）对检查中发现的安全管理违规行为，当场予以纠正或者要求限期改正。</w:t>
      </w:r>
      <w:r>
        <w:rPr>
          <w:rFonts w:hint="eastAsia" w:ascii="仿宋_GB2312" w:hAnsi="仿宋_GB2312" w:eastAsia="仿宋_GB2312" w:cs="仿宋_GB2312"/>
          <w:color w:val="auto"/>
          <w:kern w:val="2"/>
          <w:sz w:val="32"/>
          <w:szCs w:val="32"/>
          <w:lang w:eastAsia="zh-CN"/>
        </w:rPr>
        <w:br w:type="textWrapping"/>
      </w:r>
      <w:r>
        <w:rPr>
          <w:rFonts w:hint="eastAsia" w:ascii="仿宋_GB2312" w:hAnsi="仿宋_GB2312" w:eastAsia="仿宋_GB2312" w:cs="仿宋_GB2312"/>
          <w:color w:val="auto"/>
          <w:kern w:val="2"/>
          <w:sz w:val="32"/>
          <w:szCs w:val="32"/>
          <w:lang w:val="en-US" w:eastAsia="zh-CN"/>
        </w:rPr>
        <w:t xml:space="preserve">    </w:t>
      </w:r>
      <w:r>
        <w:rPr>
          <w:rFonts w:hint="eastAsia" w:ascii="仿宋_GB2312" w:hAnsi="仿宋_GB2312" w:eastAsia="仿宋_GB2312" w:cs="仿宋_GB2312"/>
          <w:color w:val="auto"/>
          <w:kern w:val="2"/>
          <w:sz w:val="32"/>
          <w:szCs w:val="32"/>
          <w:lang w:eastAsia="zh-CN"/>
        </w:rPr>
        <w:t>（三）对检查中发现的事故隐患，责成被检查单位立即排除；无法立即排除的，责成被检查单位停止相关活动、制定整改方案，报分管部门审批。</w:t>
      </w:r>
      <w:r>
        <w:rPr>
          <w:rFonts w:hint="eastAsia" w:ascii="仿宋_GB2312" w:hAnsi="仿宋_GB2312" w:eastAsia="仿宋_GB2312" w:cs="仿宋_GB2312"/>
          <w:color w:val="auto"/>
          <w:kern w:val="2"/>
          <w:sz w:val="32"/>
          <w:szCs w:val="32"/>
          <w:lang w:eastAsia="zh-CN"/>
        </w:rPr>
        <w:br w:type="textWrapping"/>
      </w:r>
      <w:r>
        <w:rPr>
          <w:rFonts w:hint="eastAsia" w:ascii="仿宋_GB2312" w:hAnsi="仿宋_GB2312" w:eastAsia="仿宋_GB2312" w:cs="仿宋_GB2312"/>
          <w:color w:val="auto"/>
          <w:kern w:val="2"/>
          <w:sz w:val="32"/>
          <w:szCs w:val="32"/>
          <w:lang w:val="en-US" w:eastAsia="zh-CN"/>
        </w:rPr>
        <w:t xml:space="preserve">    </w:t>
      </w:r>
      <w:r>
        <w:rPr>
          <w:rFonts w:hint="eastAsia" w:ascii="仿宋_GB2312" w:hAnsi="仿宋_GB2312" w:eastAsia="仿宋_GB2312" w:cs="仿宋_GB2312"/>
          <w:color w:val="auto"/>
          <w:kern w:val="2"/>
          <w:sz w:val="32"/>
          <w:szCs w:val="32"/>
          <w:lang w:eastAsia="zh-CN"/>
        </w:rPr>
        <w:t>（四）对不符合安全标准的设施、设备、器材以及违法储存、使用的危险物品，要求被检查单位立即停止使用。</w:t>
      </w:r>
    </w:p>
    <w:p w14:paraId="1B4F24E6">
      <w:pPr>
        <w:autoSpaceDE/>
        <w:autoSpaceDN/>
        <w:spacing w:line="560" w:lineRule="exact"/>
        <w:ind w:firstLine="643"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b/>
          <w:bCs/>
          <w:color w:val="auto"/>
          <w:kern w:val="2"/>
          <w:sz w:val="32"/>
          <w:szCs w:val="32"/>
          <w:lang w:eastAsia="zh-CN"/>
        </w:rPr>
        <w:t xml:space="preserve">第十四条 </w:t>
      </w:r>
      <w:r>
        <w:rPr>
          <w:rFonts w:hint="eastAsia" w:ascii="仿宋_GB2312" w:hAnsi="仿宋_GB2312" w:eastAsia="仿宋_GB2312" w:cs="仿宋_GB2312"/>
          <w:color w:val="auto"/>
          <w:kern w:val="2"/>
          <w:sz w:val="32"/>
          <w:szCs w:val="32"/>
          <w:lang w:eastAsia="zh-CN"/>
        </w:rPr>
        <w:t>各单位应当配合分管部门开展监督检查工作，不得拒绝、阻挠。在涉密单位进行检查时，检查人员应当严格遵守相关保密规定。检查人员应当对检查的时间、地点、内容、发现的问题及其处理情况进行书面记录。书面记录应当由检查人员和被检查单位的负责人签字；被检查单位的负责人拒绝签字的，检查人员应当如实记录，并向分管部门报告。</w:t>
      </w:r>
    </w:p>
    <w:p w14:paraId="0F4ADAD9">
      <w:pPr>
        <w:autoSpaceDE/>
        <w:autoSpaceDN/>
        <w:spacing w:line="560" w:lineRule="exact"/>
        <w:ind w:firstLine="643"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b/>
          <w:bCs/>
          <w:color w:val="auto"/>
          <w:kern w:val="2"/>
          <w:sz w:val="32"/>
          <w:szCs w:val="32"/>
          <w:lang w:eastAsia="zh-CN"/>
        </w:rPr>
        <w:t xml:space="preserve">第十五条 </w:t>
      </w:r>
      <w:r>
        <w:rPr>
          <w:rFonts w:hint="eastAsia" w:ascii="仿宋_GB2312" w:hAnsi="仿宋_GB2312" w:eastAsia="仿宋_GB2312" w:cs="仿宋_GB2312"/>
          <w:color w:val="auto"/>
          <w:kern w:val="2"/>
          <w:sz w:val="32"/>
          <w:szCs w:val="32"/>
          <w:lang w:eastAsia="zh-CN"/>
        </w:rPr>
        <w:t>分管部门在监督检查过程中应当互相配合，互通情况。发现存在安全问题的，应当及时转交有关部门处理。</w:t>
      </w:r>
    </w:p>
    <w:p w14:paraId="5F53D655">
      <w:pPr>
        <w:autoSpaceDE/>
        <w:autoSpaceDN/>
        <w:spacing w:line="560" w:lineRule="exact"/>
        <w:ind w:firstLine="643"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b/>
          <w:bCs/>
          <w:color w:val="auto"/>
          <w:kern w:val="2"/>
          <w:sz w:val="32"/>
          <w:szCs w:val="32"/>
          <w:lang w:eastAsia="zh-CN"/>
        </w:rPr>
        <w:t xml:space="preserve">第十六条 </w:t>
      </w:r>
      <w:r>
        <w:rPr>
          <w:rFonts w:hint="eastAsia" w:ascii="仿宋_GB2312" w:hAnsi="仿宋_GB2312" w:eastAsia="仿宋_GB2312" w:cs="仿宋_GB2312"/>
          <w:color w:val="auto"/>
          <w:kern w:val="2"/>
          <w:sz w:val="32"/>
          <w:szCs w:val="32"/>
          <w:lang w:eastAsia="zh-CN"/>
        </w:rPr>
        <w:t>分管部门应当建立健全重大事故隐患治理督办制度，督促各单位消除重大事故隐患。各单位应当建立健全安全风险分级管控和安全隐患排查治理制度，如实记录事故隐患排查治理情况，并向有关分管部门报告。</w:t>
      </w:r>
    </w:p>
    <w:p w14:paraId="318E0C51">
      <w:pPr>
        <w:autoSpaceDE/>
        <w:autoSpaceDN/>
        <w:spacing w:line="560" w:lineRule="exact"/>
        <w:ind w:firstLine="643"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b/>
          <w:bCs/>
          <w:color w:val="auto"/>
          <w:kern w:val="2"/>
          <w:sz w:val="32"/>
          <w:szCs w:val="32"/>
          <w:lang w:eastAsia="zh-CN"/>
        </w:rPr>
        <w:t xml:space="preserve">第十七条 </w:t>
      </w:r>
      <w:r>
        <w:rPr>
          <w:rFonts w:hint="eastAsia" w:ascii="仿宋_GB2312" w:hAnsi="仿宋_GB2312" w:eastAsia="仿宋_GB2312" w:cs="仿宋_GB2312"/>
          <w:color w:val="auto"/>
          <w:kern w:val="2"/>
          <w:sz w:val="32"/>
          <w:szCs w:val="32"/>
          <w:lang w:eastAsia="zh-CN"/>
        </w:rPr>
        <w:t>分管部门按照有关规定对存在重大事故隐患的单位作出立即整改的决定，责任单位应当依照执行，及时消除事故隐患。责任单位拒不执行，有发生安全事故现实危险的，在保证安全的前提下，经分管部门主要负责人批准，可以通知有关单位采取临时必要措施。通知应当采用书面形式，有关单位应当予以配合。除有危及安全的紧急情形外，分管部门应当提前二十四小时通知责任单位采取临时必要措施。</w:t>
      </w:r>
    </w:p>
    <w:p w14:paraId="6C04E247">
      <w:pPr>
        <w:autoSpaceDE/>
        <w:autoSpaceDN/>
        <w:spacing w:line="560" w:lineRule="exact"/>
        <w:ind w:firstLine="643"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b/>
          <w:bCs/>
          <w:color w:val="auto"/>
          <w:kern w:val="2"/>
          <w:sz w:val="32"/>
          <w:szCs w:val="32"/>
          <w:lang w:eastAsia="zh-CN"/>
        </w:rPr>
        <w:t xml:space="preserve">第十八条 </w:t>
      </w:r>
      <w:r>
        <w:rPr>
          <w:rFonts w:hint="eastAsia" w:ascii="仿宋_GB2312" w:hAnsi="仿宋_GB2312" w:eastAsia="仿宋_GB2312" w:cs="仿宋_GB2312"/>
          <w:color w:val="auto"/>
          <w:kern w:val="2"/>
          <w:sz w:val="32"/>
          <w:szCs w:val="32"/>
          <w:lang w:eastAsia="zh-CN"/>
        </w:rPr>
        <w:t>分管部门按照学院有关规定，对相关安全事项进行审查或者验收，发现有单位未经批准或检查验收擅自启用（或开工）的，依照学院有关规定予以处理。</w:t>
      </w:r>
    </w:p>
    <w:p w14:paraId="46BFC452">
      <w:pPr>
        <w:autoSpaceDE/>
        <w:autoSpaceDN/>
        <w:spacing w:line="560" w:lineRule="exact"/>
        <w:ind w:firstLine="643"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b/>
          <w:bCs/>
          <w:color w:val="auto"/>
          <w:kern w:val="2"/>
          <w:sz w:val="32"/>
          <w:szCs w:val="32"/>
          <w:lang w:eastAsia="zh-CN"/>
        </w:rPr>
        <w:t xml:space="preserve">第十九条 </w:t>
      </w:r>
      <w:r>
        <w:rPr>
          <w:rFonts w:hint="eastAsia" w:ascii="仿宋_GB2312" w:hAnsi="仿宋_GB2312" w:eastAsia="仿宋_GB2312" w:cs="仿宋_GB2312"/>
          <w:color w:val="auto"/>
          <w:kern w:val="2"/>
          <w:sz w:val="32"/>
          <w:szCs w:val="32"/>
          <w:lang w:eastAsia="zh-CN"/>
        </w:rPr>
        <w:t>各单位应当教育培训师生员工严格执行安全管理规章制度及安全操作规程，如实告知作业场所和工作岗位存在的危险因素、防范措施以及事故应急措施，监督师生员工佩戴、使用符合国家标准或者行业标准的劳动防护用品。</w:t>
      </w:r>
    </w:p>
    <w:p w14:paraId="25FA18F4">
      <w:pPr>
        <w:autoSpaceDE/>
        <w:autoSpaceDN/>
        <w:spacing w:line="560" w:lineRule="exact"/>
        <w:ind w:firstLine="643"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b/>
          <w:bCs/>
          <w:color w:val="auto"/>
          <w:kern w:val="2"/>
          <w:sz w:val="32"/>
          <w:szCs w:val="32"/>
          <w:lang w:eastAsia="zh-CN"/>
        </w:rPr>
        <w:t xml:space="preserve">第二十条 </w:t>
      </w:r>
      <w:r>
        <w:rPr>
          <w:rFonts w:hint="eastAsia" w:ascii="仿宋_GB2312" w:hAnsi="仿宋_GB2312" w:eastAsia="仿宋_GB2312" w:cs="仿宋_GB2312"/>
          <w:color w:val="auto"/>
          <w:kern w:val="2"/>
          <w:sz w:val="32"/>
          <w:szCs w:val="32"/>
          <w:lang w:eastAsia="zh-CN"/>
        </w:rPr>
        <w:t>各单位应当配备安全管理人员。安全管理人员应当进行经常性检查，发现安全问题立即处理；不能处理的及时报告，检查及处理情况如实记录在案。</w:t>
      </w:r>
    </w:p>
    <w:p w14:paraId="6A99A80F">
      <w:pPr>
        <w:autoSpaceDE/>
        <w:autoSpaceDN/>
        <w:spacing w:line="560" w:lineRule="exact"/>
        <w:ind w:firstLine="643"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b/>
          <w:bCs/>
          <w:color w:val="auto"/>
          <w:kern w:val="2"/>
          <w:sz w:val="32"/>
          <w:szCs w:val="32"/>
          <w:lang w:eastAsia="zh-CN"/>
        </w:rPr>
        <w:t xml:space="preserve">第二十一条 </w:t>
      </w:r>
      <w:r>
        <w:rPr>
          <w:rFonts w:hint="eastAsia" w:ascii="仿宋_GB2312" w:hAnsi="仿宋_GB2312" w:eastAsia="仿宋_GB2312" w:cs="仿宋_GB2312"/>
          <w:color w:val="auto"/>
          <w:kern w:val="2"/>
          <w:sz w:val="32"/>
          <w:szCs w:val="32"/>
          <w:lang w:eastAsia="zh-CN"/>
        </w:rPr>
        <w:t>教学研究和办公场所、教职工宿舍、学生公寓应当设有符合紧急疏散要求、标志明显、保持畅通的出口，禁止锁闭、封堵。</w:t>
      </w:r>
    </w:p>
    <w:p w14:paraId="3FBE740A">
      <w:pPr>
        <w:autoSpaceDE/>
        <w:autoSpaceDN/>
        <w:spacing w:line="560" w:lineRule="exact"/>
        <w:ind w:firstLine="643"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b/>
          <w:bCs/>
          <w:color w:val="auto"/>
          <w:kern w:val="2"/>
          <w:sz w:val="32"/>
          <w:szCs w:val="32"/>
          <w:lang w:eastAsia="zh-CN"/>
        </w:rPr>
        <w:t xml:space="preserve">第二十二条 </w:t>
      </w:r>
      <w:r>
        <w:rPr>
          <w:rFonts w:hint="eastAsia" w:ascii="仿宋_GB2312" w:hAnsi="仿宋_GB2312" w:eastAsia="仿宋_GB2312" w:cs="仿宋_GB2312"/>
          <w:color w:val="auto"/>
          <w:kern w:val="2"/>
          <w:sz w:val="32"/>
          <w:szCs w:val="32"/>
          <w:lang w:eastAsia="zh-CN"/>
        </w:rPr>
        <w:t>学院任何单位和个人对发现的事故隐患或者安全管理违法违规行为，应当及时向安全管理部门报告或者举报。</w:t>
      </w:r>
    </w:p>
    <w:p w14:paraId="43FA6401">
      <w:pPr>
        <w:autoSpaceDE/>
        <w:autoSpaceDN/>
        <w:spacing w:line="560" w:lineRule="exact"/>
        <w:ind w:firstLine="643"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b/>
          <w:bCs/>
          <w:color w:val="auto"/>
          <w:kern w:val="2"/>
          <w:sz w:val="32"/>
          <w:szCs w:val="32"/>
          <w:lang w:eastAsia="zh-CN"/>
        </w:rPr>
        <w:t xml:space="preserve">第二十三条 </w:t>
      </w:r>
      <w:r>
        <w:rPr>
          <w:rFonts w:hint="eastAsia" w:ascii="仿宋_GB2312" w:hAnsi="仿宋_GB2312" w:eastAsia="仿宋_GB2312" w:cs="仿宋_GB2312"/>
          <w:color w:val="auto"/>
          <w:kern w:val="2"/>
          <w:sz w:val="32"/>
          <w:szCs w:val="32"/>
          <w:lang w:eastAsia="zh-CN"/>
        </w:rPr>
        <w:t>分管部门应当公开举报途径，及时受理并调查核实举报事项，督促落实整改。</w:t>
      </w:r>
    </w:p>
    <w:p w14:paraId="7771BAE6">
      <w:pPr>
        <w:pStyle w:val="21"/>
        <w:autoSpaceDE/>
        <w:autoSpaceDN/>
        <w:spacing w:line="560" w:lineRule="exact"/>
        <w:ind w:firstLine="0" w:firstLineChars="0"/>
        <w:jc w:val="center"/>
        <w:rPr>
          <w:rFonts w:hint="eastAsia" w:ascii="黑体" w:hAnsi="黑体" w:eastAsia="黑体" w:cs="黑体"/>
          <w:b w:val="0"/>
          <w:bCs w:val="0"/>
          <w:color w:val="auto"/>
          <w:kern w:val="2"/>
          <w:sz w:val="32"/>
          <w:szCs w:val="32"/>
          <w:lang w:val="en-US" w:eastAsia="zh-CN" w:bidi="ar-SA"/>
        </w:rPr>
      </w:pPr>
      <w:r>
        <w:rPr>
          <w:rFonts w:hint="eastAsia" w:ascii="黑体" w:hAnsi="黑体" w:eastAsia="黑体" w:cs="黑体"/>
          <w:b w:val="0"/>
          <w:bCs w:val="0"/>
          <w:color w:val="auto"/>
          <w:kern w:val="2"/>
          <w:sz w:val="32"/>
          <w:szCs w:val="32"/>
          <w:lang w:val="en-US" w:eastAsia="zh-CN" w:bidi="ar-SA"/>
        </w:rPr>
        <w:t>第四章 事故的应急救援与调查处理</w:t>
      </w:r>
    </w:p>
    <w:p w14:paraId="6766E2DD">
      <w:pPr>
        <w:autoSpaceDE/>
        <w:autoSpaceDN/>
        <w:spacing w:line="560" w:lineRule="exact"/>
        <w:ind w:firstLine="643"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b/>
          <w:bCs/>
          <w:color w:val="auto"/>
          <w:kern w:val="2"/>
          <w:sz w:val="32"/>
          <w:szCs w:val="32"/>
          <w:lang w:eastAsia="zh-CN"/>
        </w:rPr>
        <w:t xml:space="preserve">第二十四条 </w:t>
      </w:r>
      <w:r>
        <w:rPr>
          <w:rFonts w:hint="eastAsia" w:ascii="仿宋_GB2312" w:hAnsi="仿宋_GB2312" w:eastAsia="仿宋_GB2312" w:cs="仿宋_GB2312"/>
          <w:color w:val="auto"/>
          <w:kern w:val="2"/>
          <w:sz w:val="32"/>
          <w:szCs w:val="32"/>
          <w:lang w:eastAsia="zh-CN"/>
        </w:rPr>
        <w:t>学院和分管部门在职责范围组织制定安全事故专项应急预案。各单位应当制定本单位安全事故应急预案并定期组织演练。</w:t>
      </w:r>
    </w:p>
    <w:p w14:paraId="06964124">
      <w:pPr>
        <w:autoSpaceDE/>
        <w:autoSpaceDN/>
        <w:spacing w:line="560" w:lineRule="exact"/>
        <w:ind w:firstLine="643"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b/>
          <w:bCs/>
          <w:color w:val="auto"/>
          <w:kern w:val="2"/>
          <w:sz w:val="32"/>
          <w:szCs w:val="32"/>
          <w:lang w:eastAsia="zh-CN"/>
        </w:rPr>
        <w:t xml:space="preserve">第二十五条 </w:t>
      </w:r>
      <w:r>
        <w:rPr>
          <w:rFonts w:hint="eastAsia" w:ascii="仿宋_GB2312" w:hAnsi="仿宋_GB2312" w:eastAsia="仿宋_GB2312" w:cs="仿宋_GB2312"/>
          <w:color w:val="auto"/>
          <w:kern w:val="2"/>
          <w:sz w:val="32"/>
          <w:szCs w:val="32"/>
          <w:lang w:eastAsia="zh-CN"/>
        </w:rPr>
        <w:t>发生安全事故，事故现场有关人员应当立即报告本单位负责人，迅速采取有效措施，组织抢救，防止事故扩大，减少人员伤亡和财产损失，并按照学院有关规定立即报告分管部门，不得隐瞒不报、谎报或者迟报，不得故意破坏事故现场、毁灭有关证据。</w:t>
      </w:r>
    </w:p>
    <w:p w14:paraId="02395CDC">
      <w:pPr>
        <w:autoSpaceDE/>
        <w:autoSpaceDN/>
        <w:spacing w:line="560" w:lineRule="exact"/>
        <w:ind w:firstLine="643"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b/>
          <w:bCs/>
          <w:color w:val="auto"/>
          <w:kern w:val="2"/>
          <w:sz w:val="32"/>
          <w:szCs w:val="32"/>
          <w:lang w:eastAsia="zh-CN"/>
        </w:rPr>
        <w:t xml:space="preserve">第二十六条 </w:t>
      </w:r>
      <w:r>
        <w:rPr>
          <w:rFonts w:hint="eastAsia" w:ascii="仿宋_GB2312" w:hAnsi="仿宋_GB2312" w:eastAsia="仿宋_GB2312" w:cs="仿宋_GB2312"/>
          <w:color w:val="auto"/>
          <w:kern w:val="2"/>
          <w:sz w:val="32"/>
          <w:szCs w:val="32"/>
          <w:lang w:eastAsia="zh-CN"/>
        </w:rPr>
        <w:t>接到事故报告后，分管部门负责人应当立即启动安全事故专项应急预案，及时赶到事故现场组织事故抢救，并向</w:t>
      </w:r>
      <w:r>
        <w:rPr>
          <w:rFonts w:hint="default" w:ascii="仿宋_GB2312" w:hAnsi="仿宋_GB2312" w:eastAsia="仿宋_GB2312" w:cs="仿宋_GB2312"/>
          <w:color w:val="auto"/>
          <w:kern w:val="2"/>
          <w:sz w:val="32"/>
          <w:szCs w:val="32"/>
          <w:lang w:val="en-US" w:eastAsia="zh-CN"/>
        </w:rPr>
        <w:t>主管</w:t>
      </w:r>
      <w:r>
        <w:rPr>
          <w:rFonts w:hint="eastAsia" w:ascii="仿宋_GB2312" w:hAnsi="仿宋_GB2312" w:eastAsia="仿宋_GB2312" w:cs="仿宋_GB2312"/>
          <w:color w:val="auto"/>
          <w:kern w:val="2"/>
          <w:sz w:val="32"/>
          <w:szCs w:val="32"/>
          <w:lang w:eastAsia="zh-CN"/>
        </w:rPr>
        <w:t>院领导报告事故情况，不得隐瞒不报、谎报或者迟报。</w:t>
      </w:r>
    </w:p>
    <w:p w14:paraId="71406B6D">
      <w:pPr>
        <w:autoSpaceDE/>
        <w:autoSpaceDN/>
        <w:spacing w:line="560" w:lineRule="exact"/>
        <w:ind w:firstLine="643"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b/>
          <w:bCs/>
          <w:color w:val="auto"/>
          <w:kern w:val="2"/>
          <w:sz w:val="32"/>
          <w:szCs w:val="32"/>
          <w:lang w:eastAsia="zh-CN"/>
        </w:rPr>
        <w:t xml:space="preserve">第二十七条 </w:t>
      </w:r>
      <w:r>
        <w:rPr>
          <w:rFonts w:hint="eastAsia" w:ascii="仿宋_GB2312" w:hAnsi="仿宋_GB2312" w:eastAsia="仿宋_GB2312" w:cs="仿宋_GB2312"/>
          <w:color w:val="auto"/>
          <w:kern w:val="2"/>
          <w:sz w:val="32"/>
          <w:szCs w:val="32"/>
          <w:lang w:eastAsia="zh-CN"/>
        </w:rPr>
        <w:t>参与事故抢救的单位和个人应当服从统一指挥，加强协同联动，采取有效的应急救援措施，并根据事故救援的需要采取警戒、疏散等措施，防止事故扩大和次生灾害的发生，减少人员伤亡和财产损失。</w:t>
      </w:r>
    </w:p>
    <w:p w14:paraId="59837D2E">
      <w:pPr>
        <w:autoSpaceDE/>
        <w:autoSpaceDN/>
        <w:spacing w:line="560" w:lineRule="exact"/>
        <w:ind w:firstLine="643"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b/>
          <w:bCs/>
          <w:color w:val="auto"/>
          <w:kern w:val="2"/>
          <w:sz w:val="32"/>
          <w:szCs w:val="32"/>
          <w:lang w:eastAsia="zh-CN"/>
        </w:rPr>
        <w:t xml:space="preserve">第二十八条 </w:t>
      </w:r>
      <w:r>
        <w:rPr>
          <w:rFonts w:hint="eastAsia" w:ascii="仿宋_GB2312" w:hAnsi="仿宋_GB2312" w:eastAsia="仿宋_GB2312" w:cs="仿宋_GB2312"/>
          <w:color w:val="auto"/>
          <w:kern w:val="2"/>
          <w:sz w:val="32"/>
          <w:szCs w:val="32"/>
          <w:lang w:eastAsia="zh-CN"/>
        </w:rPr>
        <w:t>事故调查处理应当按照科学严谨、依法依规、实事求是、注重实效的原则，及时准确地查清事故原因，查明事故性质和责任，总结事故教训，提出整改措施，并对有关单位和人员提出处理意见。</w:t>
      </w:r>
    </w:p>
    <w:p w14:paraId="12E59975">
      <w:pPr>
        <w:autoSpaceDE/>
        <w:autoSpaceDN/>
        <w:spacing w:line="560" w:lineRule="exact"/>
        <w:ind w:firstLine="643"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b/>
          <w:bCs/>
          <w:color w:val="auto"/>
          <w:kern w:val="2"/>
          <w:sz w:val="32"/>
          <w:szCs w:val="32"/>
          <w:lang w:eastAsia="zh-CN"/>
        </w:rPr>
        <w:t xml:space="preserve">第二十九条 </w:t>
      </w:r>
      <w:r>
        <w:rPr>
          <w:rFonts w:hint="eastAsia" w:ascii="仿宋_GB2312" w:hAnsi="仿宋_GB2312" w:eastAsia="仿宋_GB2312" w:cs="仿宋_GB2312"/>
          <w:color w:val="auto"/>
          <w:kern w:val="2"/>
          <w:sz w:val="32"/>
          <w:szCs w:val="32"/>
          <w:lang w:eastAsia="zh-CN"/>
        </w:rPr>
        <w:t>根据事故严重程度，学院组建事故调查小组。事故调查小组负责进行事故原因调查、财产损失核定，形成事故调查报告，厘清责任，提请有关部门给出处理意见。</w:t>
      </w:r>
    </w:p>
    <w:p w14:paraId="02873B5E">
      <w:pPr>
        <w:autoSpaceDE/>
        <w:autoSpaceDN/>
        <w:spacing w:line="560" w:lineRule="exact"/>
        <w:ind w:firstLine="643"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b/>
          <w:bCs/>
          <w:color w:val="auto"/>
          <w:kern w:val="2"/>
          <w:sz w:val="32"/>
          <w:szCs w:val="32"/>
          <w:lang w:eastAsia="zh-CN"/>
        </w:rPr>
        <w:t xml:space="preserve">第三十条 </w:t>
      </w:r>
      <w:r>
        <w:rPr>
          <w:rFonts w:hint="eastAsia" w:ascii="仿宋_GB2312" w:hAnsi="仿宋_GB2312" w:eastAsia="仿宋_GB2312" w:cs="仿宋_GB2312"/>
          <w:color w:val="auto"/>
          <w:kern w:val="2"/>
          <w:sz w:val="32"/>
          <w:szCs w:val="32"/>
          <w:lang w:eastAsia="zh-CN"/>
        </w:rPr>
        <w:t>事故单位的主要负责人不得在事故调查处理期间擅离职守。</w:t>
      </w:r>
    </w:p>
    <w:p w14:paraId="391DD4A4">
      <w:pPr>
        <w:autoSpaceDE/>
        <w:autoSpaceDN/>
        <w:spacing w:line="560" w:lineRule="exact"/>
        <w:ind w:firstLine="643"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b/>
          <w:bCs/>
          <w:color w:val="auto"/>
          <w:kern w:val="2"/>
          <w:sz w:val="32"/>
          <w:szCs w:val="32"/>
          <w:lang w:eastAsia="zh-CN"/>
        </w:rPr>
        <w:t xml:space="preserve">第三十一条 </w:t>
      </w:r>
      <w:r>
        <w:rPr>
          <w:rFonts w:hint="eastAsia" w:ascii="仿宋_GB2312" w:hAnsi="仿宋_GB2312" w:eastAsia="仿宋_GB2312" w:cs="仿宋_GB2312"/>
          <w:color w:val="auto"/>
          <w:kern w:val="2"/>
          <w:sz w:val="32"/>
          <w:szCs w:val="32"/>
          <w:lang w:eastAsia="zh-CN"/>
        </w:rPr>
        <w:t>实行安全事故责任追究制度，依法依规追究有关单位和人员的责任。经调查确定为责任事故的，除了应当查明并追究事故单位的责任外，还应当查明并追究负有审查、批准和监督职责的部门的责任。</w:t>
      </w:r>
    </w:p>
    <w:p w14:paraId="13CBC1CF">
      <w:pPr>
        <w:autoSpaceDE/>
        <w:autoSpaceDN/>
        <w:spacing w:line="560" w:lineRule="exact"/>
        <w:ind w:firstLine="643"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b/>
          <w:bCs/>
          <w:color w:val="auto"/>
          <w:kern w:val="2"/>
          <w:sz w:val="32"/>
          <w:szCs w:val="32"/>
          <w:lang w:eastAsia="zh-CN"/>
        </w:rPr>
        <w:t xml:space="preserve">第三十二条 </w:t>
      </w:r>
      <w:r>
        <w:rPr>
          <w:rFonts w:hint="eastAsia" w:ascii="仿宋_GB2312" w:hAnsi="仿宋_GB2312" w:eastAsia="仿宋_GB2312" w:cs="仿宋_GB2312"/>
          <w:color w:val="auto"/>
          <w:kern w:val="2"/>
          <w:sz w:val="32"/>
          <w:szCs w:val="32"/>
          <w:lang w:eastAsia="zh-CN"/>
        </w:rPr>
        <w:t>学院任何单位和个人违反本规定的，学院视情节轻重对直接责任人和相关负责人给予批评教育直至纪律处分；造成经济损失的，应当进行经济赔偿。</w:t>
      </w:r>
    </w:p>
    <w:p w14:paraId="586D91E2">
      <w:pPr>
        <w:autoSpaceDE/>
        <w:autoSpaceDN/>
        <w:spacing w:line="560" w:lineRule="exact"/>
        <w:ind w:firstLine="643"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b/>
          <w:bCs/>
          <w:color w:val="auto"/>
          <w:kern w:val="2"/>
          <w:sz w:val="32"/>
          <w:szCs w:val="32"/>
          <w:lang w:eastAsia="zh-CN"/>
        </w:rPr>
        <w:t>第三十三条</w:t>
      </w:r>
      <w:r>
        <w:rPr>
          <w:rFonts w:hint="eastAsia" w:ascii="仿宋_GB2312" w:hAnsi="仿宋_GB2312" w:eastAsia="仿宋_GB2312" w:cs="仿宋_GB2312"/>
          <w:b/>
          <w:bCs/>
          <w:color w:val="auto"/>
          <w:kern w:val="2"/>
          <w:sz w:val="32"/>
          <w:szCs w:val="32"/>
          <w:lang w:val="en-US" w:eastAsia="zh-CN"/>
        </w:rPr>
        <w:t xml:space="preserve"> </w:t>
      </w:r>
      <w:r>
        <w:rPr>
          <w:rFonts w:hint="eastAsia" w:ascii="仿宋_GB2312" w:hAnsi="仿宋_GB2312" w:eastAsia="仿宋_GB2312" w:cs="仿宋_GB2312"/>
          <w:color w:val="auto"/>
          <w:kern w:val="2"/>
          <w:sz w:val="32"/>
          <w:szCs w:val="32"/>
          <w:lang w:eastAsia="zh-CN"/>
        </w:rPr>
        <w:t>事故单位应当及时全面落实整改措施，分管部门应当加强监督检查。</w:t>
      </w:r>
    </w:p>
    <w:p w14:paraId="4EB07E39">
      <w:pPr>
        <w:autoSpaceDE/>
        <w:autoSpaceDN/>
        <w:spacing w:line="560" w:lineRule="exact"/>
        <w:ind w:firstLine="643"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b/>
          <w:bCs/>
          <w:color w:val="auto"/>
          <w:kern w:val="2"/>
          <w:sz w:val="32"/>
          <w:szCs w:val="32"/>
          <w:lang w:eastAsia="zh-CN"/>
        </w:rPr>
        <w:t>第三十四条</w:t>
      </w:r>
      <w:r>
        <w:rPr>
          <w:rFonts w:hint="eastAsia" w:ascii="仿宋_GB2312" w:hAnsi="仿宋_GB2312" w:eastAsia="仿宋_GB2312" w:cs="仿宋_GB2312"/>
          <w:b/>
          <w:bCs/>
          <w:color w:val="auto"/>
          <w:kern w:val="2"/>
          <w:sz w:val="32"/>
          <w:szCs w:val="32"/>
          <w:lang w:val="en-US" w:eastAsia="zh-CN"/>
        </w:rPr>
        <w:t xml:space="preserve"> </w:t>
      </w:r>
      <w:r>
        <w:rPr>
          <w:rFonts w:hint="eastAsia" w:ascii="仿宋_GB2312" w:hAnsi="仿宋_GB2312" w:eastAsia="仿宋_GB2312" w:cs="仿宋_GB2312"/>
          <w:color w:val="auto"/>
          <w:kern w:val="2"/>
          <w:sz w:val="32"/>
          <w:szCs w:val="32"/>
          <w:lang w:eastAsia="zh-CN"/>
        </w:rPr>
        <w:t>分管部门应当建立安全管理违法违规行为、安全隐患和安全事故台账，如实记录相关信息。</w:t>
      </w:r>
    </w:p>
    <w:p w14:paraId="572DC54A">
      <w:pPr>
        <w:pStyle w:val="21"/>
        <w:autoSpaceDE/>
        <w:autoSpaceDN/>
        <w:ind w:firstLine="0" w:firstLineChars="0"/>
        <w:jc w:val="center"/>
        <w:rPr>
          <w:rFonts w:hint="eastAsia" w:ascii="黑体" w:hAnsi="黑体" w:eastAsia="黑体" w:cs="黑体"/>
          <w:b w:val="0"/>
          <w:bCs w:val="0"/>
          <w:color w:val="auto"/>
          <w:kern w:val="2"/>
          <w:sz w:val="32"/>
          <w:szCs w:val="32"/>
          <w:lang w:val="en-US" w:eastAsia="zh-CN"/>
        </w:rPr>
      </w:pPr>
      <w:r>
        <w:rPr>
          <w:rFonts w:hint="eastAsia" w:ascii="黑体" w:hAnsi="黑体" w:eastAsia="黑体" w:cs="黑体"/>
          <w:b w:val="0"/>
          <w:bCs w:val="0"/>
          <w:color w:val="auto"/>
          <w:kern w:val="2"/>
          <w:sz w:val="32"/>
          <w:szCs w:val="32"/>
          <w:lang w:val="en-US" w:eastAsia="zh-CN"/>
        </w:rPr>
        <w:t>第五章 附则</w:t>
      </w:r>
    </w:p>
    <w:p w14:paraId="1DD1CC75">
      <w:pPr>
        <w:autoSpaceDE/>
        <w:autoSpaceDN/>
        <w:spacing w:line="560" w:lineRule="exact"/>
        <w:ind w:firstLine="643"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b/>
          <w:bCs/>
          <w:color w:val="auto"/>
          <w:kern w:val="2"/>
          <w:sz w:val="32"/>
          <w:szCs w:val="32"/>
          <w:lang w:eastAsia="zh-CN"/>
        </w:rPr>
        <w:t xml:space="preserve">第三十五条 </w:t>
      </w:r>
      <w:r>
        <w:rPr>
          <w:rFonts w:hint="eastAsia" w:ascii="仿宋_GB2312" w:hAnsi="仿宋_GB2312" w:eastAsia="仿宋_GB2312" w:cs="仿宋_GB2312"/>
          <w:color w:val="auto"/>
          <w:kern w:val="2"/>
          <w:sz w:val="32"/>
          <w:szCs w:val="32"/>
          <w:lang w:eastAsia="zh-CN"/>
        </w:rPr>
        <w:t>学院有关消防安全、实验室安全，以及网络安全等方面的规定另行制定。</w:t>
      </w:r>
    </w:p>
    <w:p w14:paraId="28A30947">
      <w:pPr>
        <w:autoSpaceDE/>
        <w:autoSpaceDN/>
        <w:spacing w:line="560" w:lineRule="exact"/>
        <w:ind w:firstLine="643"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b/>
          <w:bCs/>
          <w:color w:val="auto"/>
          <w:kern w:val="2"/>
          <w:sz w:val="32"/>
          <w:szCs w:val="32"/>
          <w:lang w:eastAsia="zh-CN"/>
        </w:rPr>
        <w:t xml:space="preserve">第三十六条 </w:t>
      </w:r>
      <w:r>
        <w:rPr>
          <w:rFonts w:hint="eastAsia" w:ascii="仿宋_GB2312" w:hAnsi="仿宋_GB2312" w:eastAsia="仿宋_GB2312" w:cs="仿宋_GB2312"/>
          <w:color w:val="auto"/>
          <w:kern w:val="2"/>
          <w:sz w:val="32"/>
          <w:szCs w:val="32"/>
          <w:lang w:eastAsia="zh-CN"/>
        </w:rPr>
        <w:t>本规定由总务办公室负责解释。</w:t>
      </w:r>
    </w:p>
    <w:p w14:paraId="23F3FA3C">
      <w:pPr>
        <w:autoSpaceDE/>
        <w:autoSpaceDN/>
        <w:spacing w:line="560" w:lineRule="exact"/>
        <w:ind w:firstLine="643" w:firstLineChars="200"/>
        <w:jc w:val="left"/>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b/>
          <w:bCs/>
          <w:color w:val="auto"/>
          <w:kern w:val="2"/>
          <w:sz w:val="32"/>
          <w:szCs w:val="32"/>
          <w:lang w:eastAsia="zh-CN"/>
        </w:rPr>
        <w:t xml:space="preserve">第三十七条 </w:t>
      </w:r>
      <w:r>
        <w:rPr>
          <w:rFonts w:hint="eastAsia" w:ascii="仿宋_GB2312" w:hAnsi="仿宋_GB2312" w:eastAsia="仿宋_GB2312" w:cs="仿宋_GB2312"/>
          <w:color w:val="auto"/>
          <w:kern w:val="2"/>
          <w:sz w:val="32"/>
          <w:szCs w:val="32"/>
          <w:lang w:eastAsia="zh-CN"/>
        </w:rPr>
        <w:t>本规定自公布之日起执行。</w:t>
      </w:r>
    </w:p>
    <w:sectPr>
      <w:footerReference r:id="rId3" w:type="default"/>
      <w:pgSz w:w="11910" w:h="16840"/>
      <w:pgMar w:top="2098" w:right="1474" w:bottom="1984" w:left="1587" w:header="0" w:footer="909"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B67C1">
    <w:pPr>
      <w:pStyle w:val="5"/>
      <w:spacing w:before="0" w:line="14" w:lineRule="auto"/>
      <w:ind w:left="0"/>
      <w:rPr>
        <w:rFonts w:hint="eastAsia"/>
        <w:sz w:val="12"/>
      </w:rPr>
    </w:pPr>
    <w:r>
      <mc:AlternateContent>
        <mc:Choice Requires="wps">
          <w:drawing>
            <wp:anchor distT="0" distB="0" distL="114300" distR="114300" simplePos="0" relativeHeight="251659264" behindDoc="0" locked="0" layoutInCell="1" allowOverlap="1">
              <wp:simplePos x="0" y="0"/>
              <wp:positionH relativeFrom="margin">
                <wp:posOffset>2578735</wp:posOffset>
              </wp:positionH>
              <wp:positionV relativeFrom="paragraph">
                <wp:posOffset>-196215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881FC1">
                          <w:pPr>
                            <w:pStyle w:val="6"/>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sz w:val="20"/>
                              <w:szCs w:val="20"/>
                            </w:rPr>
                            <w:t>1</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03.05pt;margin-top:-15.45pt;height:144pt;width:144pt;mso-position-horizontal-relative:margin;mso-wrap-style:none;z-index:251659264;mso-width-relative:page;mso-height-relative:page;" filled="f" stroked="f" coordsize="21600,21600" o:gfxdata="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w4t2ENkAAAALAQAADwAAAAAAAAABACAAAAAiAAAAZHJzL2Rvd25yZXYueG1sUEsBAhQA&#10;FAAAAAgAh07iQIzXDnwqAgAAVQQAAA4AAAAAAAAAAQAgAAAAKAEAAGRycy9lMm9Eb2MueG1sUEsF&#10;BgAAAAAGAAYAWQEAAMQFAAAAAA==&#10;">
              <v:fill on="f" focussize="0,0"/>
              <v:stroke on="f" weight="0.5pt"/>
              <v:imagedata o:title=""/>
              <o:lock v:ext="edit" aspectratio="f"/>
              <v:textbox inset="0mm,0mm,0mm,0mm" style="mso-fit-shape-to-text:t;">
                <w:txbxContent>
                  <w:p w14:paraId="59881FC1">
                    <w:pPr>
                      <w:pStyle w:val="6"/>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sz w:val="20"/>
                        <w:szCs w:val="20"/>
                      </w:rPr>
                      <w:t>1</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saveSubsetFonts/>
  <w:bordersDoNotSurroundHeader w:val="0"/>
  <w:bordersDoNotSurroundFooter w:val="0"/>
  <w:trackRevisions w:val="1"/>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1B2"/>
    <w:rsid w:val="00005ADD"/>
    <w:rsid w:val="00020829"/>
    <w:rsid w:val="00020E0E"/>
    <w:rsid w:val="0002160F"/>
    <w:rsid w:val="00022A47"/>
    <w:rsid w:val="00027040"/>
    <w:rsid w:val="0003458C"/>
    <w:rsid w:val="00063EEE"/>
    <w:rsid w:val="000650DD"/>
    <w:rsid w:val="00073B70"/>
    <w:rsid w:val="000A5AC3"/>
    <w:rsid w:val="000B7DEE"/>
    <w:rsid w:val="000C3357"/>
    <w:rsid w:val="000E3381"/>
    <w:rsid w:val="000E4C59"/>
    <w:rsid w:val="000E5746"/>
    <w:rsid w:val="000F195E"/>
    <w:rsid w:val="00101562"/>
    <w:rsid w:val="00122F9F"/>
    <w:rsid w:val="00127221"/>
    <w:rsid w:val="00144726"/>
    <w:rsid w:val="001515F7"/>
    <w:rsid w:val="001575E1"/>
    <w:rsid w:val="00161726"/>
    <w:rsid w:val="001638A7"/>
    <w:rsid w:val="00165EAD"/>
    <w:rsid w:val="001A5E48"/>
    <w:rsid w:val="001B2C9B"/>
    <w:rsid w:val="001C6B2B"/>
    <w:rsid w:val="00201952"/>
    <w:rsid w:val="00207C66"/>
    <w:rsid w:val="0022073F"/>
    <w:rsid w:val="00231B2A"/>
    <w:rsid w:val="00233BCC"/>
    <w:rsid w:val="002410E1"/>
    <w:rsid w:val="00267BE2"/>
    <w:rsid w:val="00272DE2"/>
    <w:rsid w:val="00282A66"/>
    <w:rsid w:val="002A3D37"/>
    <w:rsid w:val="002A486E"/>
    <w:rsid w:val="002A6ABA"/>
    <w:rsid w:val="002A781B"/>
    <w:rsid w:val="002C0238"/>
    <w:rsid w:val="002C3B81"/>
    <w:rsid w:val="002C57A6"/>
    <w:rsid w:val="002C5A38"/>
    <w:rsid w:val="002C6FFC"/>
    <w:rsid w:val="002D1BF7"/>
    <w:rsid w:val="002D3274"/>
    <w:rsid w:val="002E5EC4"/>
    <w:rsid w:val="002E74EB"/>
    <w:rsid w:val="002F5D9F"/>
    <w:rsid w:val="0030519A"/>
    <w:rsid w:val="0032109A"/>
    <w:rsid w:val="00325827"/>
    <w:rsid w:val="00353324"/>
    <w:rsid w:val="00354734"/>
    <w:rsid w:val="00362605"/>
    <w:rsid w:val="003660C7"/>
    <w:rsid w:val="003764AF"/>
    <w:rsid w:val="003812E0"/>
    <w:rsid w:val="0038660B"/>
    <w:rsid w:val="00397366"/>
    <w:rsid w:val="00397D8B"/>
    <w:rsid w:val="003A25A8"/>
    <w:rsid w:val="003A4313"/>
    <w:rsid w:val="003A7BB6"/>
    <w:rsid w:val="003D2791"/>
    <w:rsid w:val="003D3598"/>
    <w:rsid w:val="00414F11"/>
    <w:rsid w:val="00453DEE"/>
    <w:rsid w:val="004562FD"/>
    <w:rsid w:val="00463C37"/>
    <w:rsid w:val="0047367C"/>
    <w:rsid w:val="00484A43"/>
    <w:rsid w:val="00486794"/>
    <w:rsid w:val="004B4501"/>
    <w:rsid w:val="004C3997"/>
    <w:rsid w:val="004C6B8B"/>
    <w:rsid w:val="004E3BA8"/>
    <w:rsid w:val="004E4912"/>
    <w:rsid w:val="004F647E"/>
    <w:rsid w:val="00520526"/>
    <w:rsid w:val="00524DB7"/>
    <w:rsid w:val="00526E0D"/>
    <w:rsid w:val="00531645"/>
    <w:rsid w:val="0053571E"/>
    <w:rsid w:val="005500F6"/>
    <w:rsid w:val="005518FB"/>
    <w:rsid w:val="0055299E"/>
    <w:rsid w:val="005868D5"/>
    <w:rsid w:val="005A1AC5"/>
    <w:rsid w:val="005B4333"/>
    <w:rsid w:val="005D1C58"/>
    <w:rsid w:val="005D62C9"/>
    <w:rsid w:val="005D6394"/>
    <w:rsid w:val="005E79CD"/>
    <w:rsid w:val="005E7FF9"/>
    <w:rsid w:val="005F13F0"/>
    <w:rsid w:val="005F6B37"/>
    <w:rsid w:val="006018E2"/>
    <w:rsid w:val="00620F78"/>
    <w:rsid w:val="0064380A"/>
    <w:rsid w:val="00655F57"/>
    <w:rsid w:val="006576D3"/>
    <w:rsid w:val="00661CBF"/>
    <w:rsid w:val="0067238A"/>
    <w:rsid w:val="00673FAB"/>
    <w:rsid w:val="00674790"/>
    <w:rsid w:val="00674F8B"/>
    <w:rsid w:val="006C3FA6"/>
    <w:rsid w:val="006F0F72"/>
    <w:rsid w:val="006F1D31"/>
    <w:rsid w:val="00710FFB"/>
    <w:rsid w:val="00714618"/>
    <w:rsid w:val="007148AF"/>
    <w:rsid w:val="00716FBC"/>
    <w:rsid w:val="00737B8D"/>
    <w:rsid w:val="0075702C"/>
    <w:rsid w:val="00775EE4"/>
    <w:rsid w:val="007801B2"/>
    <w:rsid w:val="007A0B76"/>
    <w:rsid w:val="007A14EA"/>
    <w:rsid w:val="007E08E2"/>
    <w:rsid w:val="007E1D3A"/>
    <w:rsid w:val="007E237C"/>
    <w:rsid w:val="007F50B7"/>
    <w:rsid w:val="007F619C"/>
    <w:rsid w:val="007F6834"/>
    <w:rsid w:val="00814EA0"/>
    <w:rsid w:val="00814F14"/>
    <w:rsid w:val="008232DA"/>
    <w:rsid w:val="008348FA"/>
    <w:rsid w:val="00840DBF"/>
    <w:rsid w:val="00844260"/>
    <w:rsid w:val="00856542"/>
    <w:rsid w:val="0086321D"/>
    <w:rsid w:val="00880388"/>
    <w:rsid w:val="008849A4"/>
    <w:rsid w:val="00892581"/>
    <w:rsid w:val="0089408B"/>
    <w:rsid w:val="008A321D"/>
    <w:rsid w:val="008C67D4"/>
    <w:rsid w:val="008D42B1"/>
    <w:rsid w:val="008D5D6A"/>
    <w:rsid w:val="008F0BC9"/>
    <w:rsid w:val="008F2362"/>
    <w:rsid w:val="008F3BE7"/>
    <w:rsid w:val="008F70B7"/>
    <w:rsid w:val="00912F0B"/>
    <w:rsid w:val="009133F9"/>
    <w:rsid w:val="00922261"/>
    <w:rsid w:val="00937DCD"/>
    <w:rsid w:val="009401B8"/>
    <w:rsid w:val="0094691B"/>
    <w:rsid w:val="00960521"/>
    <w:rsid w:val="0097493B"/>
    <w:rsid w:val="0098132F"/>
    <w:rsid w:val="00982592"/>
    <w:rsid w:val="009976C1"/>
    <w:rsid w:val="009A2838"/>
    <w:rsid w:val="009A47C1"/>
    <w:rsid w:val="009D1209"/>
    <w:rsid w:val="009D2EFB"/>
    <w:rsid w:val="009D407B"/>
    <w:rsid w:val="009E14F1"/>
    <w:rsid w:val="009F3257"/>
    <w:rsid w:val="009F4051"/>
    <w:rsid w:val="009F5382"/>
    <w:rsid w:val="00A02512"/>
    <w:rsid w:val="00A10FE2"/>
    <w:rsid w:val="00A233DE"/>
    <w:rsid w:val="00A31553"/>
    <w:rsid w:val="00A5316D"/>
    <w:rsid w:val="00A676D4"/>
    <w:rsid w:val="00A80202"/>
    <w:rsid w:val="00A86A51"/>
    <w:rsid w:val="00A87352"/>
    <w:rsid w:val="00AA75C1"/>
    <w:rsid w:val="00AB5689"/>
    <w:rsid w:val="00AD7B85"/>
    <w:rsid w:val="00AE080F"/>
    <w:rsid w:val="00B24425"/>
    <w:rsid w:val="00B32C39"/>
    <w:rsid w:val="00B36569"/>
    <w:rsid w:val="00B42FEE"/>
    <w:rsid w:val="00B870F7"/>
    <w:rsid w:val="00B935F8"/>
    <w:rsid w:val="00BA389A"/>
    <w:rsid w:val="00BB4D88"/>
    <w:rsid w:val="00BC3717"/>
    <w:rsid w:val="00BC7A0A"/>
    <w:rsid w:val="00BF0DBD"/>
    <w:rsid w:val="00BF69C9"/>
    <w:rsid w:val="00C03E37"/>
    <w:rsid w:val="00C06555"/>
    <w:rsid w:val="00C3118D"/>
    <w:rsid w:val="00C35432"/>
    <w:rsid w:val="00C55910"/>
    <w:rsid w:val="00C56431"/>
    <w:rsid w:val="00C74E22"/>
    <w:rsid w:val="00C97771"/>
    <w:rsid w:val="00CA4CBB"/>
    <w:rsid w:val="00CB1F72"/>
    <w:rsid w:val="00CC5AF4"/>
    <w:rsid w:val="00CE3FAB"/>
    <w:rsid w:val="00D00DA4"/>
    <w:rsid w:val="00D02160"/>
    <w:rsid w:val="00D26592"/>
    <w:rsid w:val="00D30C1F"/>
    <w:rsid w:val="00D32512"/>
    <w:rsid w:val="00D41022"/>
    <w:rsid w:val="00D562E8"/>
    <w:rsid w:val="00D60B9A"/>
    <w:rsid w:val="00D6790B"/>
    <w:rsid w:val="00D75D83"/>
    <w:rsid w:val="00DA6117"/>
    <w:rsid w:val="00DC4019"/>
    <w:rsid w:val="00DD31E8"/>
    <w:rsid w:val="00DD6A3A"/>
    <w:rsid w:val="00E02459"/>
    <w:rsid w:val="00E07EC2"/>
    <w:rsid w:val="00E31D75"/>
    <w:rsid w:val="00E35528"/>
    <w:rsid w:val="00E57A50"/>
    <w:rsid w:val="00E620B6"/>
    <w:rsid w:val="00E6270B"/>
    <w:rsid w:val="00E65E88"/>
    <w:rsid w:val="00E6793E"/>
    <w:rsid w:val="00E73545"/>
    <w:rsid w:val="00E8131F"/>
    <w:rsid w:val="00EA1D51"/>
    <w:rsid w:val="00EB27E8"/>
    <w:rsid w:val="00EB6873"/>
    <w:rsid w:val="00ED3819"/>
    <w:rsid w:val="00F017FD"/>
    <w:rsid w:val="00F042FC"/>
    <w:rsid w:val="00F07B13"/>
    <w:rsid w:val="00F135FA"/>
    <w:rsid w:val="00F312CB"/>
    <w:rsid w:val="00F41347"/>
    <w:rsid w:val="00F4783B"/>
    <w:rsid w:val="00F50F29"/>
    <w:rsid w:val="00F557C5"/>
    <w:rsid w:val="00F578C8"/>
    <w:rsid w:val="00F66862"/>
    <w:rsid w:val="00F70F16"/>
    <w:rsid w:val="00F82C7C"/>
    <w:rsid w:val="00F83791"/>
    <w:rsid w:val="00FB29CC"/>
    <w:rsid w:val="00FC71DE"/>
    <w:rsid w:val="00FD1AB5"/>
    <w:rsid w:val="00FE5582"/>
    <w:rsid w:val="00FF20B1"/>
    <w:rsid w:val="02510197"/>
    <w:rsid w:val="04711533"/>
    <w:rsid w:val="08782B85"/>
    <w:rsid w:val="0BBC6B70"/>
    <w:rsid w:val="103C5FE2"/>
    <w:rsid w:val="141F1EA3"/>
    <w:rsid w:val="1A562397"/>
    <w:rsid w:val="20FB295E"/>
    <w:rsid w:val="22D94FB2"/>
    <w:rsid w:val="24D9434B"/>
    <w:rsid w:val="2CFE2D1C"/>
    <w:rsid w:val="323B1FE2"/>
    <w:rsid w:val="329B6F14"/>
    <w:rsid w:val="33261377"/>
    <w:rsid w:val="36877708"/>
    <w:rsid w:val="36CE6325"/>
    <w:rsid w:val="386817BB"/>
    <w:rsid w:val="3AEB5E51"/>
    <w:rsid w:val="3D163594"/>
    <w:rsid w:val="406C235E"/>
    <w:rsid w:val="41CF25EF"/>
    <w:rsid w:val="472F2255"/>
    <w:rsid w:val="4861226E"/>
    <w:rsid w:val="4A0C3E40"/>
    <w:rsid w:val="544278CB"/>
    <w:rsid w:val="556C008D"/>
    <w:rsid w:val="5C1706AA"/>
    <w:rsid w:val="5DABEAB9"/>
    <w:rsid w:val="5F750196"/>
    <w:rsid w:val="62367E8A"/>
    <w:rsid w:val="63536AE1"/>
    <w:rsid w:val="66E10D72"/>
    <w:rsid w:val="698F7814"/>
    <w:rsid w:val="6BDC1A5D"/>
    <w:rsid w:val="6EA205B6"/>
    <w:rsid w:val="6ED4152C"/>
    <w:rsid w:val="6EE92007"/>
    <w:rsid w:val="70481332"/>
    <w:rsid w:val="73403837"/>
    <w:rsid w:val="76D98D4E"/>
    <w:rsid w:val="7CEF4DB2"/>
    <w:rsid w:val="7F71A484"/>
    <w:rsid w:val="7FFB9CC0"/>
    <w:rsid w:val="B7E74CCB"/>
    <w:rsid w:val="BEFD0B48"/>
    <w:rsid w:val="FBBFCD69"/>
    <w:rsid w:val="FFEE0F31"/>
    <w:rsid w:val="FFEE6E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宋体" w:hAnsi="宋体" w:eastAsia="宋体" w:cs="宋体"/>
      <w:sz w:val="22"/>
      <w:szCs w:val="22"/>
      <w:lang w:val="en-US" w:eastAsia="en-US" w:bidi="ar-SA"/>
    </w:rPr>
  </w:style>
  <w:style w:type="paragraph" w:styleId="2">
    <w:name w:val="heading 1"/>
    <w:basedOn w:val="1"/>
    <w:qFormat/>
    <w:uiPriority w:val="9"/>
    <w:pPr>
      <w:ind w:left="1235" w:right="1475"/>
      <w:jc w:val="center"/>
      <w:outlineLvl w:val="0"/>
    </w:pPr>
    <w:rPr>
      <w:b/>
      <w:bCs/>
      <w:sz w:val="24"/>
      <w:szCs w:val="24"/>
    </w:rPr>
  </w:style>
  <w:style w:type="paragraph" w:styleId="3">
    <w:name w:val="heading 3"/>
    <w:basedOn w:val="1"/>
    <w:next w:val="1"/>
    <w:link w:val="17"/>
    <w:semiHidden/>
    <w:unhideWhenUsed/>
    <w:qFormat/>
    <w:uiPriority w:val="9"/>
    <w:pPr>
      <w:keepNext/>
      <w:keepLines/>
      <w:spacing w:before="260" w:after="260" w:line="416" w:lineRule="auto"/>
      <w:outlineLvl w:val="2"/>
    </w:pPr>
    <w:rPr>
      <w:b/>
      <w:bCs/>
      <w:sz w:val="32"/>
      <w:szCs w:val="32"/>
    </w:rPr>
  </w:style>
  <w:style w:type="character" w:default="1" w:styleId="10">
    <w:name w:val="Default Paragraph Font"/>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8"/>
    <w:semiHidden/>
    <w:unhideWhenUsed/>
    <w:qFormat/>
    <w:uiPriority w:val="99"/>
  </w:style>
  <w:style w:type="paragraph" w:styleId="5">
    <w:name w:val="Body Text"/>
    <w:basedOn w:val="1"/>
    <w:qFormat/>
    <w:uiPriority w:val="1"/>
    <w:pPr>
      <w:spacing w:before="2"/>
      <w:ind w:left="120"/>
    </w:pPr>
    <w:rPr>
      <w:sz w:val="24"/>
      <w:szCs w:val="24"/>
    </w:rPr>
  </w:style>
  <w:style w:type="paragraph" w:styleId="6">
    <w:name w:val="footer"/>
    <w:basedOn w:val="1"/>
    <w:link w:val="16"/>
    <w:unhideWhenUsed/>
    <w:qFormat/>
    <w:uiPriority w:val="99"/>
    <w:pPr>
      <w:tabs>
        <w:tab w:val="center" w:pos="4153"/>
        <w:tab w:val="right" w:pos="8306"/>
      </w:tabs>
      <w:snapToGrid w:val="0"/>
    </w:pPr>
    <w:rPr>
      <w:sz w:val="18"/>
      <w:szCs w:val="18"/>
    </w:rPr>
  </w:style>
  <w:style w:type="paragraph" w:styleId="7">
    <w:name w:val="header"/>
    <w:basedOn w:val="1"/>
    <w:link w:val="15"/>
    <w:unhideWhenUsed/>
    <w:qFormat/>
    <w:uiPriority w:val="99"/>
    <w:pPr>
      <w:tabs>
        <w:tab w:val="center" w:pos="4153"/>
        <w:tab w:val="right" w:pos="8306"/>
      </w:tabs>
      <w:snapToGrid w:val="0"/>
      <w:jc w:val="center"/>
    </w:pPr>
    <w:rPr>
      <w:sz w:val="18"/>
      <w:szCs w:val="18"/>
    </w:rPr>
  </w:style>
  <w:style w:type="paragraph" w:styleId="8">
    <w:name w:val="annotation subject"/>
    <w:basedOn w:val="4"/>
    <w:next w:val="4"/>
    <w:link w:val="19"/>
    <w:semiHidden/>
    <w:unhideWhenUsed/>
    <w:qFormat/>
    <w:uiPriority w:val="99"/>
    <w:rPr>
      <w:b/>
      <w:bCs/>
    </w:rPr>
  </w:style>
  <w:style w:type="character" w:styleId="11">
    <w:name w:val="annotation reference"/>
    <w:basedOn w:val="10"/>
    <w:semiHidden/>
    <w:unhideWhenUsed/>
    <w:qFormat/>
    <w:uiPriority w:val="99"/>
    <w:rPr>
      <w:sz w:val="21"/>
      <w:szCs w:val="21"/>
    </w:rPr>
  </w:style>
  <w:style w:type="table" w:customStyle="1" w:styleId="12">
    <w:name w:val="Table Normal"/>
    <w:semiHidden/>
    <w:unhideWhenUsed/>
    <w:qFormat/>
    <w:uiPriority w:val="2"/>
    <w:tblPr>
      <w:tblCellMar>
        <w:top w:w="0" w:type="dxa"/>
        <w:left w:w="0" w:type="dxa"/>
        <w:bottom w:w="0" w:type="dxa"/>
        <w:right w:w="0" w:type="dxa"/>
      </w:tblCellMar>
    </w:tblPr>
  </w:style>
  <w:style w:type="paragraph" w:styleId="13">
    <w:name w:val="List Paragraph"/>
    <w:basedOn w:val="1"/>
    <w:qFormat/>
    <w:uiPriority w:val="1"/>
    <w:pPr>
      <w:spacing w:before="1"/>
      <w:ind w:left="120"/>
    </w:pPr>
  </w:style>
  <w:style w:type="paragraph" w:customStyle="1" w:styleId="14">
    <w:name w:val="Table Paragraph"/>
    <w:basedOn w:val="1"/>
    <w:qFormat/>
    <w:uiPriority w:val="1"/>
  </w:style>
  <w:style w:type="character" w:customStyle="1" w:styleId="15">
    <w:name w:val="页眉 字符"/>
    <w:basedOn w:val="10"/>
    <w:link w:val="7"/>
    <w:qFormat/>
    <w:uiPriority w:val="99"/>
    <w:rPr>
      <w:rFonts w:ascii="宋体" w:hAnsi="宋体" w:eastAsia="宋体" w:cs="宋体"/>
      <w:sz w:val="18"/>
      <w:szCs w:val="18"/>
    </w:rPr>
  </w:style>
  <w:style w:type="character" w:customStyle="1" w:styleId="16">
    <w:name w:val="页脚 字符"/>
    <w:basedOn w:val="10"/>
    <w:link w:val="6"/>
    <w:qFormat/>
    <w:uiPriority w:val="99"/>
    <w:rPr>
      <w:rFonts w:ascii="宋体" w:hAnsi="宋体" w:eastAsia="宋体" w:cs="宋体"/>
      <w:sz w:val="18"/>
      <w:szCs w:val="18"/>
    </w:rPr>
  </w:style>
  <w:style w:type="character" w:customStyle="1" w:styleId="17">
    <w:name w:val="标题 3 字符"/>
    <w:basedOn w:val="10"/>
    <w:link w:val="3"/>
    <w:semiHidden/>
    <w:qFormat/>
    <w:uiPriority w:val="9"/>
    <w:rPr>
      <w:rFonts w:ascii="宋体" w:hAnsi="宋体" w:eastAsia="宋体" w:cs="宋体"/>
      <w:b/>
      <w:bCs/>
      <w:sz w:val="32"/>
      <w:szCs w:val="32"/>
    </w:rPr>
  </w:style>
  <w:style w:type="character" w:customStyle="1" w:styleId="18">
    <w:name w:val="批注文字 字符"/>
    <w:basedOn w:val="10"/>
    <w:link w:val="4"/>
    <w:semiHidden/>
    <w:qFormat/>
    <w:uiPriority w:val="99"/>
    <w:rPr>
      <w:rFonts w:ascii="宋体" w:hAnsi="宋体" w:eastAsia="宋体" w:cs="宋体"/>
    </w:rPr>
  </w:style>
  <w:style w:type="character" w:customStyle="1" w:styleId="19">
    <w:name w:val="批注主题 字符"/>
    <w:basedOn w:val="18"/>
    <w:link w:val="8"/>
    <w:semiHidden/>
    <w:qFormat/>
    <w:uiPriority w:val="99"/>
    <w:rPr>
      <w:rFonts w:ascii="宋体" w:hAnsi="宋体" w:eastAsia="宋体" w:cs="宋体"/>
      <w:b/>
      <w:bCs/>
    </w:rPr>
  </w:style>
  <w:style w:type="paragraph" w:customStyle="1" w:styleId="20">
    <w:name w:val="Revision"/>
    <w:hidden/>
    <w:semiHidden/>
    <w:qFormat/>
    <w:uiPriority w:val="99"/>
    <w:pPr>
      <w:widowControl/>
      <w:autoSpaceDE/>
      <w:autoSpaceDN/>
    </w:pPr>
    <w:rPr>
      <w:rFonts w:ascii="宋体" w:hAnsi="宋体" w:eastAsia="宋体" w:cs="宋体"/>
      <w:sz w:val="22"/>
      <w:szCs w:val="22"/>
      <w:lang w:val="en-US" w:eastAsia="en-US" w:bidi="ar-SA"/>
    </w:rPr>
  </w:style>
  <w:style w:type="paragraph" w:customStyle="1" w:styleId="21">
    <w:name w:val="列出段落1"/>
    <w:basedOn w:val="1"/>
    <w:qFormat/>
    <w:uiPriority w:val="0"/>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3601</Words>
  <Characters>3608</Characters>
  <Lines>73</Lines>
  <Paragraphs>63</Paragraphs>
  <TotalTime>0</TotalTime>
  <ScaleCrop>false</ScaleCrop>
  <LinksUpToDate>false</LinksUpToDate>
  <CharactersWithSpaces>3742</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2026-04-21T09:59:00Z</dcterms:created>
  <dc:creator>admin</dc:creator>
  <cp:lastModifiedBy>DZB</cp:lastModifiedBy>
  <dcterms:modified xsi:type="dcterms:W3CDTF">2026-05-21T09:02:39Z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2024-12-05T00:00:00Z</vt:filetime>
  </property>
  <property fmtid="{D5CDD505-2E9C-101B-9397-08002B2CF9AE}" pid="3" name="Creator">
    <vt:lpwstr>WPS 文字</vt:lpwstr>
  </property>
  <property fmtid="{D5CDD505-2E9C-101B-9397-08002B2CF9AE}" pid="4" name="LastSaved">
    <vt:filetime>2026-02-28T00:00:00Z</vt:filetime>
  </property>
  <property fmtid="{D5CDD505-2E9C-101B-9397-08002B2CF9AE}" pid="5" name="KSOTemplateDocerSaveRecord">
    <vt:lpwstr>eyJoZGlkIjoiMGJmNjQ0OWZkYzczOTI0ZjY2MWU3NWM5MjRhNzU3ODkiLCJ1c2VySWQiOiIxNzg2NDU0MzIwIn0=</vt:lpwstr>
  </property>
  <property fmtid="{D5CDD505-2E9C-101B-9397-08002B2CF9AE}" pid="6" name="KSOProductBuildVer">
    <vt:lpwstr>2052-12.1.0.25222</vt:lpwstr>
  </property>
  <property fmtid="{D5CDD505-2E9C-101B-9397-08002B2CF9AE}" pid="7" name="ICV">
    <vt:lpwstr>BBB0D9CDB3AA432381AF9B19C35674ED_13</vt:lpwstr>
  </property>
</Properties>
</file>