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F2805">
      <w:pPr>
        <w:snapToGrid w:val="0"/>
        <w:spacing w:line="560" w:lineRule="exact"/>
        <w:ind w:firstLine="640" w:firstLineChars="200"/>
        <w:jc w:val="right"/>
        <w:rPr>
          <w:rFonts w:ascii="Times New Roman" w:hAnsi="Times New Roman" w:eastAsia="FangSong_GB2312"/>
          <w:color w:val="000000" w:themeColor="text1"/>
          <w:sz w:val="32"/>
          <w:szCs w:val="32"/>
          <w14:textFill>
            <w14:solidFill>
              <w14:schemeClr w14:val="tx1"/>
            </w14:solidFill>
          </w14:textFill>
        </w:rPr>
      </w:pPr>
      <w:r>
        <w:rPr>
          <w:rFonts w:hint="eastAsia" w:ascii="FangSong_GB2312" w:hAnsi="FangSong_GB2312" w:eastAsia="FangSong_GB2312" w:cs="FangSong_GB2312"/>
          <w:color w:val="000000"/>
          <w:sz w:val="32"/>
          <w:szCs w:val="32"/>
        </w:rPr>
        <w:t>清深国院规〔202</w:t>
      </w:r>
      <w:r>
        <w:rPr>
          <w:rFonts w:hint="eastAsia" w:ascii="FangSong_GB2312" w:hAnsi="FangSong_GB2312" w:eastAsia="FangSong_GB2312" w:cs="FangSong_GB2312"/>
          <w:color w:val="000000"/>
          <w:sz w:val="32"/>
          <w:szCs w:val="32"/>
          <w:lang w:val="en-US" w:eastAsia="zh-CN"/>
        </w:rPr>
        <w:t>6</w:t>
      </w:r>
      <w:r>
        <w:rPr>
          <w:rFonts w:hint="eastAsia" w:ascii="FangSong_GB2312" w:hAnsi="FangSong_GB2312" w:eastAsia="FangSong_GB2312" w:cs="FangSong_GB2312"/>
          <w:color w:val="000000"/>
          <w:sz w:val="32"/>
          <w:szCs w:val="32"/>
        </w:rPr>
        <w:t>〕</w:t>
      </w:r>
      <w:r>
        <w:rPr>
          <w:rFonts w:hint="eastAsia" w:ascii="FangSong_GB2312" w:hAnsi="FangSong_GB2312" w:eastAsia="FangSong_GB2312" w:cs="FangSong_GB2312"/>
          <w:color w:val="000000"/>
          <w:sz w:val="32"/>
          <w:szCs w:val="32"/>
          <w:lang w:val="en-US" w:eastAsia="zh-CN"/>
        </w:rPr>
        <w:t>29</w:t>
      </w:r>
      <w:r>
        <w:rPr>
          <w:rFonts w:hint="eastAsia" w:ascii="FangSong_GB2312" w:hAnsi="FangSong_GB2312" w:eastAsia="FangSong_GB2312" w:cs="FangSong_GB2312"/>
          <w:color w:val="000000"/>
          <w:sz w:val="32"/>
          <w:szCs w:val="32"/>
        </w:rPr>
        <w:t>号</w:t>
      </w:r>
    </w:p>
    <w:p w14:paraId="0078390C">
      <w:pPr>
        <w:spacing w:line="560" w:lineRule="exact"/>
        <w:jc w:val="center"/>
        <w:rPr>
          <w:rFonts w:hint="eastAsia" w:ascii="方正小标宋简体" w:hAnsi="黑体" w:eastAsia="方正小标宋简体" w:cs="宋体"/>
          <w:color w:val="000000"/>
          <w:kern w:val="0"/>
          <w:sz w:val="36"/>
          <w:szCs w:val="36"/>
        </w:rPr>
      </w:pPr>
    </w:p>
    <w:p w14:paraId="134FFDB9">
      <w:pPr>
        <w:tabs>
          <w:tab w:val="left" w:pos="845"/>
          <w:tab w:val="left" w:pos="6674"/>
          <w:tab w:val="right" w:pos="9675"/>
        </w:tabs>
        <w:spacing w:line="520" w:lineRule="exact"/>
        <w:jc w:val="center"/>
        <w:rPr>
          <w:rFonts w:hint="eastAsia" w:ascii="方正小标宋简体" w:hAnsi="黑体" w:eastAsia="方正小标宋简体" w:cs="宋体"/>
          <w:kern w:val="0"/>
          <w:sz w:val="36"/>
          <w:szCs w:val="36"/>
        </w:rPr>
      </w:pPr>
      <w:r>
        <w:rPr>
          <w:rFonts w:hint="eastAsia" w:ascii="方正小标宋简体" w:hAnsi="黑体" w:eastAsia="方正小标宋简体" w:cs="宋体"/>
          <w:kern w:val="0"/>
          <w:sz w:val="36"/>
          <w:szCs w:val="36"/>
        </w:rPr>
        <w:t>清华大学深圳国际研究生院科研项目间接费用及管理费管理办法</w:t>
      </w:r>
    </w:p>
    <w:p w14:paraId="7EC57081">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hAnsi="仿宋_GB2312" w:eastAsia="仿宋_GB2312" w:cs="仿宋_GB2312"/>
          <w:sz w:val="32"/>
          <w:szCs w:val="32"/>
        </w:rPr>
      </w:pPr>
      <w:bookmarkStart w:id="0" w:name="OLE_LINK1"/>
      <w:r>
        <w:rPr>
          <w:rFonts w:hint="eastAsia" w:ascii="仿宋_GB2312" w:hAnsi="黑体" w:eastAsia="仿宋_GB2312"/>
          <w:sz w:val="32"/>
          <w:szCs w:val="32"/>
        </w:rPr>
        <w:t>二</w:t>
      </w:r>
      <w:r>
        <w:rPr>
          <w:rFonts w:hint="eastAsia" w:ascii="仿宋_GB2312" w:hAnsi="微软雅黑" w:eastAsia="仿宋_GB2312" w:cs="微软雅黑"/>
          <w:sz w:val="32"/>
          <w:szCs w:val="32"/>
        </w:rPr>
        <w:t>〇</w:t>
      </w:r>
      <w:r>
        <w:rPr>
          <w:rFonts w:hint="eastAsia" w:ascii="仿宋_GB2312" w:hAnsi="仿宋_GB2312" w:eastAsia="仿宋_GB2312" w:cs="仿宋_GB2312"/>
          <w:sz w:val="32"/>
          <w:szCs w:val="32"/>
        </w:rPr>
        <w:t>一七年第五次院务会（2017年6月15日）审议通过，</w:t>
      </w:r>
    </w:p>
    <w:p w14:paraId="7779FDF2">
      <w:pPr>
        <w:keepNext w:val="0"/>
        <w:keepLines w:val="0"/>
        <w:pageBreakBefore w:val="0"/>
        <w:widowControl w:val="0"/>
        <w:kinsoku/>
        <w:wordWrap/>
        <w:overflowPunct/>
        <w:topLinePunct w:val="0"/>
        <w:autoSpaceDE/>
        <w:autoSpaceDN/>
        <w:bidi w:val="0"/>
        <w:spacing w:line="560" w:lineRule="exact"/>
        <w:ind w:right="125"/>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二〇二六年第三次党政联席会议（2026年1月19日）修订</w:t>
      </w:r>
    </w:p>
    <w:bookmarkEnd w:id="0"/>
    <w:p w14:paraId="6AEDC8AE">
      <w:pPr>
        <w:keepNext w:val="0"/>
        <w:keepLines w:val="0"/>
        <w:pageBreakBefore w:val="0"/>
        <w:widowControl w:val="0"/>
        <w:kinsoku/>
        <w:wordWrap/>
        <w:overflowPunct/>
        <w:topLinePunct w:val="0"/>
        <w:autoSpaceDE/>
        <w:autoSpaceDN/>
        <w:bidi w:val="0"/>
        <w:adjustRightInd w:val="0"/>
        <w:snapToGrid w:val="0"/>
        <w:spacing w:line="560" w:lineRule="exact"/>
        <w:ind w:left="990"/>
        <w:jc w:val="left"/>
        <w:textAlignment w:val="auto"/>
        <w:rPr>
          <w:rFonts w:ascii="Arial" w:hAnsi="Arial" w:eastAsia="宋体" w:cs="宋体"/>
          <w:kern w:val="0"/>
          <w:sz w:val="24"/>
          <w:szCs w:val="24"/>
        </w:rPr>
      </w:pPr>
    </w:p>
    <w:p w14:paraId="3F38B98A">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第一条</w:t>
      </w:r>
      <w:r>
        <w:rPr>
          <w:rFonts w:hint="eastAsia" w:ascii="仿宋_GB2312" w:eastAsia="仿宋_GB2312" w:cs="汉仪旗黑-55" w:hAnsiTheme="minorEastAsia"/>
          <w:kern w:val="0"/>
          <w:sz w:val="32"/>
          <w:szCs w:val="32"/>
        </w:rPr>
        <w:t>　</w:t>
      </w:r>
      <w:r>
        <w:rPr>
          <w:rFonts w:hint="eastAsia" w:ascii="仿宋_GB2312" w:eastAsia="仿宋_GB2312" w:cs="宋体" w:hAnsiTheme="minorEastAsia"/>
          <w:kern w:val="0"/>
          <w:sz w:val="32"/>
          <w:szCs w:val="32"/>
        </w:rPr>
        <w:t>为了进一步规范清华大学深圳国际研究生院（以下简称学院）科研经费分配管理，提高资金使用效益，根据</w:t>
      </w:r>
      <w:r>
        <w:rPr>
          <w:rFonts w:hint="eastAsia" w:ascii="仿宋_GB2312" w:eastAsia="仿宋_GB2312" w:cs="宋体" w:hAnsiTheme="minorEastAsia"/>
          <w:bCs/>
          <w:kern w:val="0"/>
          <w:sz w:val="32"/>
          <w:szCs w:val="32"/>
        </w:rPr>
        <w:t>中共中央、国务院关于科研经费管理的相关精神与</w:t>
      </w:r>
      <w:r>
        <w:fldChar w:fldCharType="begin"/>
      </w:r>
      <w:r>
        <w:instrText xml:space="preserve"> HYPERLINK "http://fatiao.faxin.cn/FxInterface/GsQhInterface/LawAnalysis.ashx?time=19911111&amp;title=%E5%9B%BD%E5%8A%A1%E9%99%A2%E5%85%B3%E4%BA%8E%E4%BC%98%E5%8C%96%E7%A7%91%E7%A0%94%E7%AE%A1%E7%90%86%E6%8F%90%E5%8D%87%E7%A7%91%E7%A0%94%E7%BB%A9%E6%95%88%E8%8B%A5%E5%B9%B2%E6%8E%AA%E6%96%BD%E7%9A%84%E9%80%9A%E7%9F%A5" </w:instrText>
      </w:r>
      <w:r>
        <w:fldChar w:fldCharType="separate"/>
      </w:r>
      <w:r>
        <w:rPr>
          <w:rFonts w:hint="eastAsia" w:ascii="仿宋_GB2312" w:eastAsia="仿宋_GB2312" w:cs="宋体" w:hAnsiTheme="minorEastAsia"/>
          <w:bCs/>
          <w:kern w:val="0"/>
          <w:sz w:val="32"/>
          <w:szCs w:val="32"/>
        </w:rPr>
        <w:t>和上级部门关于科研经费管理</w:t>
      </w:r>
      <w:r>
        <w:rPr>
          <w:rFonts w:hint="eastAsia" w:ascii="仿宋_GB2312" w:eastAsia="仿宋_GB2312" w:cs="宋体" w:hAnsiTheme="minorEastAsia"/>
          <w:bCs/>
          <w:kern w:val="0"/>
          <w:sz w:val="32"/>
          <w:szCs w:val="32"/>
        </w:rPr>
        <w:fldChar w:fldCharType="end"/>
      </w:r>
      <w:r>
        <w:rPr>
          <w:rFonts w:hint="eastAsia" w:ascii="仿宋_GB2312" w:eastAsia="仿宋_GB2312" w:cs="宋体" w:hAnsiTheme="minorEastAsia"/>
          <w:bCs/>
          <w:kern w:val="0"/>
          <w:sz w:val="32"/>
          <w:szCs w:val="32"/>
        </w:rPr>
        <w:t>的相关规定，</w:t>
      </w:r>
      <w:r>
        <w:rPr>
          <w:rFonts w:hint="eastAsia" w:ascii="仿宋_GB2312" w:eastAsia="仿宋_GB2312" w:cs="宋体" w:hAnsiTheme="minorEastAsia"/>
          <w:kern w:val="0"/>
          <w:sz w:val="32"/>
          <w:szCs w:val="32"/>
        </w:rPr>
        <w:t>结合学院科研工作实际，制定本办法。</w:t>
      </w:r>
    </w:p>
    <w:p w14:paraId="7E32C68F">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第二条</w:t>
      </w:r>
      <w:r>
        <w:rPr>
          <w:rFonts w:hint="eastAsia" w:ascii="仿宋_GB2312" w:eastAsia="仿宋_GB2312" w:cs="汉仪旗黑-55" w:hAnsiTheme="minorEastAsia"/>
          <w:kern w:val="0"/>
          <w:sz w:val="32"/>
          <w:szCs w:val="32"/>
        </w:rPr>
        <w:t>　</w:t>
      </w:r>
      <w:r>
        <w:rPr>
          <w:rFonts w:hint="eastAsia" w:ascii="仿宋_GB2312" w:eastAsia="仿宋_GB2312" w:cs="宋体" w:hAnsiTheme="minorEastAsia"/>
          <w:kern w:val="0"/>
          <w:sz w:val="32"/>
          <w:szCs w:val="32"/>
        </w:rPr>
        <w:t>本办法适用于学院纵向科研经费间接费用以及横向科研经费管理费的分配。</w:t>
      </w:r>
    </w:p>
    <w:p w14:paraId="7CF85D9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第三条</w:t>
      </w:r>
      <w:r>
        <w:rPr>
          <w:rFonts w:hint="eastAsia" w:ascii="仿宋_GB2312" w:eastAsia="仿宋_GB2312" w:cs="汉仪旗黑-55" w:hAnsiTheme="minorEastAsia"/>
          <w:kern w:val="0"/>
          <w:sz w:val="32"/>
          <w:szCs w:val="32"/>
        </w:rPr>
        <w:t>　</w:t>
      </w:r>
      <w:r>
        <w:rPr>
          <w:rFonts w:hint="eastAsia" w:ascii="仿宋_GB2312" w:eastAsia="仿宋_GB2312" w:cs="宋体" w:hAnsiTheme="minorEastAsia"/>
          <w:kern w:val="0"/>
          <w:sz w:val="32"/>
          <w:szCs w:val="32"/>
        </w:rPr>
        <w:t>本办法所称科研项目间接费用，是指项目实施过程中发生的、无法在直接费用中列支的相关费用，包含</w:t>
      </w:r>
      <w:r>
        <w:rPr>
          <w:rFonts w:hint="eastAsia" w:ascii="仿宋_GB2312" w:hAnsi="宋体" w:eastAsia="仿宋_GB2312" w:cs="宋体"/>
          <w:color w:val="333333"/>
          <w:sz w:val="32"/>
          <w:szCs w:val="32"/>
          <w:shd w:val="clear" w:color="auto" w:fill="FFFFFF"/>
        </w:rPr>
        <w:t>单位水电气暖等消耗、管理费、绩效支出。</w:t>
      </w:r>
      <w:r>
        <w:rPr>
          <w:rFonts w:hint="eastAsia" w:ascii="仿宋_GB2312" w:eastAsia="仿宋_GB2312" w:cs="宋体" w:hAnsiTheme="minorEastAsia"/>
          <w:kern w:val="0"/>
          <w:sz w:val="32"/>
          <w:szCs w:val="32"/>
        </w:rPr>
        <w:t>本办法所称科研项目管理费，</w:t>
      </w:r>
      <w:r>
        <w:rPr>
          <w:rFonts w:hint="eastAsia" w:ascii="仿宋_GB2312" w:hAnsi="宋体" w:eastAsia="仿宋_GB2312" w:cs="宋体"/>
          <w:color w:val="333333"/>
          <w:sz w:val="32"/>
          <w:szCs w:val="32"/>
          <w:shd w:val="clear" w:color="auto" w:fill="FFFFFF"/>
        </w:rPr>
        <w:t>主要包括学院为项目研究提供的图书和信息等公共资源的费用补偿、基础设施、管理服务机构的费用分摊等。</w:t>
      </w:r>
    </w:p>
    <w:p w14:paraId="5F2AB38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第四条</w:t>
      </w:r>
      <w:r>
        <w:rPr>
          <w:rFonts w:hint="eastAsia" w:ascii="仿宋_GB2312" w:eastAsia="仿宋_GB2312" w:cs="汉仪旗黑-55" w:hAnsiTheme="minorEastAsia"/>
          <w:kern w:val="0"/>
          <w:sz w:val="32"/>
          <w:szCs w:val="32"/>
        </w:rPr>
        <w:t>　纵向科研经费</w:t>
      </w:r>
      <w:r>
        <w:rPr>
          <w:rFonts w:hint="eastAsia" w:ascii="仿宋_GB2312" w:eastAsia="仿宋_GB2312" w:cs="宋体" w:hAnsiTheme="minorEastAsia"/>
          <w:kern w:val="0"/>
          <w:sz w:val="32"/>
          <w:szCs w:val="32"/>
        </w:rPr>
        <w:t>间接费用预算编制</w:t>
      </w:r>
    </w:p>
    <w:p w14:paraId="326427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（一）项目负责人应当</w:t>
      </w:r>
      <w:r>
        <w:rPr>
          <w:rFonts w:hint="eastAsia" w:ascii="仿宋_GB2312" w:eastAsia="仿宋_GB2312" w:hAnsiTheme="minorEastAsia"/>
          <w:sz w:val="32"/>
          <w:szCs w:val="32"/>
        </w:rPr>
        <w:t>按照主管部门现行规定比例的上限编制国家、广东省、深圳市</w:t>
      </w:r>
      <w:r>
        <w:rPr>
          <w:rFonts w:hint="eastAsia" w:ascii="仿宋_GB2312" w:eastAsia="仿宋_GB2312" w:cs="宋体" w:hAnsiTheme="minorEastAsia"/>
          <w:kern w:val="0"/>
          <w:sz w:val="32"/>
          <w:szCs w:val="32"/>
        </w:rPr>
        <w:t>纵向</w:t>
      </w:r>
      <w:r>
        <w:rPr>
          <w:rFonts w:hint="eastAsia" w:ascii="仿宋_GB2312" w:eastAsia="仿宋_GB2312" w:hAnsiTheme="minorEastAsia"/>
          <w:sz w:val="32"/>
          <w:szCs w:val="32"/>
        </w:rPr>
        <w:t>科研项目间接费用预算</w:t>
      </w:r>
      <w:r>
        <w:rPr>
          <w:rFonts w:hint="eastAsia" w:ascii="仿宋_GB2312" w:eastAsia="仿宋_GB2312" w:cs="宋体" w:hAnsiTheme="minorEastAsia"/>
          <w:kern w:val="0"/>
          <w:sz w:val="32"/>
          <w:szCs w:val="32"/>
        </w:rPr>
        <w:t>。</w:t>
      </w:r>
    </w:p>
    <w:p w14:paraId="7E450C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（二）其他纵向科研项目间接费用，如无相应文件规定，参照相应级别纵向科研项目间接费用比例执行。</w:t>
      </w:r>
    </w:p>
    <w:p w14:paraId="39EFBCC9">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第五条</w:t>
      </w:r>
      <w:r>
        <w:rPr>
          <w:rFonts w:hint="eastAsia" w:ascii="仿宋_GB2312" w:eastAsia="仿宋_GB2312" w:cs="汉仪旗黑-55" w:hAnsiTheme="minorEastAsia"/>
          <w:kern w:val="0"/>
          <w:sz w:val="32"/>
          <w:szCs w:val="32"/>
        </w:rPr>
        <w:t>　纵向科研经费</w:t>
      </w:r>
      <w:r>
        <w:rPr>
          <w:rFonts w:hint="eastAsia" w:ascii="仿宋_GB2312" w:eastAsia="仿宋_GB2312" w:cs="宋体" w:hAnsiTheme="minorEastAsia"/>
          <w:kern w:val="0"/>
          <w:sz w:val="32"/>
          <w:szCs w:val="32"/>
        </w:rPr>
        <w:t>间接费用分配</w:t>
      </w:r>
    </w:p>
    <w:p w14:paraId="3D2A40AA">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（一）通过清华大学（以下简称学校）申请的科研项目，按照学校相关管理规定，间接费到账时，提间接费的20%到学校管理费，提间接费的20%到学院管理费；剩余60%留给项目组，其中绩效支出不限比例。</w:t>
      </w:r>
    </w:p>
    <w:p w14:paraId="18FF84D7">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hAnsiTheme="minorEastAsia"/>
          <w:sz w:val="32"/>
          <w:szCs w:val="32"/>
        </w:rPr>
        <w:t>（二）学院直接申请</w:t>
      </w:r>
      <w:r>
        <w:rPr>
          <w:rFonts w:hint="eastAsia" w:ascii="仿宋_GB2312" w:eastAsia="仿宋_GB2312" w:cs="宋体" w:hAnsiTheme="minorEastAsia"/>
          <w:kern w:val="0"/>
          <w:sz w:val="32"/>
          <w:szCs w:val="32"/>
        </w:rPr>
        <w:t>的中央、省科研项目，间接费到账时，计提间接费的50%到学院管理费；其余部分留给项目组，其中绩效支出不限比例。</w:t>
      </w:r>
    </w:p>
    <w:p w14:paraId="1D97DFBC">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（三）深圳市科研经费，经费到账时，提到账总额的10%（含管理费）到学院管理费；其余部分留给项目组，其中绩效支出不限比例。</w:t>
      </w:r>
    </w:p>
    <w:p w14:paraId="666EE88A">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（四）其他纵向科研经费参照相应级别经费的间接费分配比例在学院和项目组之间进行分配。其中，管理费预算在经费到账时提取到学院管理费。</w:t>
      </w:r>
    </w:p>
    <w:p w14:paraId="47DBEDA5">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第六条</w:t>
      </w:r>
      <w:r>
        <w:rPr>
          <w:rFonts w:hint="eastAsia" w:ascii="仿宋_GB2312" w:eastAsia="仿宋_GB2312" w:cs="汉仪旗黑-55" w:hAnsiTheme="minorEastAsia"/>
          <w:kern w:val="0"/>
          <w:sz w:val="32"/>
          <w:szCs w:val="32"/>
        </w:rPr>
        <w:t>　</w:t>
      </w:r>
      <w:r>
        <w:rPr>
          <w:rFonts w:hint="eastAsia" w:ascii="仿宋_GB2312" w:hAnsi="宋体" w:eastAsia="仿宋_GB2312" w:cs="宋体"/>
          <w:color w:val="000000"/>
          <w:sz w:val="32"/>
          <w:szCs w:val="32"/>
          <w:shd w:val="clear" w:color="auto" w:fill="FFFFFF"/>
        </w:rPr>
        <w:t>纵向科研经费中转出经费的管理</w:t>
      </w:r>
    </w:p>
    <w:p w14:paraId="5B38A1EA">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一）主合同中明确规定应转给外单位的子课题经费，如预算明确规定转出额度，则无需另行签订合同即可转出；预算未规定转出额度的，根据联合申报协议确定额度，签订正式《科技计划子课题合同》后拨付；转出部分免提间接费或管理费。</w:t>
      </w:r>
    </w:p>
    <w:p w14:paraId="26A87915">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二）主合同和预算未规定合作单位，如主合同附件包含联合申报协议，并允许按子课题转出经费，可根据联合申报协议确定额度，签订正式《科技计划子课题合同》后拨付，转出部分免提间接费或管理费。否则只能根据测试化验加工费、中间试验费等预算，与对方签订委托合同转出，转出部分不能免提间接费或管理费。</w:t>
      </w:r>
    </w:p>
    <w:p w14:paraId="2839E3C3">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第七条</w:t>
      </w:r>
      <w:r>
        <w:rPr>
          <w:rFonts w:hint="eastAsia" w:ascii="仿宋_GB2312" w:eastAsia="仿宋_GB2312" w:cs="汉仪旗黑-55" w:hAnsiTheme="minorEastAsia"/>
          <w:kern w:val="0"/>
          <w:sz w:val="32"/>
          <w:szCs w:val="32"/>
        </w:rPr>
        <w:t>　横向</w:t>
      </w:r>
      <w:r>
        <w:rPr>
          <w:rFonts w:hint="eastAsia" w:ascii="仿宋_GB2312" w:eastAsia="仿宋_GB2312" w:cs="宋体" w:hAnsiTheme="minorEastAsia"/>
          <w:kern w:val="0"/>
          <w:sz w:val="32"/>
          <w:szCs w:val="32"/>
        </w:rPr>
        <w:t>科研经费及实验室开放服务管理费</w:t>
      </w:r>
    </w:p>
    <w:p w14:paraId="4FE36E1B">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（一）技术开发经费，管理费比例为10%。支付从事技术开发的教职工的人工费不高于30%。</w:t>
      </w:r>
    </w:p>
    <w:p w14:paraId="6303D979">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（二）技术咨询及技术服务、技术转让经费，管理费比例为15%，支付从事科技咨询服务和发明成果的教职工人工费不超过50%。</w:t>
      </w:r>
    </w:p>
    <w:p w14:paraId="25BAE4BB">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（三）实验室开放服务收入，管理费比例为12%，支付开展服务的人工费用不高于30%。</w:t>
      </w:r>
    </w:p>
    <w:p w14:paraId="0DE59162">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（四）涉外合作经费视同横向经费管理。</w:t>
      </w:r>
    </w:p>
    <w:p w14:paraId="3B071FF6">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（五）横向科研项目如需委托第三方，必须与第三方签定委托合同才能转出。转出委托经费不予免提管理费。</w:t>
      </w:r>
    </w:p>
    <w:p w14:paraId="1B620586">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kern w:val="0"/>
          <w:sz w:val="32"/>
          <w:szCs w:val="32"/>
        </w:rPr>
        <w:t>（六）横向科研项目中需代购仪器设备总金额较大的，可单独签订代购合同，按代收代支单独核算，不计科研业绩，不提管理费。</w:t>
      </w:r>
    </w:p>
    <w:p w14:paraId="363B5E59">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hint="eastAsia" w:ascii="仿宋_GB2312" w:eastAsia="仿宋_GB2312" w:cs="宋体" w:hAnsiTheme="minorEastAsia"/>
          <w:kern w:val="0"/>
          <w:sz w:val="32"/>
          <w:szCs w:val="32"/>
        </w:rPr>
      </w:pPr>
      <w:r>
        <w:rPr>
          <w:rFonts w:hint="eastAsia" w:ascii="仿宋_GB2312" w:eastAsia="仿宋_GB2312" w:cs="宋体" w:hAnsiTheme="minorEastAsia"/>
          <w:b/>
          <w:bCs/>
          <w:kern w:val="0"/>
          <w:sz w:val="32"/>
          <w:szCs w:val="32"/>
        </w:rPr>
        <w:t>第八条</w:t>
      </w:r>
      <w:r>
        <w:rPr>
          <w:rFonts w:hint="eastAsia" w:ascii="仿宋_GB2312" w:eastAsia="仿宋_GB2312" w:cs="汉仪旗黑-55" w:hAnsiTheme="minorEastAsia"/>
          <w:kern w:val="0"/>
          <w:sz w:val="32"/>
          <w:szCs w:val="32"/>
        </w:rPr>
        <w:t xml:space="preserve"> </w:t>
      </w:r>
      <w:r>
        <w:rPr>
          <w:rFonts w:hint="eastAsia" w:ascii="仿宋_GB2312" w:eastAsia="仿宋_GB2312" w:cs="宋体" w:hAnsiTheme="minorEastAsia"/>
          <w:kern w:val="0"/>
          <w:sz w:val="32"/>
          <w:szCs w:val="32"/>
        </w:rPr>
        <w:t>本办法由财务办</w:t>
      </w:r>
      <w:r>
        <w:rPr>
          <w:rFonts w:hint="eastAsia" w:ascii="仿宋_GB2312" w:eastAsia="仿宋_GB2312" w:cs="宋体" w:hAnsiTheme="minorEastAsia"/>
          <w:kern w:val="0"/>
          <w:sz w:val="32"/>
          <w:szCs w:val="32"/>
          <w:lang w:val="en-US" w:eastAsia="zh-CN"/>
        </w:rPr>
        <w:t>公室</w:t>
      </w:r>
      <w:r>
        <w:rPr>
          <w:rFonts w:hint="eastAsia" w:ascii="仿宋_GB2312" w:eastAsia="仿宋_GB2312" w:cs="宋体" w:hAnsiTheme="minorEastAsia"/>
          <w:kern w:val="0"/>
          <w:sz w:val="32"/>
          <w:szCs w:val="32"/>
        </w:rPr>
        <w:t>负责解释。</w:t>
      </w:r>
    </w:p>
    <w:p w14:paraId="15364A4B">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Arial" w:hAnsi="Arial"/>
        </w:rPr>
      </w:pPr>
      <w:r>
        <w:rPr>
          <w:rFonts w:hint="eastAsia" w:ascii="仿宋_GB2312" w:eastAsia="仿宋_GB2312" w:cs="宋体" w:hAnsiTheme="minorEastAsia"/>
          <w:b/>
          <w:bCs/>
          <w:kern w:val="0"/>
          <w:sz w:val="32"/>
          <w:szCs w:val="32"/>
        </w:rPr>
        <w:t>第九条</w:t>
      </w:r>
      <w:r>
        <w:rPr>
          <w:rFonts w:hint="eastAsia" w:ascii="仿宋_GB2312" w:eastAsia="仿宋_GB2312" w:cs="宋体" w:hAnsiTheme="minorEastAsia"/>
          <w:kern w:val="0"/>
          <w:sz w:val="32"/>
          <w:szCs w:val="32"/>
        </w:rPr>
        <w:t xml:space="preserve"> 本办法自公布之日起施行</w:t>
      </w:r>
      <w:r>
        <w:rPr>
          <w:rFonts w:hint="eastAsia" w:ascii="仿宋_GB2312" w:eastAsia="仿宋_GB2312" w:cs="宋体" w:hAnsiTheme="minorEastAsia"/>
          <w:kern w:val="0"/>
          <w:sz w:val="32"/>
          <w:szCs w:val="32"/>
          <w:lang w:eastAsia="zh-CN"/>
        </w:rPr>
        <w:t>。</w:t>
      </w: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汉仪旗黑-55">
    <w:altName w:val="黑体"/>
    <w:panose1 w:val="00000000000000000000"/>
    <w:charset w:val="86"/>
    <w:family w:val="roman"/>
    <w:pitch w:val="default"/>
    <w:sig w:usb0="00000000" w:usb1="00000000" w:usb2="00000016"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FangSong_GB2312">
    <w:altName w:val="仿宋_GB2312"/>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4923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993E6">
                          <w:pPr>
                            <w:pStyle w:val="4"/>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60993E6">
                    <w:pPr>
                      <w:pStyle w:val="4"/>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F32"/>
    <w:rsid w:val="00016E79"/>
    <w:rsid w:val="0003661F"/>
    <w:rsid w:val="00054044"/>
    <w:rsid w:val="0008623C"/>
    <w:rsid w:val="000940FD"/>
    <w:rsid w:val="000B3442"/>
    <w:rsid w:val="001075AF"/>
    <w:rsid w:val="001221C9"/>
    <w:rsid w:val="001231F4"/>
    <w:rsid w:val="00137782"/>
    <w:rsid w:val="00143369"/>
    <w:rsid w:val="00143473"/>
    <w:rsid w:val="00162384"/>
    <w:rsid w:val="00165644"/>
    <w:rsid w:val="001700C7"/>
    <w:rsid w:val="00195214"/>
    <w:rsid w:val="001E768D"/>
    <w:rsid w:val="00210981"/>
    <w:rsid w:val="00225EF0"/>
    <w:rsid w:val="00237E2C"/>
    <w:rsid w:val="00247A61"/>
    <w:rsid w:val="00263789"/>
    <w:rsid w:val="00290A10"/>
    <w:rsid w:val="0029530C"/>
    <w:rsid w:val="002A1EF2"/>
    <w:rsid w:val="002B6AB6"/>
    <w:rsid w:val="002B7D35"/>
    <w:rsid w:val="002C2368"/>
    <w:rsid w:val="002E0B74"/>
    <w:rsid w:val="002F73BA"/>
    <w:rsid w:val="00314580"/>
    <w:rsid w:val="00317F7E"/>
    <w:rsid w:val="00343087"/>
    <w:rsid w:val="0035113C"/>
    <w:rsid w:val="003604EE"/>
    <w:rsid w:val="00366281"/>
    <w:rsid w:val="0039075E"/>
    <w:rsid w:val="003C517F"/>
    <w:rsid w:val="003E13F3"/>
    <w:rsid w:val="003F2397"/>
    <w:rsid w:val="004324EB"/>
    <w:rsid w:val="00446040"/>
    <w:rsid w:val="004B3792"/>
    <w:rsid w:val="004D0B8D"/>
    <w:rsid w:val="004E13BD"/>
    <w:rsid w:val="004F647F"/>
    <w:rsid w:val="00513488"/>
    <w:rsid w:val="005255B1"/>
    <w:rsid w:val="00546136"/>
    <w:rsid w:val="00554C19"/>
    <w:rsid w:val="00595381"/>
    <w:rsid w:val="005B5FC9"/>
    <w:rsid w:val="005E6532"/>
    <w:rsid w:val="005E7D54"/>
    <w:rsid w:val="005F7C91"/>
    <w:rsid w:val="006112FF"/>
    <w:rsid w:val="00643D91"/>
    <w:rsid w:val="00650E8A"/>
    <w:rsid w:val="00654041"/>
    <w:rsid w:val="00672A67"/>
    <w:rsid w:val="00680945"/>
    <w:rsid w:val="00693357"/>
    <w:rsid w:val="00697585"/>
    <w:rsid w:val="006C5BBA"/>
    <w:rsid w:val="007323CF"/>
    <w:rsid w:val="007E2237"/>
    <w:rsid w:val="00801EE1"/>
    <w:rsid w:val="00817F32"/>
    <w:rsid w:val="008437CF"/>
    <w:rsid w:val="00843FDD"/>
    <w:rsid w:val="00864838"/>
    <w:rsid w:val="00882E21"/>
    <w:rsid w:val="00893B71"/>
    <w:rsid w:val="008A21F6"/>
    <w:rsid w:val="008A74F5"/>
    <w:rsid w:val="008B114D"/>
    <w:rsid w:val="008B2ED0"/>
    <w:rsid w:val="008B39BA"/>
    <w:rsid w:val="008B6C5D"/>
    <w:rsid w:val="008D0AF8"/>
    <w:rsid w:val="008F57F4"/>
    <w:rsid w:val="00916EE1"/>
    <w:rsid w:val="009439DF"/>
    <w:rsid w:val="00944AE8"/>
    <w:rsid w:val="00945740"/>
    <w:rsid w:val="00950A4E"/>
    <w:rsid w:val="00963814"/>
    <w:rsid w:val="00965426"/>
    <w:rsid w:val="00980338"/>
    <w:rsid w:val="00982BE5"/>
    <w:rsid w:val="00983819"/>
    <w:rsid w:val="00985C38"/>
    <w:rsid w:val="00995591"/>
    <w:rsid w:val="009B059C"/>
    <w:rsid w:val="009B1656"/>
    <w:rsid w:val="009D78F8"/>
    <w:rsid w:val="00A0210F"/>
    <w:rsid w:val="00A27862"/>
    <w:rsid w:val="00A86F14"/>
    <w:rsid w:val="00A87B21"/>
    <w:rsid w:val="00AB1332"/>
    <w:rsid w:val="00AB62DD"/>
    <w:rsid w:val="00AB6FF4"/>
    <w:rsid w:val="00AC496B"/>
    <w:rsid w:val="00AC5C93"/>
    <w:rsid w:val="00AE765E"/>
    <w:rsid w:val="00AF05D9"/>
    <w:rsid w:val="00B0406A"/>
    <w:rsid w:val="00B1302F"/>
    <w:rsid w:val="00B44095"/>
    <w:rsid w:val="00B51068"/>
    <w:rsid w:val="00B75070"/>
    <w:rsid w:val="00B7661A"/>
    <w:rsid w:val="00BA4209"/>
    <w:rsid w:val="00BC2FAE"/>
    <w:rsid w:val="00BF1340"/>
    <w:rsid w:val="00C00A3C"/>
    <w:rsid w:val="00C051C8"/>
    <w:rsid w:val="00C171CF"/>
    <w:rsid w:val="00C42A3F"/>
    <w:rsid w:val="00C64575"/>
    <w:rsid w:val="00C74596"/>
    <w:rsid w:val="00C76E19"/>
    <w:rsid w:val="00C81377"/>
    <w:rsid w:val="00CA3F10"/>
    <w:rsid w:val="00CB12CB"/>
    <w:rsid w:val="00CB2EAA"/>
    <w:rsid w:val="00CC3F23"/>
    <w:rsid w:val="00CF025E"/>
    <w:rsid w:val="00D10211"/>
    <w:rsid w:val="00D20C94"/>
    <w:rsid w:val="00D37A27"/>
    <w:rsid w:val="00D51356"/>
    <w:rsid w:val="00D71DF8"/>
    <w:rsid w:val="00D83E03"/>
    <w:rsid w:val="00D90DCF"/>
    <w:rsid w:val="00DA7416"/>
    <w:rsid w:val="00DE4CC9"/>
    <w:rsid w:val="00DF39FE"/>
    <w:rsid w:val="00DF3CD9"/>
    <w:rsid w:val="00E03B9D"/>
    <w:rsid w:val="00E07F09"/>
    <w:rsid w:val="00E17B63"/>
    <w:rsid w:val="00E23EA6"/>
    <w:rsid w:val="00E2445E"/>
    <w:rsid w:val="00E5335E"/>
    <w:rsid w:val="00E8430D"/>
    <w:rsid w:val="00EB499F"/>
    <w:rsid w:val="00ED55AD"/>
    <w:rsid w:val="00F36834"/>
    <w:rsid w:val="00F446A7"/>
    <w:rsid w:val="00FD257D"/>
    <w:rsid w:val="00FE75A6"/>
    <w:rsid w:val="00FF13BF"/>
    <w:rsid w:val="00FF280B"/>
    <w:rsid w:val="00FF3EC9"/>
    <w:rsid w:val="031B0118"/>
    <w:rsid w:val="17ED854B"/>
    <w:rsid w:val="208262B0"/>
    <w:rsid w:val="2E303E57"/>
    <w:rsid w:val="31FE15BF"/>
    <w:rsid w:val="341F62A5"/>
    <w:rsid w:val="37BC249F"/>
    <w:rsid w:val="3D881F41"/>
    <w:rsid w:val="3F5028B3"/>
    <w:rsid w:val="43A018F3"/>
    <w:rsid w:val="44D206E8"/>
    <w:rsid w:val="50D55EBF"/>
    <w:rsid w:val="512C1180"/>
    <w:rsid w:val="53E19517"/>
    <w:rsid w:val="5B7D4348"/>
    <w:rsid w:val="5CFA4B8F"/>
    <w:rsid w:val="6857747F"/>
    <w:rsid w:val="71DB6432"/>
    <w:rsid w:val="7EED25C3"/>
    <w:rsid w:val="7EEF8896"/>
    <w:rsid w:val="E7CE7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9">
    <w:name w:val="List Paragraph"/>
    <w:basedOn w:val="1"/>
    <w:qFormat/>
    <w:uiPriority w:val="34"/>
    <w:pPr>
      <w:widowControl/>
      <w:spacing w:before="100" w:beforeAutospacing="1" w:after="100" w:afterAutospacing="1"/>
      <w:jc w:val="left"/>
    </w:pPr>
    <w:rPr>
      <w:rFonts w:ascii="宋体" w:hAnsi="宋体" w:eastAsia="宋体" w:cs="宋体"/>
      <w:kern w:val="0"/>
      <w:sz w:val="24"/>
      <w:szCs w:val="24"/>
    </w:rPr>
  </w:style>
  <w:style w:type="character" w:customStyle="1" w:styleId="10">
    <w:name w:val="msoins0"/>
    <w:basedOn w:val="8"/>
    <w:qFormat/>
    <w:uiPriority w:val="0"/>
  </w:style>
  <w:style w:type="character" w:customStyle="1" w:styleId="11">
    <w:name w:val="批注框文本 字符"/>
    <w:basedOn w:val="8"/>
    <w:link w:val="3"/>
    <w:semiHidden/>
    <w:qFormat/>
    <w:uiPriority w:val="99"/>
    <w:rPr>
      <w:sz w:val="18"/>
      <w:szCs w:val="18"/>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paragraph" w:customStyle="1" w:styleId="14">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5">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4AE14E-00C1-4E64-A065-BF1C9CC1C2E1}">
  <ds:schemaRefs/>
</ds:datastoreItem>
</file>

<file path=docProps/app.xml><?xml version="1.0" encoding="utf-8"?>
<Properties xmlns="http://schemas.openxmlformats.org/officeDocument/2006/extended-properties" xmlns:vt="http://schemas.openxmlformats.org/officeDocument/2006/docPropsVTypes">
  <Template>Normal</Template>
  <Company>Thusz</Company>
  <Pages>3</Pages>
  <Words>1320</Words>
  <Characters>1350</Characters>
  <Lines>78</Lines>
  <Paragraphs>34</Paragraphs>
  <TotalTime>0</TotalTime>
  <ScaleCrop>false</ScaleCrop>
  <LinksUpToDate>false</LinksUpToDate>
  <CharactersWithSpaces>1359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2026-01-23T19:43:00Z</dcterms:created>
  <dc:creator>Caiwu</dc:creator>
  <cp:lastModifiedBy>maojie</cp:lastModifiedBy>
  <cp:lastPrinted>2017-06-30T17:33:00Z</cp:lastPrinted>
  <dcterms:modified xsi:type="dcterms:W3CDTF">2026-01-28T07:22:55Z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8193EF60A34A2C764D9173695BB188F3_43</vt:lpwstr>
  </property>
  <property fmtid="{D5CDD505-2E9C-101B-9397-08002B2CF9AE}" pid="4" name="KSOTemplateDocerSaveRecord">
    <vt:lpwstr>eyJoZGlkIjoiM2M1MTExOWE5ZGVmNzcwM2FhZDgzMTI4OGU2OGRiOWMiLCJ1c2VySWQiOiIyNDk0NzU3ODcifQ==</vt:lpwstr>
  </property>
</Properties>
</file>