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FDD2EE">
      <w:pPr>
        <w:spacing w:line="560" w:lineRule="exact"/>
        <w:jc w:val="right"/>
        <w:rPr>
          <w:rFonts w:ascii="仿宋_GB2312" w:eastAsia="仿宋_GB2312"/>
          <w:sz w:val="32"/>
          <w:szCs w:val="20"/>
        </w:rPr>
      </w:pPr>
      <w:r>
        <w:rPr>
          <w:rFonts w:hint="eastAsia" w:ascii="仿宋_GB2312" w:hAnsi="仿宋_GB2312" w:eastAsia="仿宋_GB2312" w:cs="仿宋_GB2312"/>
          <w:sz w:val="32"/>
          <w:szCs w:val="32"/>
        </w:rPr>
        <w:t>清深国院规〔20</w:t>
      </w: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72</w:t>
      </w:r>
      <w:r>
        <w:rPr>
          <w:rFonts w:hint="eastAsia" w:ascii="仿宋_GB2312" w:hAnsi="仿宋_GB2312" w:eastAsia="仿宋_GB2312" w:cs="仿宋_GB2312"/>
          <w:sz w:val="32"/>
          <w:szCs w:val="32"/>
        </w:rPr>
        <w:t>号</w:t>
      </w:r>
    </w:p>
    <w:p w14:paraId="3DF9E5AA">
      <w:pPr>
        <w:spacing w:line="560" w:lineRule="exact"/>
        <w:jc w:val="center"/>
        <w:rPr>
          <w:rFonts w:hint="eastAsia" w:ascii="方正小标宋简体" w:hAnsi="方正小标宋简体" w:eastAsia="方正小标宋简体"/>
          <w:sz w:val="44"/>
          <w:szCs w:val="44"/>
        </w:rPr>
      </w:pPr>
    </w:p>
    <w:p w14:paraId="5169F8DB">
      <w:pPr>
        <w:spacing w:line="560" w:lineRule="exact"/>
        <w:jc w:val="center"/>
        <w:rPr>
          <w:rFonts w:ascii="方正小标宋简体" w:hAnsi="方正小标宋简体" w:eastAsia="方正小标宋简体"/>
          <w:sz w:val="36"/>
          <w:szCs w:val="36"/>
        </w:rPr>
      </w:pPr>
      <w:r>
        <w:rPr>
          <w:rFonts w:hint="eastAsia" w:ascii="方正小标宋简体" w:hAnsi="方正小标宋简体" w:eastAsia="方正小标宋简体"/>
          <w:sz w:val="36"/>
          <w:szCs w:val="36"/>
        </w:rPr>
        <w:t>清华大学深圳国际研究生院教学科研机构</w:t>
      </w:r>
    </w:p>
    <w:p w14:paraId="23E38775">
      <w:pPr>
        <w:spacing w:line="560" w:lineRule="exact"/>
        <w:jc w:val="center"/>
        <w:rPr>
          <w:rFonts w:hint="eastAsia" w:ascii="方正小标宋简体" w:hAnsi="方正小标宋简体" w:eastAsia="方正小标宋简体"/>
          <w:sz w:val="36"/>
          <w:szCs w:val="36"/>
        </w:rPr>
      </w:pPr>
      <w:r>
        <w:rPr>
          <w:rFonts w:hint="eastAsia" w:ascii="方正小标宋简体" w:hAnsi="方正小标宋简体" w:eastAsia="方正小标宋简体"/>
          <w:sz w:val="36"/>
          <w:szCs w:val="36"/>
        </w:rPr>
        <w:t>研究生招生工作领导小组工作规程</w:t>
      </w:r>
    </w:p>
    <w:p w14:paraId="630D3802">
      <w:pPr>
        <w:spacing w:line="560" w:lineRule="exact"/>
        <w:jc w:val="center"/>
        <w:rPr>
          <w:rFonts w:hint="eastAsia" w:ascii="仿宋_GB2312" w:eastAsia="仿宋_GB2312"/>
          <w:sz w:val="32"/>
          <w:szCs w:val="32"/>
        </w:rPr>
      </w:pPr>
      <w:r>
        <w:rPr>
          <w:rFonts w:hint="eastAsia" w:ascii="仿宋_GB2312" w:hAnsi="仿宋_GB2312" w:eastAsia="仿宋_GB2312" w:cs="仿宋_GB2312"/>
          <w:sz w:val="32"/>
          <w:szCs w:val="32"/>
          <w:lang w:val="en-US" w:eastAsia="zh-CN"/>
        </w:rPr>
        <w:t>经</w:t>
      </w:r>
      <w:r>
        <w:rPr>
          <w:rFonts w:hint="eastAsia" w:ascii="仿宋_GB2312" w:hAnsi="仿宋_GB2312" w:eastAsia="仿宋_GB2312" w:cs="仿宋_GB2312"/>
          <w:sz w:val="32"/>
          <w:szCs w:val="32"/>
        </w:rPr>
        <w:t>二〇二六年第</w:t>
      </w:r>
      <w:r>
        <w:rPr>
          <w:rFonts w:hint="eastAsia" w:ascii="仿宋_GB2312" w:hAnsi="仿宋_GB2312" w:eastAsia="仿宋_GB2312" w:cs="仿宋_GB2312"/>
          <w:sz w:val="32"/>
          <w:szCs w:val="32"/>
          <w:lang w:val="en-US" w:eastAsia="zh-CN"/>
        </w:rPr>
        <w:t>二十</w:t>
      </w:r>
      <w:r>
        <w:rPr>
          <w:rFonts w:hint="eastAsia" w:ascii="仿宋_GB2312" w:hAnsi="仿宋_GB2312" w:eastAsia="仿宋_GB2312" w:cs="仿宋_GB2312"/>
          <w:sz w:val="32"/>
          <w:szCs w:val="32"/>
        </w:rPr>
        <w:t>次党政联席会议（</w:t>
      </w:r>
      <w:r>
        <w:rPr>
          <w:rFonts w:hint="eastAsia" w:ascii="仿宋_GB2312" w:eastAsia="仿宋_GB2312"/>
          <w:sz w:val="32"/>
          <w:szCs w:val="32"/>
        </w:rPr>
        <w:t>20</w:t>
      </w:r>
      <w:r>
        <w:rPr>
          <w:rFonts w:hint="eastAsia" w:ascii="仿宋_GB2312" w:eastAsia="仿宋_GB2312"/>
          <w:sz w:val="32"/>
          <w:szCs w:val="32"/>
          <w:lang w:val="en-US" w:eastAsia="zh-CN"/>
        </w:rPr>
        <w:t>26</w:t>
      </w:r>
      <w:r>
        <w:rPr>
          <w:rFonts w:hint="eastAsia" w:ascii="仿宋_GB2312" w:eastAsia="仿宋_GB2312"/>
          <w:sz w:val="32"/>
          <w:szCs w:val="32"/>
        </w:rPr>
        <w:t>年</w:t>
      </w:r>
      <w:r>
        <w:rPr>
          <w:rFonts w:hint="eastAsia" w:ascii="仿宋_GB2312" w:eastAsia="仿宋_GB2312"/>
          <w:sz w:val="32"/>
          <w:szCs w:val="32"/>
          <w:lang w:val="en-US" w:eastAsia="zh-CN"/>
        </w:rPr>
        <w:t>6</w:t>
      </w:r>
      <w:r>
        <w:rPr>
          <w:rFonts w:hint="eastAsia" w:ascii="仿宋_GB2312" w:eastAsia="仿宋_GB2312"/>
          <w:sz w:val="32"/>
          <w:szCs w:val="32"/>
        </w:rPr>
        <w:t>月</w:t>
      </w:r>
      <w:r>
        <w:rPr>
          <w:rFonts w:hint="eastAsia" w:ascii="仿宋_GB2312" w:eastAsia="仿宋_GB2312"/>
          <w:sz w:val="32"/>
          <w:szCs w:val="32"/>
          <w:lang w:val="en-US" w:eastAsia="zh-CN"/>
        </w:rPr>
        <w:t>1</w:t>
      </w:r>
      <w:r>
        <w:rPr>
          <w:rFonts w:hint="eastAsia" w:ascii="仿宋_GB2312" w:eastAsia="仿宋_GB2312"/>
          <w:sz w:val="32"/>
          <w:szCs w:val="32"/>
        </w:rPr>
        <w:t>日）</w:t>
      </w:r>
    </w:p>
    <w:p w14:paraId="79D1FC2D">
      <w:pPr>
        <w:spacing w:line="560" w:lineRule="exact"/>
        <w:jc w:val="center"/>
        <w:rPr>
          <w:rFonts w:ascii="仿宋_GB2312" w:eastAsia="仿宋_GB2312"/>
          <w:sz w:val="32"/>
          <w:szCs w:val="32"/>
        </w:rPr>
      </w:pPr>
      <w:bookmarkStart w:id="0" w:name="_GoBack"/>
      <w:bookmarkEnd w:id="0"/>
      <w:r>
        <w:rPr>
          <w:rFonts w:hint="eastAsia" w:ascii="仿宋_GB2312" w:eastAsia="仿宋_GB2312"/>
          <w:sz w:val="32"/>
          <w:szCs w:val="32"/>
        </w:rPr>
        <w:t>审议通过</w:t>
      </w:r>
    </w:p>
    <w:p w14:paraId="0AD93BBC">
      <w:pPr>
        <w:spacing w:line="560" w:lineRule="exact"/>
        <w:jc w:val="center"/>
        <w:rPr>
          <w:rFonts w:hint="eastAsia" w:ascii="方正小标宋简体" w:hAnsi="方正小标宋简体" w:eastAsia="方正小标宋简体"/>
          <w:sz w:val="36"/>
          <w:szCs w:val="36"/>
        </w:rPr>
      </w:pPr>
    </w:p>
    <w:p w14:paraId="0D82F608">
      <w:pPr>
        <w:spacing w:line="560" w:lineRule="exact"/>
        <w:ind w:firstLine="643" w:firstLineChars="200"/>
        <w:rPr>
          <w:rFonts w:ascii="仿宋_GB2312" w:hAnsi="宋体" w:eastAsia="仿宋_GB2312"/>
          <w:bCs/>
          <w:sz w:val="32"/>
          <w:szCs w:val="32"/>
        </w:rPr>
      </w:pPr>
      <w:r>
        <w:rPr>
          <w:rFonts w:hint="eastAsia" w:ascii="仿宋_GB2312" w:hAnsi="宋体" w:eastAsia="仿宋_GB2312"/>
          <w:b/>
          <w:sz w:val="32"/>
          <w:szCs w:val="32"/>
        </w:rPr>
        <w:t>第一条</w:t>
      </w:r>
      <w:r>
        <w:rPr>
          <w:rFonts w:hint="eastAsia" w:ascii="仿宋_GB2312" w:hAnsi="宋体" w:eastAsia="仿宋_GB2312"/>
          <w:bCs/>
          <w:sz w:val="32"/>
          <w:szCs w:val="32"/>
        </w:rPr>
        <w:t xml:space="preserve"> 为了进一步规范学院教学科研机构研究生招生工作，根据《清华大学章程》《清华大学院系研究生招生工作领导小组》等的相关规定，结合学院实际，制定本规程。</w:t>
      </w:r>
    </w:p>
    <w:p w14:paraId="1D1713AC">
      <w:pPr>
        <w:spacing w:line="560" w:lineRule="exact"/>
        <w:ind w:firstLine="643" w:firstLineChars="200"/>
        <w:rPr>
          <w:rFonts w:ascii="仿宋_GB2312" w:hAnsi="宋体" w:eastAsia="仿宋_GB2312"/>
          <w:bCs/>
          <w:sz w:val="32"/>
          <w:szCs w:val="32"/>
        </w:rPr>
      </w:pPr>
      <w:r>
        <w:rPr>
          <w:rFonts w:hint="eastAsia" w:ascii="仿宋_GB2312" w:hAnsi="宋体" w:eastAsia="仿宋_GB2312"/>
          <w:b/>
          <w:sz w:val="32"/>
          <w:szCs w:val="32"/>
        </w:rPr>
        <w:t>第二条</w:t>
      </w:r>
      <w:r>
        <w:rPr>
          <w:rFonts w:hint="eastAsia" w:ascii="仿宋_GB2312" w:hAnsi="宋体" w:eastAsia="仿宋_GB2312"/>
          <w:bCs/>
          <w:sz w:val="32"/>
          <w:szCs w:val="32"/>
        </w:rPr>
        <w:t xml:space="preserve"> 本规程适用于学院教学科研机构（以下统称研究院）设立的研究生招生工作领导小组（以下统称研究院研招领导小组）。</w:t>
      </w:r>
    </w:p>
    <w:p w14:paraId="195A5C51">
      <w:pPr>
        <w:spacing w:line="560" w:lineRule="exact"/>
        <w:ind w:firstLine="643" w:firstLineChars="200"/>
        <w:rPr>
          <w:rFonts w:hint="eastAsia" w:ascii="仿宋_GB2312" w:hAnsi="宋体" w:eastAsia="仿宋_GB2312"/>
          <w:bCs/>
          <w:sz w:val="32"/>
          <w:szCs w:val="32"/>
        </w:rPr>
      </w:pPr>
      <w:r>
        <w:rPr>
          <w:rFonts w:hint="eastAsia" w:ascii="仿宋_GB2312" w:hAnsi="宋体" w:eastAsia="仿宋_GB2312"/>
          <w:b/>
          <w:sz w:val="32"/>
          <w:szCs w:val="32"/>
        </w:rPr>
        <w:t>第三条</w:t>
      </w:r>
      <w:r>
        <w:rPr>
          <w:rFonts w:hint="eastAsia" w:ascii="仿宋_GB2312" w:hAnsi="宋体" w:eastAsia="仿宋_GB2312"/>
          <w:bCs/>
          <w:sz w:val="32"/>
          <w:szCs w:val="32"/>
        </w:rPr>
        <w:t xml:space="preserve"> 研究院研招领导小组负责研究院研究生招生工作的统筹协调、督促落实。主要职责是:</w:t>
      </w:r>
    </w:p>
    <w:p w14:paraId="3A94570F">
      <w:pPr>
        <w:spacing w:line="560" w:lineRule="exact"/>
        <w:ind w:firstLine="640" w:firstLineChars="200"/>
        <w:rPr>
          <w:rFonts w:hint="eastAsia" w:ascii="仿宋_GB2312" w:hAnsi="宋体" w:eastAsia="仿宋_GB2312"/>
          <w:bCs/>
          <w:sz w:val="32"/>
          <w:szCs w:val="32"/>
        </w:rPr>
      </w:pPr>
      <w:r>
        <w:rPr>
          <w:rFonts w:hint="eastAsia" w:ascii="仿宋_GB2312" w:hAnsi="宋体" w:eastAsia="仿宋_GB2312"/>
          <w:bCs/>
          <w:sz w:val="32"/>
          <w:szCs w:val="32"/>
        </w:rPr>
        <w:t>（一）审议研究院研究生招生计划实施方案；</w:t>
      </w:r>
    </w:p>
    <w:p w14:paraId="67DCA6CD">
      <w:pPr>
        <w:spacing w:line="560" w:lineRule="exact"/>
        <w:ind w:firstLine="640" w:firstLineChars="200"/>
        <w:rPr>
          <w:rFonts w:hint="eastAsia" w:ascii="仿宋_GB2312" w:hAnsi="宋体" w:eastAsia="仿宋_GB2312"/>
          <w:bCs/>
          <w:sz w:val="32"/>
          <w:szCs w:val="32"/>
        </w:rPr>
      </w:pPr>
      <w:r>
        <w:rPr>
          <w:rFonts w:hint="eastAsia" w:ascii="仿宋_GB2312" w:hAnsi="宋体" w:eastAsia="仿宋_GB2312"/>
          <w:bCs/>
          <w:sz w:val="32"/>
          <w:szCs w:val="32"/>
        </w:rPr>
        <w:t>（二）研究讨论研究院研究生招生项目设置调整、招生改革等重要事项；</w:t>
      </w:r>
    </w:p>
    <w:p w14:paraId="16F7E3D6">
      <w:pPr>
        <w:spacing w:line="560" w:lineRule="exact"/>
        <w:ind w:firstLine="640" w:firstLineChars="200"/>
        <w:rPr>
          <w:rFonts w:hint="eastAsia" w:ascii="仿宋_GB2312" w:hAnsi="宋体" w:eastAsia="仿宋_GB2312"/>
          <w:bCs/>
          <w:sz w:val="32"/>
          <w:szCs w:val="32"/>
        </w:rPr>
      </w:pPr>
      <w:r>
        <w:rPr>
          <w:rFonts w:hint="eastAsia" w:ascii="仿宋_GB2312" w:hAnsi="宋体" w:eastAsia="仿宋_GB2312"/>
          <w:bCs/>
          <w:sz w:val="32"/>
          <w:szCs w:val="32"/>
        </w:rPr>
        <w:t>（三）审议研究院各类型研究生招生目录、实施细则；</w:t>
      </w:r>
    </w:p>
    <w:p w14:paraId="3EEC48A8">
      <w:pPr>
        <w:spacing w:line="560" w:lineRule="exact"/>
        <w:ind w:firstLine="640" w:firstLineChars="200"/>
        <w:rPr>
          <w:rFonts w:hint="eastAsia" w:ascii="仿宋_GB2312" w:hAnsi="宋体" w:eastAsia="仿宋_GB2312"/>
          <w:bCs/>
          <w:sz w:val="32"/>
          <w:szCs w:val="32"/>
        </w:rPr>
      </w:pPr>
      <w:r>
        <w:rPr>
          <w:rFonts w:hint="eastAsia" w:ascii="仿宋_GB2312" w:hAnsi="宋体" w:eastAsia="仿宋_GB2312"/>
          <w:bCs/>
          <w:sz w:val="32"/>
          <w:szCs w:val="32"/>
        </w:rPr>
        <w:t>（四）研究制定研究院研究生招生考核工作方案，遴选命题、评卷、材料审核、面试等研究生招生专家；</w:t>
      </w:r>
    </w:p>
    <w:p w14:paraId="09AC2C8D">
      <w:pPr>
        <w:spacing w:line="560" w:lineRule="exact"/>
        <w:ind w:firstLine="640" w:firstLineChars="200"/>
        <w:rPr>
          <w:rFonts w:hint="eastAsia" w:ascii="仿宋_GB2312" w:hAnsi="宋体" w:eastAsia="仿宋_GB2312"/>
          <w:bCs/>
          <w:sz w:val="32"/>
          <w:szCs w:val="32"/>
        </w:rPr>
      </w:pPr>
      <w:r>
        <w:rPr>
          <w:rFonts w:hint="eastAsia" w:ascii="仿宋_GB2312" w:hAnsi="宋体" w:eastAsia="仿宋_GB2312"/>
          <w:bCs/>
          <w:sz w:val="32"/>
          <w:szCs w:val="32"/>
        </w:rPr>
        <w:t>（五）研究提出研究院研究生招生综合考核（复试）及拟录取名单；</w:t>
      </w:r>
    </w:p>
    <w:p w14:paraId="2D35D6B2">
      <w:pPr>
        <w:spacing w:line="560" w:lineRule="exact"/>
        <w:ind w:firstLine="640" w:firstLineChars="200"/>
        <w:rPr>
          <w:rFonts w:hint="eastAsia" w:ascii="仿宋_GB2312" w:hAnsi="宋体" w:eastAsia="仿宋_GB2312"/>
          <w:bCs/>
          <w:sz w:val="32"/>
          <w:szCs w:val="32"/>
        </w:rPr>
      </w:pPr>
      <w:r>
        <w:rPr>
          <w:rFonts w:hint="eastAsia" w:ascii="仿宋_GB2312" w:hAnsi="宋体" w:eastAsia="仿宋_GB2312"/>
          <w:bCs/>
          <w:sz w:val="32"/>
          <w:szCs w:val="32"/>
        </w:rPr>
        <w:t>（六）调查处理研究院研究生招生相关异议；</w:t>
      </w:r>
    </w:p>
    <w:p w14:paraId="057A2A5B">
      <w:pPr>
        <w:spacing w:line="560" w:lineRule="exact"/>
        <w:ind w:firstLine="640" w:firstLineChars="200"/>
        <w:rPr>
          <w:rFonts w:hint="eastAsia" w:ascii="仿宋_GB2312" w:hAnsi="宋体" w:eastAsia="仿宋_GB2312"/>
          <w:bCs/>
          <w:sz w:val="32"/>
          <w:szCs w:val="32"/>
        </w:rPr>
      </w:pPr>
      <w:r>
        <w:rPr>
          <w:rFonts w:hint="eastAsia" w:ascii="仿宋_GB2312" w:hAnsi="宋体" w:eastAsia="仿宋_GB2312"/>
          <w:bCs/>
          <w:sz w:val="32"/>
          <w:szCs w:val="32"/>
        </w:rPr>
        <w:t>（七）对研究院人才培养、招生队伍建设等方面相关工作提出建议；</w:t>
      </w:r>
    </w:p>
    <w:p w14:paraId="3AB7A7AC">
      <w:pPr>
        <w:spacing w:line="560" w:lineRule="exact"/>
        <w:ind w:firstLine="640" w:firstLineChars="200"/>
        <w:rPr>
          <w:rFonts w:hint="eastAsia" w:ascii="仿宋_GB2312" w:hAnsi="宋体" w:eastAsia="仿宋_GB2312"/>
          <w:bCs/>
          <w:sz w:val="32"/>
          <w:szCs w:val="32"/>
        </w:rPr>
      </w:pPr>
      <w:r>
        <w:rPr>
          <w:rFonts w:hint="eastAsia" w:ascii="仿宋_GB2312" w:hAnsi="宋体" w:eastAsia="仿宋_GB2312"/>
          <w:bCs/>
          <w:sz w:val="32"/>
          <w:szCs w:val="32"/>
        </w:rPr>
        <w:t>（八）研究讨论、审议确定研究院研究生招生其他重要事项。</w:t>
      </w:r>
    </w:p>
    <w:p w14:paraId="32A83752">
      <w:pPr>
        <w:spacing w:line="560" w:lineRule="exact"/>
        <w:ind w:firstLine="643" w:firstLineChars="200"/>
        <w:rPr>
          <w:rFonts w:hint="eastAsia" w:ascii="仿宋_GB2312" w:hAnsi="宋体" w:eastAsia="仿宋_GB2312"/>
          <w:bCs/>
          <w:sz w:val="32"/>
          <w:szCs w:val="32"/>
        </w:rPr>
      </w:pPr>
      <w:r>
        <w:rPr>
          <w:rFonts w:hint="eastAsia" w:ascii="仿宋_GB2312" w:hAnsi="宋体" w:eastAsia="仿宋_GB2312"/>
          <w:b/>
          <w:sz w:val="32"/>
          <w:szCs w:val="32"/>
        </w:rPr>
        <w:t xml:space="preserve">第四条 </w:t>
      </w:r>
      <w:r>
        <w:rPr>
          <w:rFonts w:hint="eastAsia" w:ascii="仿宋_GB2312" w:hAnsi="宋体" w:eastAsia="仿宋_GB2312"/>
          <w:bCs/>
          <w:sz w:val="32"/>
          <w:szCs w:val="32"/>
        </w:rPr>
        <w:t>研究院研招领导小组人数及成员由研究院党政联席会议等决策会议研究决定。</w:t>
      </w:r>
    </w:p>
    <w:p w14:paraId="7A5F035A">
      <w:pPr>
        <w:spacing w:line="560" w:lineRule="exact"/>
        <w:ind w:firstLine="640" w:firstLineChars="200"/>
        <w:rPr>
          <w:rFonts w:hint="eastAsia" w:ascii="仿宋_GB2312" w:hAnsi="宋体" w:eastAsia="仿宋_GB2312"/>
          <w:bCs/>
          <w:sz w:val="32"/>
          <w:szCs w:val="32"/>
        </w:rPr>
      </w:pPr>
      <w:r>
        <w:rPr>
          <w:rFonts w:hint="eastAsia" w:ascii="仿宋_GB2312" w:hAnsi="宋体" w:eastAsia="仿宋_GB2312"/>
          <w:bCs/>
          <w:sz w:val="32"/>
          <w:szCs w:val="32"/>
        </w:rPr>
        <w:t>研究院研招领导小组设组长、副组长和成员若干人。组长由研究院正职担任，副组长由负责研究生教育的副职担任，成员应当包括党总支（党支部）纪检委员，成员人数不少于五人。</w:t>
      </w:r>
    </w:p>
    <w:p w14:paraId="2A10873D">
      <w:pPr>
        <w:spacing w:line="560" w:lineRule="exact"/>
        <w:ind w:firstLine="640" w:firstLineChars="200"/>
        <w:rPr>
          <w:rFonts w:hint="eastAsia" w:ascii="仿宋_GB2312" w:hAnsi="宋体" w:eastAsia="仿宋_GB2312"/>
          <w:bCs/>
          <w:sz w:val="32"/>
          <w:szCs w:val="32"/>
        </w:rPr>
      </w:pPr>
      <w:r>
        <w:rPr>
          <w:rFonts w:hint="eastAsia" w:ascii="仿宋_GB2312" w:hAnsi="宋体" w:eastAsia="仿宋_GB2312"/>
          <w:bCs/>
          <w:sz w:val="32"/>
          <w:szCs w:val="32"/>
        </w:rPr>
        <w:t>研究院研招领导小组的成员名单应当及时提交培养处备案。</w:t>
      </w:r>
    </w:p>
    <w:p w14:paraId="5720E63B">
      <w:pPr>
        <w:spacing w:line="560" w:lineRule="exact"/>
        <w:ind w:firstLine="643" w:firstLineChars="200"/>
        <w:rPr>
          <w:rFonts w:hint="eastAsia" w:ascii="仿宋_GB2312" w:hAnsi="宋体" w:eastAsia="仿宋_GB2312"/>
          <w:bCs/>
          <w:sz w:val="32"/>
          <w:szCs w:val="32"/>
        </w:rPr>
      </w:pPr>
      <w:r>
        <w:rPr>
          <w:rFonts w:hint="eastAsia" w:ascii="仿宋_GB2312" w:hAnsi="宋体" w:eastAsia="仿宋_GB2312"/>
          <w:b/>
          <w:sz w:val="32"/>
          <w:szCs w:val="32"/>
        </w:rPr>
        <w:t xml:space="preserve">第五条 </w:t>
      </w:r>
      <w:r>
        <w:rPr>
          <w:rFonts w:hint="eastAsia" w:ascii="仿宋_GB2312" w:hAnsi="宋体" w:eastAsia="仿宋_GB2312"/>
          <w:bCs/>
          <w:sz w:val="32"/>
          <w:szCs w:val="32"/>
        </w:rPr>
        <w:t>研究院研招领导小组实行集体讨论重大问题制度，每年至少召开三次全体会议。根据需要可以临时召开全体会议。</w:t>
      </w:r>
    </w:p>
    <w:p w14:paraId="242D52AE">
      <w:pPr>
        <w:spacing w:line="560" w:lineRule="exact"/>
        <w:ind w:firstLine="643" w:firstLineChars="200"/>
        <w:rPr>
          <w:rFonts w:hint="eastAsia" w:ascii="仿宋_GB2312" w:hAnsi="宋体" w:eastAsia="仿宋_GB2312"/>
          <w:bCs/>
          <w:sz w:val="32"/>
          <w:szCs w:val="32"/>
        </w:rPr>
      </w:pPr>
      <w:r>
        <w:rPr>
          <w:rFonts w:hint="eastAsia" w:ascii="仿宋_GB2312" w:hAnsi="宋体" w:eastAsia="仿宋_GB2312"/>
          <w:b/>
          <w:sz w:val="32"/>
          <w:szCs w:val="32"/>
        </w:rPr>
        <w:t xml:space="preserve">第六条 </w:t>
      </w:r>
      <w:r>
        <w:rPr>
          <w:rFonts w:hint="eastAsia" w:ascii="仿宋_GB2312" w:hAnsi="宋体" w:eastAsia="仿宋_GB2312"/>
          <w:bCs/>
          <w:sz w:val="32"/>
          <w:szCs w:val="32"/>
        </w:rPr>
        <w:t>研究院研招领导小组全体会议由组长召集和主持，按年排次。</w:t>
      </w:r>
    </w:p>
    <w:p w14:paraId="79C9B09A">
      <w:pPr>
        <w:spacing w:line="560" w:lineRule="exact"/>
        <w:ind w:firstLine="643" w:firstLineChars="200"/>
        <w:rPr>
          <w:rFonts w:hint="eastAsia" w:ascii="仿宋_GB2312" w:hAnsi="宋体" w:eastAsia="仿宋_GB2312"/>
          <w:bCs/>
          <w:sz w:val="32"/>
          <w:szCs w:val="32"/>
        </w:rPr>
      </w:pPr>
      <w:r>
        <w:rPr>
          <w:rFonts w:hint="eastAsia" w:ascii="仿宋_GB2312" w:hAnsi="宋体" w:eastAsia="仿宋_GB2312"/>
          <w:b/>
          <w:sz w:val="32"/>
          <w:szCs w:val="32"/>
        </w:rPr>
        <w:t>第七条</w:t>
      </w:r>
      <w:r>
        <w:rPr>
          <w:rFonts w:hint="eastAsia" w:ascii="仿宋_GB2312" w:hAnsi="宋体" w:eastAsia="仿宋_GB2312"/>
          <w:bCs/>
          <w:sz w:val="32"/>
          <w:szCs w:val="32"/>
        </w:rPr>
        <w:t xml:space="preserve"> 研究院研招领导小组全体会议应当有三分之二以上成员出席方可召开。副组长应当出席全体会议，其他成员因故不能出席全体会议的应当向组长请假。根据需要，可以邀请相关人员列席全体会议。</w:t>
      </w:r>
    </w:p>
    <w:p w14:paraId="49890A84">
      <w:pPr>
        <w:spacing w:line="560" w:lineRule="exact"/>
        <w:ind w:firstLine="643" w:firstLineChars="200"/>
        <w:rPr>
          <w:rFonts w:hint="eastAsia" w:ascii="仿宋_GB2312" w:hAnsi="宋体" w:eastAsia="仿宋_GB2312"/>
          <w:bCs/>
          <w:sz w:val="32"/>
          <w:szCs w:val="32"/>
        </w:rPr>
      </w:pPr>
      <w:r>
        <w:rPr>
          <w:rFonts w:hint="eastAsia" w:ascii="仿宋_GB2312" w:hAnsi="宋体" w:eastAsia="仿宋_GB2312"/>
          <w:b/>
          <w:sz w:val="32"/>
          <w:szCs w:val="32"/>
        </w:rPr>
        <w:t xml:space="preserve">第八条 </w:t>
      </w:r>
      <w:r>
        <w:rPr>
          <w:rFonts w:hint="eastAsia" w:ascii="仿宋_GB2312" w:hAnsi="宋体" w:eastAsia="仿宋_GB2312"/>
          <w:bCs/>
          <w:sz w:val="32"/>
          <w:szCs w:val="32"/>
        </w:rPr>
        <w:t>研究院研招领导小组审议讨论事项与参会人员本人和亲属等存在可能影响公平公正的利害关系的，相关参会人员应当回避。</w:t>
      </w:r>
    </w:p>
    <w:p w14:paraId="29654C7C">
      <w:pPr>
        <w:spacing w:line="560" w:lineRule="exact"/>
        <w:ind w:firstLine="643" w:firstLineChars="200"/>
        <w:rPr>
          <w:rFonts w:hint="eastAsia" w:ascii="仿宋_GB2312" w:hAnsi="宋体" w:eastAsia="仿宋_GB2312"/>
          <w:bCs/>
          <w:sz w:val="32"/>
          <w:szCs w:val="32"/>
        </w:rPr>
      </w:pPr>
      <w:r>
        <w:rPr>
          <w:rFonts w:hint="eastAsia" w:ascii="仿宋_GB2312" w:hAnsi="宋体" w:eastAsia="仿宋_GB2312"/>
          <w:b/>
          <w:sz w:val="32"/>
          <w:szCs w:val="32"/>
        </w:rPr>
        <w:t xml:space="preserve">第九条 </w:t>
      </w:r>
      <w:r>
        <w:rPr>
          <w:rFonts w:hint="eastAsia" w:ascii="仿宋_GB2312" w:hAnsi="宋体" w:eastAsia="仿宋_GB2312"/>
          <w:bCs/>
          <w:sz w:val="32"/>
          <w:szCs w:val="32"/>
        </w:rPr>
        <w:t>对研究院研招领导小组全体会议讨论过程、需要保密的会议内容等，参会人员应当严格遵守保密规定。</w:t>
      </w:r>
    </w:p>
    <w:p w14:paraId="2E34056B">
      <w:pPr>
        <w:spacing w:line="560" w:lineRule="exact"/>
        <w:ind w:firstLine="643" w:firstLineChars="200"/>
        <w:rPr>
          <w:rFonts w:hint="eastAsia" w:ascii="仿宋_GB2312" w:hAnsi="宋体" w:eastAsia="仿宋_GB2312"/>
          <w:bCs/>
          <w:sz w:val="32"/>
          <w:szCs w:val="32"/>
        </w:rPr>
      </w:pPr>
      <w:r>
        <w:rPr>
          <w:rFonts w:hint="eastAsia" w:ascii="仿宋_GB2312" w:hAnsi="宋体" w:eastAsia="仿宋_GB2312"/>
          <w:b/>
          <w:sz w:val="32"/>
          <w:szCs w:val="32"/>
        </w:rPr>
        <w:t xml:space="preserve">第十条 </w:t>
      </w:r>
      <w:r>
        <w:rPr>
          <w:rFonts w:hint="eastAsia" w:ascii="仿宋_GB2312" w:hAnsi="宋体" w:eastAsia="仿宋_GB2312"/>
          <w:bCs/>
          <w:sz w:val="32"/>
          <w:szCs w:val="32"/>
        </w:rPr>
        <w:t>研究院研招领导小组全体会议议定事项应当形成会议纪要。会议纪要经所有参会成员确认后由组长审定签发。研究院研招领导小组全体会议纪要应当在相应年度招生工作结束前及时提交培养处备案。</w:t>
      </w:r>
    </w:p>
    <w:p w14:paraId="1CC0A194">
      <w:pPr>
        <w:spacing w:line="560" w:lineRule="exact"/>
        <w:ind w:firstLine="643" w:firstLineChars="200"/>
        <w:rPr>
          <w:rFonts w:hint="eastAsia" w:ascii="仿宋_GB2312" w:hAnsi="宋体" w:eastAsia="仿宋_GB2312"/>
          <w:bCs/>
          <w:sz w:val="32"/>
          <w:szCs w:val="32"/>
        </w:rPr>
      </w:pPr>
      <w:r>
        <w:rPr>
          <w:rFonts w:hint="eastAsia" w:ascii="仿宋_GB2312" w:hAnsi="宋体" w:eastAsia="仿宋_GB2312"/>
          <w:b/>
          <w:sz w:val="32"/>
          <w:szCs w:val="32"/>
        </w:rPr>
        <w:t xml:space="preserve">第十一条 </w:t>
      </w:r>
      <w:r>
        <w:rPr>
          <w:rFonts w:hint="eastAsia" w:ascii="仿宋_GB2312" w:hAnsi="宋体" w:eastAsia="仿宋_GB2312"/>
          <w:bCs/>
          <w:sz w:val="32"/>
          <w:szCs w:val="32"/>
        </w:rPr>
        <w:t>培养处应当对本规程执行情况开展日常监督，并定期向学院研究生招生工作领导小组汇报相关监督结果。</w:t>
      </w:r>
    </w:p>
    <w:p w14:paraId="25037E16">
      <w:pPr>
        <w:spacing w:line="560" w:lineRule="exact"/>
        <w:ind w:firstLine="643" w:firstLineChars="200"/>
        <w:rPr>
          <w:rFonts w:hint="eastAsia" w:ascii="仿宋_GB2312" w:hAnsi="宋体" w:eastAsia="仿宋_GB2312"/>
          <w:bCs/>
          <w:sz w:val="32"/>
          <w:szCs w:val="32"/>
        </w:rPr>
      </w:pPr>
      <w:r>
        <w:rPr>
          <w:rFonts w:hint="eastAsia" w:ascii="仿宋_GB2312" w:hAnsi="宋体" w:eastAsia="仿宋_GB2312"/>
          <w:b/>
          <w:sz w:val="32"/>
          <w:szCs w:val="32"/>
        </w:rPr>
        <w:t xml:space="preserve">第十二条 </w:t>
      </w:r>
      <w:r>
        <w:rPr>
          <w:rFonts w:hint="eastAsia" w:ascii="仿宋_GB2312" w:hAnsi="宋体" w:eastAsia="仿宋_GB2312"/>
          <w:bCs/>
          <w:sz w:val="32"/>
          <w:szCs w:val="32"/>
        </w:rPr>
        <w:t>本规程由培养处负责解释。</w:t>
      </w:r>
    </w:p>
    <w:p w14:paraId="743789D7">
      <w:pPr>
        <w:spacing w:line="560" w:lineRule="exact"/>
        <w:ind w:firstLine="643" w:firstLineChars="200"/>
        <w:rPr>
          <w:rFonts w:hint="eastAsia" w:ascii="仿宋_GB2312" w:hAnsi="宋体" w:eastAsia="仿宋_GB2312"/>
          <w:bCs/>
          <w:sz w:val="32"/>
          <w:szCs w:val="32"/>
        </w:rPr>
      </w:pPr>
      <w:r>
        <w:rPr>
          <w:rFonts w:hint="eastAsia" w:ascii="仿宋_GB2312" w:hAnsi="宋体" w:eastAsia="仿宋_GB2312"/>
          <w:b/>
          <w:sz w:val="32"/>
          <w:szCs w:val="32"/>
        </w:rPr>
        <w:t xml:space="preserve">第十三条 </w:t>
      </w:r>
      <w:r>
        <w:rPr>
          <w:rFonts w:hint="eastAsia" w:ascii="仿宋_GB2312" w:hAnsi="宋体" w:eastAsia="仿宋_GB2312"/>
          <w:bCs/>
          <w:sz w:val="32"/>
          <w:szCs w:val="32"/>
        </w:rPr>
        <w:t>本规程自公布之日起施行。</w:t>
      </w:r>
    </w:p>
    <w:sectPr>
      <w:headerReference r:id="rId4" w:type="first"/>
      <w:footerReference r:id="rId6" w:type="first"/>
      <w:headerReference r:id="rId3" w:type="default"/>
      <w:footerReference r:id="rId5" w:type="default"/>
      <w:pgSz w:w="11906" w:h="16838"/>
      <w:pgMar w:top="1247" w:right="1474" w:bottom="1871" w:left="1588" w:header="1134" w:footer="1134" w:gutter="0"/>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Arial"/>
    <w:panose1 w:val="020B0604020202020204"/>
    <w:charset w:val="00"/>
    <w:family w:val="roman"/>
    <w:pitch w:val="default"/>
    <w:sig w:usb0="00000000" w:usb1="00000000" w:usb2="00000000" w:usb3="00000000" w:csb0="00000001" w:csb1="00000000"/>
  </w:font>
  <w:font w:name="文鼎小标宋">
    <w:altName w:val="微软雅黑"/>
    <w:panose1 w:val="00000000000000000000"/>
    <w:charset w:val="86"/>
    <w:family w:val="auto"/>
    <w:pitch w:val="default"/>
    <w:sig w:usb0="00000000" w:usb1="00000000" w:usb2="00000012" w:usb3="00000000" w:csb0="00040001"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Times New Roman Regular">
    <w:altName w:val="Times New Roman"/>
    <w:panose1 w:val="02020503050405090304"/>
    <w:charset w:val="00"/>
    <w:family w:val="auto"/>
    <w:pitch w:val="default"/>
    <w:sig w:usb0="00000000" w:usb1="00000000"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FA230B">
    <w:pPr>
      <w:pStyle w:val="5"/>
    </w:pPr>
    <w:r>
      <w:rPr>
        <w:sz w:val="18"/>
      </w:rPr>
      <mc:AlternateContent>
        <mc:Choice Requires="wps">
          <w:drawing>
            <wp:anchor distT="0" distB="0" distL="114300" distR="114300" simplePos="0" relativeHeight="251660288" behindDoc="0" locked="0" layoutInCell="1" allowOverlap="1">
              <wp:simplePos x="0" y="0"/>
              <wp:positionH relativeFrom="margin">
                <wp:posOffset>2593340</wp:posOffset>
              </wp:positionH>
              <wp:positionV relativeFrom="paragraph">
                <wp:posOffset>-25400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DF1D5F3">
                          <w:pPr>
                            <w:pStyle w:val="5"/>
                            <w:rPr>
                              <w:rFonts w:hint="default" w:ascii="Times New Roman Regular" w:hAnsi="Times New Roman Regular" w:cs="Times New Roman Regular"/>
                              <w:sz w:val="20"/>
                              <w:szCs w:val="28"/>
                            </w:rPr>
                          </w:pPr>
                          <w:r>
                            <w:rPr>
                              <w:rFonts w:hint="default" w:ascii="Times New Roman Regular" w:hAnsi="Times New Roman Regular" w:cs="Times New Roman Regular"/>
                              <w:sz w:val="20"/>
                              <w:szCs w:val="28"/>
                            </w:rPr>
                            <w:t xml:space="preserve">— </w:t>
                          </w:r>
                          <w:r>
                            <w:rPr>
                              <w:rFonts w:hint="default" w:ascii="Times New Roman Regular" w:hAnsi="Times New Roman Regular" w:cs="Times New Roman Regular"/>
                              <w:sz w:val="20"/>
                              <w:szCs w:val="28"/>
                            </w:rPr>
                            <w:fldChar w:fldCharType="begin"/>
                          </w:r>
                          <w:r>
                            <w:rPr>
                              <w:rFonts w:hint="default" w:ascii="Times New Roman Regular" w:hAnsi="Times New Roman Regular" w:cs="Times New Roman Regular"/>
                              <w:sz w:val="20"/>
                              <w:szCs w:val="28"/>
                            </w:rPr>
                            <w:instrText xml:space="preserve"> PAGE  \* MERGEFORMAT </w:instrText>
                          </w:r>
                          <w:r>
                            <w:rPr>
                              <w:rFonts w:hint="default" w:ascii="Times New Roman Regular" w:hAnsi="Times New Roman Regular" w:cs="Times New Roman Regular"/>
                              <w:sz w:val="20"/>
                              <w:szCs w:val="28"/>
                            </w:rPr>
                            <w:fldChar w:fldCharType="separate"/>
                          </w:r>
                          <w:r>
                            <w:rPr>
                              <w:rFonts w:hint="default" w:ascii="Times New Roman Regular" w:hAnsi="Times New Roman Regular" w:cs="Times New Roman Regular"/>
                              <w:sz w:val="20"/>
                              <w:szCs w:val="28"/>
                            </w:rPr>
                            <w:t>1</w:t>
                          </w:r>
                          <w:r>
                            <w:rPr>
                              <w:rFonts w:hint="default" w:ascii="Times New Roman Regular" w:hAnsi="Times New Roman Regular" w:cs="Times New Roman Regular"/>
                              <w:sz w:val="20"/>
                              <w:szCs w:val="28"/>
                            </w:rPr>
                            <w:fldChar w:fldCharType="end"/>
                          </w:r>
                          <w:r>
                            <w:rPr>
                              <w:rFonts w:hint="default" w:ascii="Times New Roman Regular" w:hAnsi="Times New Roman Regular" w:cs="Times New Roman Regular"/>
                              <w:sz w:val="20"/>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204.2pt;margin-top:-2pt;height:144pt;width:144pt;mso-position-horizontal-relative:margin;mso-wrap-style:none;z-index:251660288;mso-width-relative:page;mso-height-relative:page;" filled="f" stroked="f" coordsize="21600,21600" o:gfxdata="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dyJ8Y1QAAAAoBAAAPAAAAAAAAAAEAIAAAACIAAABkcnMvZG93bnJl&#10;di54bWxQSwECFAAUAAAACACHTuJA9Aknl8cBAACZAwAADgAAAAAAAAABACAAAAAkAQAAZHJzL2Uy&#10;b0RvYy54bWxQSwUGAAAAAAYABgBZAQAAXQUAAAAA&#10;">
              <v:fill on="f" focussize="0,0"/>
              <v:stroke on="f"/>
              <v:imagedata o:title=""/>
              <o:lock v:ext="edit" aspectratio="f"/>
              <v:textbox inset="0mm,0mm,0mm,0mm" style="mso-fit-shape-to-text:t;">
                <w:txbxContent>
                  <w:p w14:paraId="4DF1D5F3">
                    <w:pPr>
                      <w:pStyle w:val="5"/>
                      <w:rPr>
                        <w:rFonts w:hint="default" w:ascii="Times New Roman Regular" w:hAnsi="Times New Roman Regular" w:cs="Times New Roman Regular"/>
                        <w:sz w:val="20"/>
                        <w:szCs w:val="28"/>
                      </w:rPr>
                    </w:pPr>
                    <w:r>
                      <w:rPr>
                        <w:rFonts w:hint="default" w:ascii="Times New Roman Regular" w:hAnsi="Times New Roman Regular" w:cs="Times New Roman Regular"/>
                        <w:sz w:val="20"/>
                        <w:szCs w:val="28"/>
                      </w:rPr>
                      <w:t xml:space="preserve">— </w:t>
                    </w:r>
                    <w:r>
                      <w:rPr>
                        <w:rFonts w:hint="default" w:ascii="Times New Roman Regular" w:hAnsi="Times New Roman Regular" w:cs="Times New Roman Regular"/>
                        <w:sz w:val="20"/>
                        <w:szCs w:val="28"/>
                      </w:rPr>
                      <w:fldChar w:fldCharType="begin"/>
                    </w:r>
                    <w:r>
                      <w:rPr>
                        <w:rFonts w:hint="default" w:ascii="Times New Roman Regular" w:hAnsi="Times New Roman Regular" w:cs="Times New Roman Regular"/>
                        <w:sz w:val="20"/>
                        <w:szCs w:val="28"/>
                      </w:rPr>
                      <w:instrText xml:space="preserve"> PAGE  \* MERGEFORMAT </w:instrText>
                    </w:r>
                    <w:r>
                      <w:rPr>
                        <w:rFonts w:hint="default" w:ascii="Times New Roman Regular" w:hAnsi="Times New Roman Regular" w:cs="Times New Roman Regular"/>
                        <w:sz w:val="20"/>
                        <w:szCs w:val="28"/>
                      </w:rPr>
                      <w:fldChar w:fldCharType="separate"/>
                    </w:r>
                    <w:r>
                      <w:rPr>
                        <w:rFonts w:hint="default" w:ascii="Times New Roman Regular" w:hAnsi="Times New Roman Regular" w:cs="Times New Roman Regular"/>
                        <w:sz w:val="20"/>
                        <w:szCs w:val="28"/>
                      </w:rPr>
                      <w:t>1</w:t>
                    </w:r>
                    <w:r>
                      <w:rPr>
                        <w:rFonts w:hint="default" w:ascii="Times New Roman Regular" w:hAnsi="Times New Roman Regular" w:cs="Times New Roman Regular"/>
                        <w:sz w:val="20"/>
                        <w:szCs w:val="28"/>
                      </w:rPr>
                      <w:fldChar w:fldCharType="end"/>
                    </w:r>
                    <w:r>
                      <w:rPr>
                        <w:rFonts w:hint="default" w:ascii="Times New Roman Regular" w:hAnsi="Times New Roman Regular" w:cs="Times New Roman Regular"/>
                        <w:sz w:val="20"/>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8E90B">
    <w:pPr>
      <w:pStyle w:val="5"/>
    </w:pPr>
    <w:r>
      <w:rPr>
        <w:sz w:val="18"/>
      </w:rPr>
      <mc:AlternateContent>
        <mc:Choice Requires="wps">
          <w:drawing>
            <wp:anchor distT="0" distB="0" distL="114300" distR="114300" simplePos="0" relativeHeight="251659264" behindDoc="0" locked="0" layoutInCell="1" allowOverlap="1">
              <wp:simplePos x="0" y="0"/>
              <wp:positionH relativeFrom="margin">
                <wp:posOffset>2593340</wp:posOffset>
              </wp:positionH>
              <wp:positionV relativeFrom="paragraph">
                <wp:posOffset>-25400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1AF7DA6">
                          <w:pPr>
                            <w:pStyle w:val="5"/>
                            <w:rPr>
                              <w:rFonts w:hint="default" w:ascii="Times New Roman Regular" w:hAnsi="Times New Roman Regular" w:cs="Times New Roman Regular"/>
                              <w:sz w:val="20"/>
                              <w:szCs w:val="28"/>
                            </w:rPr>
                          </w:pPr>
                          <w:r>
                            <w:rPr>
                              <w:rFonts w:hint="default" w:ascii="Times New Roman Regular" w:hAnsi="Times New Roman Regular" w:cs="Times New Roman Regular"/>
                              <w:sz w:val="20"/>
                              <w:szCs w:val="28"/>
                            </w:rPr>
                            <w:t xml:space="preserve">— </w:t>
                          </w:r>
                          <w:r>
                            <w:rPr>
                              <w:rFonts w:hint="default" w:ascii="Times New Roman Regular" w:hAnsi="Times New Roman Regular" w:cs="Times New Roman Regular"/>
                              <w:sz w:val="20"/>
                              <w:szCs w:val="28"/>
                            </w:rPr>
                            <w:fldChar w:fldCharType="begin"/>
                          </w:r>
                          <w:r>
                            <w:rPr>
                              <w:rFonts w:hint="default" w:ascii="Times New Roman Regular" w:hAnsi="Times New Roman Regular" w:cs="Times New Roman Regular"/>
                              <w:sz w:val="20"/>
                              <w:szCs w:val="28"/>
                            </w:rPr>
                            <w:instrText xml:space="preserve"> PAGE  \* MERGEFORMAT </w:instrText>
                          </w:r>
                          <w:r>
                            <w:rPr>
                              <w:rFonts w:hint="default" w:ascii="Times New Roman Regular" w:hAnsi="Times New Roman Regular" w:cs="Times New Roman Regular"/>
                              <w:sz w:val="20"/>
                              <w:szCs w:val="28"/>
                            </w:rPr>
                            <w:fldChar w:fldCharType="separate"/>
                          </w:r>
                          <w:r>
                            <w:rPr>
                              <w:rFonts w:hint="default" w:ascii="Times New Roman Regular" w:hAnsi="Times New Roman Regular" w:cs="Times New Roman Regular"/>
                              <w:sz w:val="20"/>
                              <w:szCs w:val="28"/>
                            </w:rPr>
                            <w:t>1</w:t>
                          </w:r>
                          <w:r>
                            <w:rPr>
                              <w:rFonts w:hint="default" w:ascii="Times New Roman Regular" w:hAnsi="Times New Roman Regular" w:cs="Times New Roman Regular"/>
                              <w:sz w:val="20"/>
                              <w:szCs w:val="28"/>
                            </w:rPr>
                            <w:fldChar w:fldCharType="end"/>
                          </w:r>
                          <w:r>
                            <w:rPr>
                              <w:rFonts w:hint="default" w:ascii="Times New Roman Regular" w:hAnsi="Times New Roman Regular" w:cs="Times New Roman Regular"/>
                              <w:sz w:val="20"/>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204.2pt;margin-top:-2pt;height:144pt;width:144pt;mso-position-horizontal-relative:margin;mso-wrap-style:none;z-index:251659264;mso-width-relative:page;mso-height-relative:page;" filled="f" stroked="f" coordsize="21600,21600" o:gfxdata="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J3InxjVAAAACgEAAA8AAAAAAAAAAQAgAAAAIgAAAGRycy9kb3du&#10;cmV2LnhtbFBLAQIUABQAAAAIAIdO4kDUX5QmyQEAAJkDAAAOAAAAAAAAAAEAIAAAACQBAABkcnMv&#10;ZTJvRG9jLnhtbFBLBQYAAAAABgAGAFkBAABfBQAAAAA=&#10;">
              <v:fill on="f" focussize="0,0"/>
              <v:stroke on="f"/>
              <v:imagedata o:title=""/>
              <o:lock v:ext="edit" aspectratio="f"/>
              <v:textbox inset="0mm,0mm,0mm,0mm" style="mso-fit-shape-to-text:t;">
                <w:txbxContent>
                  <w:p w14:paraId="21AF7DA6">
                    <w:pPr>
                      <w:pStyle w:val="5"/>
                      <w:rPr>
                        <w:rFonts w:hint="default" w:ascii="Times New Roman Regular" w:hAnsi="Times New Roman Regular" w:cs="Times New Roman Regular"/>
                        <w:sz w:val="20"/>
                        <w:szCs w:val="28"/>
                      </w:rPr>
                    </w:pPr>
                    <w:r>
                      <w:rPr>
                        <w:rFonts w:hint="default" w:ascii="Times New Roman Regular" w:hAnsi="Times New Roman Regular" w:cs="Times New Roman Regular"/>
                        <w:sz w:val="20"/>
                        <w:szCs w:val="28"/>
                      </w:rPr>
                      <w:t xml:space="preserve">— </w:t>
                    </w:r>
                    <w:r>
                      <w:rPr>
                        <w:rFonts w:hint="default" w:ascii="Times New Roman Regular" w:hAnsi="Times New Roman Regular" w:cs="Times New Roman Regular"/>
                        <w:sz w:val="20"/>
                        <w:szCs w:val="28"/>
                      </w:rPr>
                      <w:fldChar w:fldCharType="begin"/>
                    </w:r>
                    <w:r>
                      <w:rPr>
                        <w:rFonts w:hint="default" w:ascii="Times New Roman Regular" w:hAnsi="Times New Roman Regular" w:cs="Times New Roman Regular"/>
                        <w:sz w:val="20"/>
                        <w:szCs w:val="28"/>
                      </w:rPr>
                      <w:instrText xml:space="preserve"> PAGE  \* MERGEFORMAT </w:instrText>
                    </w:r>
                    <w:r>
                      <w:rPr>
                        <w:rFonts w:hint="default" w:ascii="Times New Roman Regular" w:hAnsi="Times New Roman Regular" w:cs="Times New Roman Regular"/>
                        <w:sz w:val="20"/>
                        <w:szCs w:val="28"/>
                      </w:rPr>
                      <w:fldChar w:fldCharType="separate"/>
                    </w:r>
                    <w:r>
                      <w:rPr>
                        <w:rFonts w:hint="default" w:ascii="Times New Roman Regular" w:hAnsi="Times New Roman Regular" w:cs="Times New Roman Regular"/>
                        <w:sz w:val="20"/>
                        <w:szCs w:val="28"/>
                      </w:rPr>
                      <w:t>1</w:t>
                    </w:r>
                    <w:r>
                      <w:rPr>
                        <w:rFonts w:hint="default" w:ascii="Times New Roman Regular" w:hAnsi="Times New Roman Regular" w:cs="Times New Roman Regular"/>
                        <w:sz w:val="20"/>
                        <w:szCs w:val="28"/>
                      </w:rPr>
                      <w:fldChar w:fldCharType="end"/>
                    </w:r>
                    <w:r>
                      <w:rPr>
                        <w:rFonts w:hint="default" w:ascii="Times New Roman Regular" w:hAnsi="Times New Roman Regular" w:cs="Times New Roman Regular"/>
                        <w:sz w:val="20"/>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2E6E7">
    <w:pPr>
      <w:pStyle w:val="6"/>
      <w:pBdr>
        <w:bottom w:val="none" w:color="auto" w:sz="0" w:space="1"/>
      </w:pBdr>
      <w:rPr>
        <w:sz w:val="13"/>
        <w:szCs w:val="13"/>
      </w:rPr>
    </w:pPr>
    <w:r>
      <w:rPr>
        <w:rFonts w:hint="eastAsia"/>
        <w:sz w:val="13"/>
        <w:szCs w:val="13"/>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E7E55">
    <w:pPr>
      <w:pStyle w:val="6"/>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M3MGU3NGJkOWRlNWZiYzYwMmNiZjNlZDY1MjgzNDEifQ=="/>
  </w:docVars>
  <w:rsids>
    <w:rsidRoot w:val="002E3FF5"/>
    <w:rsid w:val="00002CC2"/>
    <w:rsid w:val="00010D64"/>
    <w:rsid w:val="00011713"/>
    <w:rsid w:val="000323BB"/>
    <w:rsid w:val="000423A2"/>
    <w:rsid w:val="00045ED1"/>
    <w:rsid w:val="000475C3"/>
    <w:rsid w:val="00052679"/>
    <w:rsid w:val="0006565D"/>
    <w:rsid w:val="00081675"/>
    <w:rsid w:val="000836A4"/>
    <w:rsid w:val="000964C8"/>
    <w:rsid w:val="00097D7C"/>
    <w:rsid w:val="000B0E1D"/>
    <w:rsid w:val="000B6423"/>
    <w:rsid w:val="000B6E97"/>
    <w:rsid w:val="000C14EA"/>
    <w:rsid w:val="000C3930"/>
    <w:rsid w:val="000C5A82"/>
    <w:rsid w:val="000D44F2"/>
    <w:rsid w:val="000E32FB"/>
    <w:rsid w:val="00101E45"/>
    <w:rsid w:val="00111A09"/>
    <w:rsid w:val="00117655"/>
    <w:rsid w:val="0012775B"/>
    <w:rsid w:val="0013779D"/>
    <w:rsid w:val="00155EE9"/>
    <w:rsid w:val="001602AD"/>
    <w:rsid w:val="001641B6"/>
    <w:rsid w:val="001647D9"/>
    <w:rsid w:val="00165B3E"/>
    <w:rsid w:val="001676AC"/>
    <w:rsid w:val="001753E3"/>
    <w:rsid w:val="00191EB4"/>
    <w:rsid w:val="001A7EA6"/>
    <w:rsid w:val="001B0037"/>
    <w:rsid w:val="001B5C48"/>
    <w:rsid w:val="001B64FA"/>
    <w:rsid w:val="001D2527"/>
    <w:rsid w:val="001D3FCF"/>
    <w:rsid w:val="001F62F6"/>
    <w:rsid w:val="002071AB"/>
    <w:rsid w:val="00225520"/>
    <w:rsid w:val="0023659C"/>
    <w:rsid w:val="00244A27"/>
    <w:rsid w:val="0025570D"/>
    <w:rsid w:val="002620EB"/>
    <w:rsid w:val="002730EC"/>
    <w:rsid w:val="00273C50"/>
    <w:rsid w:val="00274154"/>
    <w:rsid w:val="00276B20"/>
    <w:rsid w:val="0029110D"/>
    <w:rsid w:val="00295839"/>
    <w:rsid w:val="0029718E"/>
    <w:rsid w:val="002A074E"/>
    <w:rsid w:val="002A3969"/>
    <w:rsid w:val="002A6F25"/>
    <w:rsid w:val="002B4737"/>
    <w:rsid w:val="002C404A"/>
    <w:rsid w:val="002C423E"/>
    <w:rsid w:val="002E3FF5"/>
    <w:rsid w:val="002E4760"/>
    <w:rsid w:val="002F1728"/>
    <w:rsid w:val="002F265E"/>
    <w:rsid w:val="003062E1"/>
    <w:rsid w:val="00310D67"/>
    <w:rsid w:val="003140E8"/>
    <w:rsid w:val="003264D5"/>
    <w:rsid w:val="0033402B"/>
    <w:rsid w:val="00344EE1"/>
    <w:rsid w:val="00350647"/>
    <w:rsid w:val="00357009"/>
    <w:rsid w:val="00357E44"/>
    <w:rsid w:val="00360B32"/>
    <w:rsid w:val="0038208C"/>
    <w:rsid w:val="003870F2"/>
    <w:rsid w:val="0039441D"/>
    <w:rsid w:val="003A409D"/>
    <w:rsid w:val="003A4DB7"/>
    <w:rsid w:val="003A618F"/>
    <w:rsid w:val="003B1271"/>
    <w:rsid w:val="003B175E"/>
    <w:rsid w:val="003D31F9"/>
    <w:rsid w:val="003E5102"/>
    <w:rsid w:val="003F0816"/>
    <w:rsid w:val="00424EF4"/>
    <w:rsid w:val="00425E86"/>
    <w:rsid w:val="004339D1"/>
    <w:rsid w:val="0043598A"/>
    <w:rsid w:val="00436EE5"/>
    <w:rsid w:val="00450864"/>
    <w:rsid w:val="00453EA0"/>
    <w:rsid w:val="00461B0F"/>
    <w:rsid w:val="00467FAC"/>
    <w:rsid w:val="00474D1F"/>
    <w:rsid w:val="004831F9"/>
    <w:rsid w:val="00493356"/>
    <w:rsid w:val="004A1105"/>
    <w:rsid w:val="004A5558"/>
    <w:rsid w:val="004A7E94"/>
    <w:rsid w:val="004C1F24"/>
    <w:rsid w:val="004E764D"/>
    <w:rsid w:val="004F01B9"/>
    <w:rsid w:val="004F1649"/>
    <w:rsid w:val="004F229A"/>
    <w:rsid w:val="00500BA4"/>
    <w:rsid w:val="005017EB"/>
    <w:rsid w:val="005024A8"/>
    <w:rsid w:val="0050730E"/>
    <w:rsid w:val="00514CCE"/>
    <w:rsid w:val="005150D4"/>
    <w:rsid w:val="00516CDC"/>
    <w:rsid w:val="00530C40"/>
    <w:rsid w:val="00533286"/>
    <w:rsid w:val="0054617C"/>
    <w:rsid w:val="00555C3D"/>
    <w:rsid w:val="00561470"/>
    <w:rsid w:val="005618D1"/>
    <w:rsid w:val="0056441C"/>
    <w:rsid w:val="005670EB"/>
    <w:rsid w:val="00576926"/>
    <w:rsid w:val="00580D6F"/>
    <w:rsid w:val="00585A4F"/>
    <w:rsid w:val="00590DF0"/>
    <w:rsid w:val="0059554D"/>
    <w:rsid w:val="005A359E"/>
    <w:rsid w:val="005D5053"/>
    <w:rsid w:val="005D5EAA"/>
    <w:rsid w:val="005E0326"/>
    <w:rsid w:val="005E45C1"/>
    <w:rsid w:val="005E5467"/>
    <w:rsid w:val="005F0B08"/>
    <w:rsid w:val="005F1EDE"/>
    <w:rsid w:val="00606D17"/>
    <w:rsid w:val="006077E9"/>
    <w:rsid w:val="00613388"/>
    <w:rsid w:val="006205ED"/>
    <w:rsid w:val="00626285"/>
    <w:rsid w:val="0063699D"/>
    <w:rsid w:val="006443B2"/>
    <w:rsid w:val="00645401"/>
    <w:rsid w:val="00661714"/>
    <w:rsid w:val="00665DDC"/>
    <w:rsid w:val="00666A84"/>
    <w:rsid w:val="006761AF"/>
    <w:rsid w:val="00680305"/>
    <w:rsid w:val="00691196"/>
    <w:rsid w:val="00695620"/>
    <w:rsid w:val="006A2A04"/>
    <w:rsid w:val="006A4950"/>
    <w:rsid w:val="006B0655"/>
    <w:rsid w:val="006C35B3"/>
    <w:rsid w:val="006C56E6"/>
    <w:rsid w:val="006C5ADD"/>
    <w:rsid w:val="006F5937"/>
    <w:rsid w:val="00711936"/>
    <w:rsid w:val="007175C4"/>
    <w:rsid w:val="007233BD"/>
    <w:rsid w:val="00726290"/>
    <w:rsid w:val="007477B5"/>
    <w:rsid w:val="007506DD"/>
    <w:rsid w:val="007529C5"/>
    <w:rsid w:val="0076312F"/>
    <w:rsid w:val="00763944"/>
    <w:rsid w:val="0076735B"/>
    <w:rsid w:val="00775E88"/>
    <w:rsid w:val="0079016F"/>
    <w:rsid w:val="00790D91"/>
    <w:rsid w:val="007A2085"/>
    <w:rsid w:val="007A7EB6"/>
    <w:rsid w:val="007B3373"/>
    <w:rsid w:val="007B3EA4"/>
    <w:rsid w:val="007B460C"/>
    <w:rsid w:val="007B735E"/>
    <w:rsid w:val="007C45AE"/>
    <w:rsid w:val="007D255C"/>
    <w:rsid w:val="007D767A"/>
    <w:rsid w:val="007E00D3"/>
    <w:rsid w:val="007F2CEB"/>
    <w:rsid w:val="007F5CA4"/>
    <w:rsid w:val="008039A5"/>
    <w:rsid w:val="00806BF9"/>
    <w:rsid w:val="00817829"/>
    <w:rsid w:val="008433FA"/>
    <w:rsid w:val="00850E8C"/>
    <w:rsid w:val="00862869"/>
    <w:rsid w:val="00873466"/>
    <w:rsid w:val="00880840"/>
    <w:rsid w:val="008A15D4"/>
    <w:rsid w:val="008B31B3"/>
    <w:rsid w:val="008B46B5"/>
    <w:rsid w:val="008C3189"/>
    <w:rsid w:val="008D570F"/>
    <w:rsid w:val="008E1453"/>
    <w:rsid w:val="008E1516"/>
    <w:rsid w:val="008E3CA5"/>
    <w:rsid w:val="00901E2B"/>
    <w:rsid w:val="00905685"/>
    <w:rsid w:val="0091263F"/>
    <w:rsid w:val="009361CE"/>
    <w:rsid w:val="00945B83"/>
    <w:rsid w:val="009536B0"/>
    <w:rsid w:val="00961148"/>
    <w:rsid w:val="009630D0"/>
    <w:rsid w:val="0098272F"/>
    <w:rsid w:val="00984EE0"/>
    <w:rsid w:val="00985B6F"/>
    <w:rsid w:val="00986876"/>
    <w:rsid w:val="00991D2A"/>
    <w:rsid w:val="009932C6"/>
    <w:rsid w:val="009A5D7C"/>
    <w:rsid w:val="009A77B5"/>
    <w:rsid w:val="009C35D1"/>
    <w:rsid w:val="00A01D2B"/>
    <w:rsid w:val="00A12571"/>
    <w:rsid w:val="00A14003"/>
    <w:rsid w:val="00A14DB9"/>
    <w:rsid w:val="00A30256"/>
    <w:rsid w:val="00A34968"/>
    <w:rsid w:val="00A35C37"/>
    <w:rsid w:val="00A41FAD"/>
    <w:rsid w:val="00A46BC4"/>
    <w:rsid w:val="00A50B8D"/>
    <w:rsid w:val="00A63B01"/>
    <w:rsid w:val="00A677AC"/>
    <w:rsid w:val="00A75B3D"/>
    <w:rsid w:val="00A77792"/>
    <w:rsid w:val="00A805F7"/>
    <w:rsid w:val="00A8549E"/>
    <w:rsid w:val="00A85A73"/>
    <w:rsid w:val="00A87730"/>
    <w:rsid w:val="00A90986"/>
    <w:rsid w:val="00A92F64"/>
    <w:rsid w:val="00A9351A"/>
    <w:rsid w:val="00AA1024"/>
    <w:rsid w:val="00AA449E"/>
    <w:rsid w:val="00AA4AEC"/>
    <w:rsid w:val="00AB6259"/>
    <w:rsid w:val="00AC153E"/>
    <w:rsid w:val="00AC18AB"/>
    <w:rsid w:val="00AC3AD3"/>
    <w:rsid w:val="00AC5CEE"/>
    <w:rsid w:val="00AC624D"/>
    <w:rsid w:val="00AD0406"/>
    <w:rsid w:val="00AD546A"/>
    <w:rsid w:val="00AD62D4"/>
    <w:rsid w:val="00AE42FD"/>
    <w:rsid w:val="00AE5788"/>
    <w:rsid w:val="00AF7813"/>
    <w:rsid w:val="00B07F57"/>
    <w:rsid w:val="00B10E4A"/>
    <w:rsid w:val="00B22491"/>
    <w:rsid w:val="00B2300B"/>
    <w:rsid w:val="00B40E71"/>
    <w:rsid w:val="00B43439"/>
    <w:rsid w:val="00B50484"/>
    <w:rsid w:val="00B511F5"/>
    <w:rsid w:val="00B52A6A"/>
    <w:rsid w:val="00B71D07"/>
    <w:rsid w:val="00B74CA6"/>
    <w:rsid w:val="00B8504F"/>
    <w:rsid w:val="00B94C1A"/>
    <w:rsid w:val="00BA643A"/>
    <w:rsid w:val="00BB0846"/>
    <w:rsid w:val="00BB314B"/>
    <w:rsid w:val="00BB5EB5"/>
    <w:rsid w:val="00BC074D"/>
    <w:rsid w:val="00BD13E4"/>
    <w:rsid w:val="00BD4488"/>
    <w:rsid w:val="00C0363D"/>
    <w:rsid w:val="00C079B7"/>
    <w:rsid w:val="00C2556B"/>
    <w:rsid w:val="00C278CC"/>
    <w:rsid w:val="00C57300"/>
    <w:rsid w:val="00C60F04"/>
    <w:rsid w:val="00C82A38"/>
    <w:rsid w:val="00C94388"/>
    <w:rsid w:val="00C9736E"/>
    <w:rsid w:val="00C9755B"/>
    <w:rsid w:val="00C97A20"/>
    <w:rsid w:val="00CB0F03"/>
    <w:rsid w:val="00CB5A35"/>
    <w:rsid w:val="00CC0254"/>
    <w:rsid w:val="00CE2F77"/>
    <w:rsid w:val="00CF2DAB"/>
    <w:rsid w:val="00CF45E4"/>
    <w:rsid w:val="00CF5E99"/>
    <w:rsid w:val="00CF75B6"/>
    <w:rsid w:val="00D02E07"/>
    <w:rsid w:val="00D06FD7"/>
    <w:rsid w:val="00D07D20"/>
    <w:rsid w:val="00D1366E"/>
    <w:rsid w:val="00D2406B"/>
    <w:rsid w:val="00D25CE6"/>
    <w:rsid w:val="00D32789"/>
    <w:rsid w:val="00D4453F"/>
    <w:rsid w:val="00D50EA1"/>
    <w:rsid w:val="00D61AA8"/>
    <w:rsid w:val="00D6695B"/>
    <w:rsid w:val="00D67BFA"/>
    <w:rsid w:val="00D82394"/>
    <w:rsid w:val="00D91499"/>
    <w:rsid w:val="00D96EA2"/>
    <w:rsid w:val="00DA032C"/>
    <w:rsid w:val="00DB36CD"/>
    <w:rsid w:val="00DC6DE9"/>
    <w:rsid w:val="00DD4A4C"/>
    <w:rsid w:val="00DF64A2"/>
    <w:rsid w:val="00DF6DE7"/>
    <w:rsid w:val="00E11EBE"/>
    <w:rsid w:val="00E1337A"/>
    <w:rsid w:val="00E150F6"/>
    <w:rsid w:val="00E166CC"/>
    <w:rsid w:val="00E3301E"/>
    <w:rsid w:val="00E35F51"/>
    <w:rsid w:val="00E45401"/>
    <w:rsid w:val="00E45A13"/>
    <w:rsid w:val="00E45B1E"/>
    <w:rsid w:val="00E52B87"/>
    <w:rsid w:val="00E54FD7"/>
    <w:rsid w:val="00E57A1A"/>
    <w:rsid w:val="00E73CD1"/>
    <w:rsid w:val="00E74FB3"/>
    <w:rsid w:val="00E76540"/>
    <w:rsid w:val="00E810C0"/>
    <w:rsid w:val="00E86540"/>
    <w:rsid w:val="00E86796"/>
    <w:rsid w:val="00E87E87"/>
    <w:rsid w:val="00E94470"/>
    <w:rsid w:val="00E959CC"/>
    <w:rsid w:val="00E9743F"/>
    <w:rsid w:val="00EC2013"/>
    <w:rsid w:val="00EC62CD"/>
    <w:rsid w:val="00ED1E06"/>
    <w:rsid w:val="00EE22AA"/>
    <w:rsid w:val="00EE7351"/>
    <w:rsid w:val="00F04580"/>
    <w:rsid w:val="00F12FC9"/>
    <w:rsid w:val="00F14D32"/>
    <w:rsid w:val="00F1549A"/>
    <w:rsid w:val="00F254D4"/>
    <w:rsid w:val="00F55A30"/>
    <w:rsid w:val="00F5777E"/>
    <w:rsid w:val="00F605E8"/>
    <w:rsid w:val="00F63A30"/>
    <w:rsid w:val="00F747D7"/>
    <w:rsid w:val="00F96883"/>
    <w:rsid w:val="00FA288A"/>
    <w:rsid w:val="00FA642C"/>
    <w:rsid w:val="00FA7AED"/>
    <w:rsid w:val="00FC4A68"/>
    <w:rsid w:val="00FC657E"/>
    <w:rsid w:val="00FD122C"/>
    <w:rsid w:val="00FE7B69"/>
    <w:rsid w:val="01FA155C"/>
    <w:rsid w:val="024B240A"/>
    <w:rsid w:val="04960697"/>
    <w:rsid w:val="04B51B35"/>
    <w:rsid w:val="06783F44"/>
    <w:rsid w:val="074D717F"/>
    <w:rsid w:val="07A85C6F"/>
    <w:rsid w:val="082712D1"/>
    <w:rsid w:val="0AF65D7F"/>
    <w:rsid w:val="0BD16D66"/>
    <w:rsid w:val="0CAE1BC1"/>
    <w:rsid w:val="0DF3BA1E"/>
    <w:rsid w:val="0EE47E38"/>
    <w:rsid w:val="11BE6D43"/>
    <w:rsid w:val="12502D3F"/>
    <w:rsid w:val="12D027A9"/>
    <w:rsid w:val="137F7DA4"/>
    <w:rsid w:val="13CB7DA9"/>
    <w:rsid w:val="143F2545"/>
    <w:rsid w:val="181814FF"/>
    <w:rsid w:val="1BAF2D08"/>
    <w:rsid w:val="1C2C215B"/>
    <w:rsid w:val="1DCF0496"/>
    <w:rsid w:val="1FD61FB0"/>
    <w:rsid w:val="1FF23B54"/>
    <w:rsid w:val="2043516B"/>
    <w:rsid w:val="20801F1B"/>
    <w:rsid w:val="21DA2BDE"/>
    <w:rsid w:val="22AA3280"/>
    <w:rsid w:val="23694EE9"/>
    <w:rsid w:val="24C03DCD"/>
    <w:rsid w:val="27E64D5A"/>
    <w:rsid w:val="2AFC4894"/>
    <w:rsid w:val="2B420AD7"/>
    <w:rsid w:val="2BF02C44"/>
    <w:rsid w:val="2CC3449D"/>
    <w:rsid w:val="2E045F3A"/>
    <w:rsid w:val="2F9E5F1A"/>
    <w:rsid w:val="2FF72B17"/>
    <w:rsid w:val="30F90330"/>
    <w:rsid w:val="313703D4"/>
    <w:rsid w:val="314D2E6A"/>
    <w:rsid w:val="31BB2DB3"/>
    <w:rsid w:val="31CD343C"/>
    <w:rsid w:val="34580D8D"/>
    <w:rsid w:val="3459614E"/>
    <w:rsid w:val="34E9674F"/>
    <w:rsid w:val="357D1EC1"/>
    <w:rsid w:val="35FE5964"/>
    <w:rsid w:val="370C6C70"/>
    <w:rsid w:val="388B4989"/>
    <w:rsid w:val="39CB504F"/>
    <w:rsid w:val="3CBA010B"/>
    <w:rsid w:val="3CDBE69C"/>
    <w:rsid w:val="3D7911E1"/>
    <w:rsid w:val="3D9D3CB5"/>
    <w:rsid w:val="3DA72CF3"/>
    <w:rsid w:val="3E8EFF2A"/>
    <w:rsid w:val="3EB93822"/>
    <w:rsid w:val="3F9F3D14"/>
    <w:rsid w:val="3FFCD97F"/>
    <w:rsid w:val="400C6ED0"/>
    <w:rsid w:val="428A48A5"/>
    <w:rsid w:val="439B08BE"/>
    <w:rsid w:val="44992B56"/>
    <w:rsid w:val="45D83D00"/>
    <w:rsid w:val="4C3C28EB"/>
    <w:rsid w:val="4C571902"/>
    <w:rsid w:val="4C9E5354"/>
    <w:rsid w:val="4CDB2104"/>
    <w:rsid w:val="4D9329DF"/>
    <w:rsid w:val="4EF31987"/>
    <w:rsid w:val="4F7F321A"/>
    <w:rsid w:val="4FBB7FCB"/>
    <w:rsid w:val="50913317"/>
    <w:rsid w:val="511B6F73"/>
    <w:rsid w:val="520B6FE7"/>
    <w:rsid w:val="524812CD"/>
    <w:rsid w:val="527B3406"/>
    <w:rsid w:val="54BA4CF5"/>
    <w:rsid w:val="54F345EF"/>
    <w:rsid w:val="59036C6A"/>
    <w:rsid w:val="5AA7318B"/>
    <w:rsid w:val="5BD75786"/>
    <w:rsid w:val="5BFD66F8"/>
    <w:rsid w:val="5C6A1F86"/>
    <w:rsid w:val="618B44DA"/>
    <w:rsid w:val="637A0F3F"/>
    <w:rsid w:val="64D43BB1"/>
    <w:rsid w:val="670B1336"/>
    <w:rsid w:val="67DE7E55"/>
    <w:rsid w:val="69180510"/>
    <w:rsid w:val="69780038"/>
    <w:rsid w:val="6E9E610A"/>
    <w:rsid w:val="6F5EAADE"/>
    <w:rsid w:val="703D085C"/>
    <w:rsid w:val="70B40290"/>
    <w:rsid w:val="71706A0F"/>
    <w:rsid w:val="718A4B24"/>
    <w:rsid w:val="74C012B8"/>
    <w:rsid w:val="74CABC8B"/>
    <w:rsid w:val="75047B9A"/>
    <w:rsid w:val="760733A6"/>
    <w:rsid w:val="777F91FC"/>
    <w:rsid w:val="77DE6BB5"/>
    <w:rsid w:val="78636465"/>
    <w:rsid w:val="78F559DF"/>
    <w:rsid w:val="796E127D"/>
    <w:rsid w:val="79970E3D"/>
    <w:rsid w:val="79DD6C0C"/>
    <w:rsid w:val="7B2A5E81"/>
    <w:rsid w:val="7C0055F2"/>
    <w:rsid w:val="7C7B7880"/>
    <w:rsid w:val="7D393E1E"/>
    <w:rsid w:val="7D5F516E"/>
    <w:rsid w:val="7E9F493C"/>
    <w:rsid w:val="7EDF11AC"/>
    <w:rsid w:val="7FAF832E"/>
    <w:rsid w:val="7FB13D8A"/>
    <w:rsid w:val="7FC4296B"/>
    <w:rsid w:val="7FFE4658"/>
    <w:rsid w:val="8FF88C91"/>
    <w:rsid w:val="9FE9065C"/>
    <w:rsid w:val="9FF38115"/>
    <w:rsid w:val="B6F7D6DE"/>
    <w:rsid w:val="BB1FEA79"/>
    <w:rsid w:val="BCFA5FF0"/>
    <w:rsid w:val="BF7706B6"/>
    <w:rsid w:val="BFFFFB6D"/>
    <w:rsid w:val="DECE2E8F"/>
    <w:rsid w:val="DF0F00D4"/>
    <w:rsid w:val="EA8F1C0E"/>
    <w:rsid w:val="EF3FFAF8"/>
    <w:rsid w:val="EF70547B"/>
    <w:rsid w:val="EFFD04F5"/>
    <w:rsid w:val="F2CF7616"/>
    <w:rsid w:val="F2F7D565"/>
    <w:rsid w:val="F37D01AF"/>
    <w:rsid w:val="F73F485D"/>
    <w:rsid w:val="F9FAF81F"/>
    <w:rsid w:val="FB5EC745"/>
    <w:rsid w:val="FBD149B8"/>
    <w:rsid w:val="FD5F1514"/>
    <w:rsid w:val="FFAB09AF"/>
    <w:rsid w:val="FFDFA902"/>
    <w:rsid w:val="FFED5BBD"/>
    <w:rsid w:val="FFFBC4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99"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qFormat="1" w:uiPriority="99" w:semiHidden="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able of authorities"/>
    <w:basedOn w:val="1"/>
    <w:next w:val="1"/>
    <w:unhideWhenUsed/>
    <w:qFormat/>
    <w:uiPriority w:val="99"/>
    <w:pPr>
      <w:ind w:left="200" w:leftChars="200"/>
    </w:pPr>
    <w:rPr>
      <w:rFonts w:cs="宋体"/>
    </w:rPr>
  </w:style>
  <w:style w:type="paragraph" w:styleId="3">
    <w:name w:val="annotation text"/>
    <w:basedOn w:val="1"/>
    <w:unhideWhenUsed/>
    <w:qFormat/>
    <w:uiPriority w:val="99"/>
    <w:pPr>
      <w:jc w:val="left"/>
    </w:pPr>
  </w:style>
  <w:style w:type="paragraph" w:styleId="4">
    <w:name w:val="Balloon Text"/>
    <w:basedOn w:val="1"/>
    <w:link w:val="15"/>
    <w:unhideWhenUsed/>
    <w:qFormat/>
    <w:uiPriority w:val="0"/>
    <w:rPr>
      <w:sz w:val="18"/>
      <w:szCs w:val="18"/>
    </w:rPr>
  </w:style>
  <w:style w:type="paragraph" w:styleId="5">
    <w:name w:val="footer"/>
    <w:basedOn w:val="1"/>
    <w:link w:val="13"/>
    <w:qFormat/>
    <w:uiPriority w:val="0"/>
    <w:pPr>
      <w:tabs>
        <w:tab w:val="center" w:pos="4153"/>
        <w:tab w:val="right" w:pos="8306"/>
      </w:tabs>
      <w:snapToGrid w:val="0"/>
      <w:jc w:val="left"/>
    </w:pPr>
    <w:rPr>
      <w:sz w:val="18"/>
      <w:szCs w:val="18"/>
    </w:rPr>
  </w:style>
  <w:style w:type="paragraph" w:styleId="6">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99"/>
    <w:pPr>
      <w:widowControl/>
      <w:spacing w:before="100" w:beforeAutospacing="1" w:after="100" w:afterAutospacing="1"/>
      <w:jc w:val="left"/>
    </w:pPr>
    <w:rPr>
      <w:rFonts w:ascii="Arial Unicode MS" w:hAnsi="Arial Unicode MS" w:eastAsia="Arial Unicode MS" w:cs="Arial Unicode MS"/>
      <w:color w:val="000000"/>
      <w:kern w:val="0"/>
      <w:sz w:val="24"/>
    </w:rPr>
  </w:style>
  <w:style w:type="character" w:styleId="10">
    <w:name w:val="annotation reference"/>
    <w:basedOn w:val="9"/>
    <w:semiHidden/>
    <w:unhideWhenUsed/>
    <w:qFormat/>
    <w:uiPriority w:val="0"/>
    <w:rPr>
      <w:sz w:val="21"/>
      <w:szCs w:val="21"/>
    </w:rPr>
  </w:style>
  <w:style w:type="paragraph" w:customStyle="1" w:styleId="11">
    <w:name w:val="主题词"/>
    <w:basedOn w:val="1"/>
    <w:qFormat/>
    <w:uiPriority w:val="0"/>
    <w:pPr>
      <w:framePr w:wrap="notBeside" w:vAnchor="margin" w:hAnchor="margin" w:yAlign="bottom"/>
      <w:ind w:left="1246" w:hanging="1246"/>
    </w:pPr>
    <w:rPr>
      <w:rFonts w:eastAsia="文鼎小标宋"/>
      <w:sz w:val="32"/>
      <w:szCs w:val="20"/>
    </w:rPr>
  </w:style>
  <w:style w:type="character" w:customStyle="1" w:styleId="12">
    <w:name w:val="页眉 字符"/>
    <w:link w:val="6"/>
    <w:qFormat/>
    <w:uiPriority w:val="0"/>
    <w:rPr>
      <w:kern w:val="2"/>
      <w:sz w:val="18"/>
      <w:szCs w:val="18"/>
    </w:rPr>
  </w:style>
  <w:style w:type="character" w:customStyle="1" w:styleId="13">
    <w:name w:val="页脚 字符"/>
    <w:link w:val="5"/>
    <w:qFormat/>
    <w:uiPriority w:val="0"/>
    <w:rPr>
      <w:kern w:val="2"/>
      <w:sz w:val="18"/>
      <w:szCs w:val="18"/>
    </w:rPr>
  </w:style>
  <w:style w:type="paragraph" w:customStyle="1" w:styleId="14">
    <w:name w:val="列表段落1"/>
    <w:basedOn w:val="1"/>
    <w:qFormat/>
    <w:uiPriority w:val="99"/>
    <w:pPr>
      <w:ind w:firstLine="420" w:firstLineChars="200"/>
    </w:pPr>
  </w:style>
  <w:style w:type="character" w:customStyle="1" w:styleId="15">
    <w:name w:val="批注框文本 字符"/>
    <w:basedOn w:val="9"/>
    <w:link w:val="4"/>
    <w:semiHidden/>
    <w:qFormat/>
    <w:uiPriority w:val="0"/>
    <w:rPr>
      <w:kern w:val="2"/>
      <w:sz w:val="18"/>
      <w:szCs w:val="18"/>
    </w:rPr>
  </w:style>
  <w:style w:type="paragraph" w:styleId="16">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E4A7C8A-A279-459A-8D23-DCD4F2D800F2}">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1065</Words>
  <Characters>1072</Characters>
  <Lines>9</Lines>
  <Paragraphs>2</Paragraphs>
  <TotalTime>0</TotalTime>
  <ScaleCrop>false</ScaleCrop>
  <LinksUpToDate>false</LinksUpToDate>
  <CharactersWithSpaces>1085</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2021-11-02T02:57:00Z</dcterms:created>
  <dc:creator>hp</dc:creator>
  <cp:lastModifiedBy>DZB</cp:lastModifiedBy>
  <cp:lastPrinted>2022-09-23T09:04:00Z</cp:lastPrinted>
  <dcterms:modified xsi:type="dcterms:W3CDTF">2026-06-04T00:15:11Z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E524F03B644A40A1BDA48EE3AC6ED19F</vt:lpwstr>
  </property>
  <property fmtid="{D5CDD505-2E9C-101B-9397-08002B2CF9AE}" pid="4" name="KSOTemplateDocerSaveRecord">
    <vt:lpwstr>eyJoZGlkIjoiMGJmNjQ0OWZkYzczOTI0ZjY2MWU3NWM5MjRhNzU3ODkiLCJ1c2VySWQiOiIxNzg2NDU0MzIwIn0=</vt:lpwstr>
  </property>
</Properties>
</file>