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C46DB">
      <w:pPr>
        <w:keepNext w:val="0"/>
        <w:keepLines w:val="0"/>
        <w:pageBreakBefore w:val="0"/>
        <w:widowControl w:val="0"/>
        <w:kinsoku/>
        <w:wordWrap/>
        <w:overflowPunct/>
        <w:topLinePunct w:val="0"/>
        <w:autoSpaceDE/>
        <w:autoSpaceDN/>
        <w:bidi w:val="0"/>
        <w:adjustRightInd/>
        <w:snapToGrid/>
        <w:jc w:val="right"/>
        <w:textAlignment w:val="auto"/>
        <w:rPr>
          <w:rFonts w:hint="eastAsia" w:ascii="方正小标宋简体" w:eastAsia="方正小标宋简体"/>
          <w:sz w:val="36"/>
          <w:szCs w:val="36"/>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23</w:t>
      </w:r>
      <w:bookmarkStart w:id="0" w:name="_GoBack"/>
      <w:bookmarkEnd w:id="0"/>
      <w:r>
        <w:rPr>
          <w:rFonts w:hint="eastAsia" w:ascii="FangSong_GB2312" w:hAnsi="FangSong_GB2312" w:eastAsia="FangSong_GB2312" w:cs="FangSong_GB2312"/>
          <w:color w:val="000000"/>
          <w:sz w:val="32"/>
          <w:szCs w:val="32"/>
        </w:rPr>
        <w:t>号</w:t>
      </w:r>
    </w:p>
    <w:p w14:paraId="7F893F25">
      <w:pPr>
        <w:keepNext w:val="0"/>
        <w:keepLines w:val="0"/>
        <w:pageBreakBefore w:val="0"/>
        <w:widowControl w:val="0"/>
        <w:kinsoku/>
        <w:wordWrap/>
        <w:overflowPunct/>
        <w:topLinePunct w:val="0"/>
        <w:autoSpaceDE/>
        <w:autoSpaceDN/>
        <w:bidi w:val="0"/>
        <w:adjustRightInd/>
        <w:snapToGrid/>
        <w:jc w:val="center"/>
        <w:textAlignment w:val="auto"/>
        <w:rPr>
          <w:rFonts w:hint="eastAsia" w:ascii="FangSong_GB2312" w:hAnsi="FangSong_GB2312" w:eastAsia="FangSong_GB2312" w:cs="FangSong_GB2312"/>
          <w:color w:val="auto"/>
          <w:sz w:val="24"/>
          <w:szCs w:val="28"/>
        </w:rPr>
      </w:pPr>
      <w:r>
        <w:rPr>
          <w:rFonts w:hint="eastAsia" w:ascii="方正小标宋简体" w:eastAsia="方正小标宋简体"/>
          <w:sz w:val="36"/>
          <w:szCs w:val="36"/>
        </w:rPr>
        <w:t>清华大学深圳国际研究生院学生勤工助学管理办法</w:t>
      </w:r>
    </w:p>
    <w:p w14:paraId="4F486CC5">
      <w:pPr>
        <w:keepNext w:val="0"/>
        <w:keepLines w:val="0"/>
        <w:pageBreakBefore w:val="0"/>
        <w:widowControl w:val="0"/>
        <w:numPr>
          <w:ilvl w:val="255"/>
          <w:numId w:val="0"/>
        </w:numPr>
        <w:kinsoku/>
        <w:wordWrap/>
        <w:overflowPunct/>
        <w:topLinePunct w:val="0"/>
        <w:autoSpaceDE/>
        <w:autoSpaceDN/>
        <w:bidi w:val="0"/>
        <w:adjustRightInd/>
        <w:snapToGrid/>
        <w:spacing w:line="264" w:lineRule="auto"/>
        <w:ind w:left="11" w:right="0" w:hanging="11"/>
        <w:jc w:val="center"/>
        <w:textAlignment w:val="auto"/>
        <w:rPr>
          <w:rFonts w:hint="eastAsia" w:ascii="FangSong_GB2312" w:hAnsi="FangSong_GB2312" w:eastAsia="FangSong_GB2312" w:cs="FangSong_GB2312"/>
          <w:color w:val="auto"/>
          <w:sz w:val="32"/>
          <w:szCs w:val="32"/>
        </w:rPr>
      </w:pPr>
      <w:r>
        <w:rPr>
          <w:rFonts w:hint="eastAsia" w:ascii="FangSong_GB2312" w:hAnsi="FangSong_GB2312" w:eastAsia="FangSong_GB2312" w:cs="FangSong_GB2312"/>
          <w:color w:val="auto"/>
          <w:sz w:val="32"/>
          <w:szCs w:val="32"/>
        </w:rPr>
        <w:t>二〇二六年第二次党政联席会议(2026年1月12日)审议通过</w:t>
      </w:r>
    </w:p>
    <w:p w14:paraId="2881A4FF">
      <w:pPr>
        <w:keepNext w:val="0"/>
        <w:keepLines w:val="0"/>
        <w:pageBreakBefore w:val="0"/>
        <w:widowControl w:val="0"/>
        <w:numPr>
          <w:ilvl w:val="255"/>
          <w:numId w:val="0"/>
        </w:numPr>
        <w:kinsoku/>
        <w:wordWrap/>
        <w:overflowPunct/>
        <w:topLinePunct w:val="0"/>
        <w:autoSpaceDE/>
        <w:autoSpaceDN/>
        <w:bidi w:val="0"/>
        <w:adjustRightInd/>
        <w:snapToGrid/>
        <w:ind w:left="10" w:hanging="10"/>
        <w:jc w:val="center"/>
        <w:textAlignment w:val="auto"/>
        <w:rPr>
          <w:rFonts w:hint="eastAsia" w:ascii="FangSong_GB2312" w:hAnsi="FangSong_GB2312" w:eastAsia="FangSong_GB2312" w:cs="FangSong_GB2312"/>
          <w:color w:val="auto"/>
          <w:sz w:val="24"/>
          <w:szCs w:val="28"/>
        </w:rPr>
      </w:pPr>
    </w:p>
    <w:p w14:paraId="10A3A5E7">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sz w:val="32"/>
          <w:szCs w:val="32"/>
        </w:rPr>
      </w:pPr>
      <w:r>
        <w:rPr>
          <w:rFonts w:hint="eastAsia" w:ascii="FangSong_GB2312" w:hAnsi="FangSong_GB2312" w:eastAsia="FangSong_GB2312" w:cs="FangSong_GB2312"/>
          <w:b/>
          <w:sz w:val="32"/>
          <w:szCs w:val="32"/>
        </w:rPr>
        <w:t>第一条</w:t>
      </w:r>
      <w:r>
        <w:rPr>
          <w:rFonts w:ascii="FangSong_GB2312" w:hAnsi="FangSong_GB2312" w:eastAsia="FangSong_GB2312" w:cs="FangSong_GB2312"/>
          <w:sz w:val="32"/>
          <w:szCs w:val="32"/>
        </w:rPr>
        <w:t xml:space="preserve"> </w:t>
      </w:r>
      <w:r>
        <w:rPr>
          <w:rFonts w:hint="eastAsia" w:ascii="FangSong_GB2312" w:hAnsi="FangSong_GB2312" w:eastAsia="FangSong_GB2312" w:cs="FangSong_GB2312"/>
          <w:sz w:val="32"/>
          <w:szCs w:val="32"/>
        </w:rPr>
        <w:t>为规范清华大学深圳国际研究生院（以下简称学院）学生勤工助学管理工作，保障学生合法权益，发挥勤工助学育人功能，根据教育部、财政部《高等学校学生勤工助学管理办法》和《清华大学学生勤工助学管理办法》，结合学院实际，制定本办法。</w:t>
      </w:r>
    </w:p>
    <w:p w14:paraId="71204B88">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第二条</w:t>
      </w:r>
      <w:r>
        <w:rPr>
          <w:rFonts w:ascii="FangSong_GB2312" w:hAnsi="FangSong_GB2312" w:eastAsia="FangSong_GB2312" w:cs="FangSong_GB2312"/>
          <w:sz w:val="32"/>
          <w:szCs w:val="32"/>
        </w:rPr>
        <w:t xml:space="preserve"> </w:t>
      </w:r>
      <w:r>
        <w:rPr>
          <w:rFonts w:hint="eastAsia" w:ascii="FangSong_GB2312" w:hAnsi="FangSong_GB2312" w:eastAsia="FangSong_GB2312" w:cs="FangSong_GB2312"/>
          <w:sz w:val="32"/>
          <w:szCs w:val="32"/>
        </w:rPr>
        <w:t>本办法适用于面向全院研究生（以下统称学生）开展的勤工助学活动。</w:t>
      </w:r>
    </w:p>
    <w:p w14:paraId="7EFE9E95">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sz w:val="32"/>
          <w:szCs w:val="32"/>
        </w:rPr>
      </w:pPr>
      <w:r>
        <w:rPr>
          <w:rFonts w:hint="eastAsia" w:ascii="FangSong_GB2312" w:hAnsi="FangSong_GB2312" w:eastAsia="FangSong_GB2312" w:cs="FangSong_GB2312"/>
          <w:b/>
          <w:sz w:val="32"/>
          <w:szCs w:val="32"/>
        </w:rPr>
        <w:t>第三条</w:t>
      </w:r>
      <w:r>
        <w:rPr>
          <w:rFonts w:ascii="FangSong_GB2312" w:hAnsi="FangSong_GB2312" w:eastAsia="FangSong_GB2312" w:cs="FangSong_GB2312"/>
          <w:sz w:val="32"/>
          <w:szCs w:val="32"/>
        </w:rPr>
        <w:t xml:space="preserve"> </w:t>
      </w:r>
      <w:r>
        <w:rPr>
          <w:rFonts w:hint="eastAsia" w:ascii="FangSong_GB2312" w:hAnsi="FangSong_GB2312" w:eastAsia="FangSong_GB2312" w:cs="FangSong_GB2312"/>
          <w:sz w:val="32"/>
          <w:szCs w:val="32"/>
        </w:rPr>
        <w:t>本办法所称勤工助学活动是指学生在学院的组织下利用课余时间，通过劳动增长才干并取得合法报酬用以改善学习和生活条件的实践活动。</w:t>
      </w:r>
    </w:p>
    <w:p w14:paraId="0916B5D7">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勤工助学是学院开展学生资助工作和劳动育人的重要组成部分，是提高学生综合素质和资助家庭经济困难学生的有效途径，是实现全员育人、全过程育人、全方位育人的有效平台。</w:t>
      </w:r>
    </w:p>
    <w:p w14:paraId="474AA863">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学生自行参加非由学院组织的相关取酬活动的，不适用本办法。</w:t>
      </w:r>
    </w:p>
    <w:p w14:paraId="162AA90C">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sz w:val="32"/>
          <w:szCs w:val="32"/>
        </w:rPr>
      </w:pPr>
      <w:r>
        <w:rPr>
          <w:rFonts w:hint="eastAsia" w:ascii="FangSong_GB2312" w:hAnsi="FangSong_GB2312" w:eastAsia="FangSong_GB2312" w:cs="FangSong_GB2312"/>
          <w:b/>
          <w:sz w:val="32"/>
          <w:szCs w:val="32"/>
        </w:rPr>
        <w:t>第四条</w:t>
      </w:r>
      <w:r>
        <w:rPr>
          <w:rFonts w:ascii="FangSong_GB2312" w:hAnsi="FangSong_GB2312" w:eastAsia="FangSong_GB2312" w:cs="FangSong_GB2312"/>
          <w:sz w:val="32"/>
          <w:szCs w:val="32"/>
        </w:rPr>
        <w:t xml:space="preserve"> </w:t>
      </w:r>
      <w:r>
        <w:rPr>
          <w:rFonts w:hint="eastAsia" w:ascii="FangSong_GB2312" w:hAnsi="FangSong_GB2312" w:eastAsia="FangSong_GB2312" w:cs="FangSong_GB2312"/>
          <w:sz w:val="32"/>
          <w:szCs w:val="32"/>
        </w:rPr>
        <w:t>勤工助学活动坚持服务学生全面健康成长，按照学有余力、自愿申请、信息公开、扶困优先、竞争上岗、遵纪守法的原则，在不影响正常教学秩序和学生正常学习的前提下有组织地开展。</w:t>
      </w:r>
    </w:p>
    <w:p w14:paraId="7DA3E4FB">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sz w:val="32"/>
          <w:szCs w:val="32"/>
        </w:rPr>
      </w:pPr>
      <w:r>
        <w:rPr>
          <w:rFonts w:hint="eastAsia" w:ascii="FangSong_GB2312" w:hAnsi="FangSong_GB2312" w:eastAsia="FangSong_GB2312" w:cs="FangSong_GB2312"/>
          <w:b/>
          <w:bCs/>
          <w:sz w:val="32"/>
          <w:szCs w:val="32"/>
        </w:rPr>
        <w:t>第五条</w:t>
      </w:r>
      <w:r>
        <w:rPr>
          <w:rFonts w:ascii="FangSong_GB2312" w:hAnsi="FangSong_GB2312" w:eastAsia="FangSong_GB2312" w:cs="FangSong_GB2312"/>
          <w:sz w:val="32"/>
          <w:szCs w:val="32"/>
        </w:rPr>
        <w:t xml:space="preserve"> </w:t>
      </w:r>
      <w:r>
        <w:rPr>
          <w:rFonts w:hint="eastAsia" w:ascii="FangSong_GB2312" w:hAnsi="FangSong_GB2312" w:eastAsia="FangSong_GB2312" w:cs="FangSong_GB2312"/>
          <w:sz w:val="32"/>
          <w:szCs w:val="32"/>
        </w:rPr>
        <w:t>学院鼓励支持学生勤工助学。各单位应当积极为学生提供勤工助学岗位并支付劳动报酬。</w:t>
      </w:r>
    </w:p>
    <w:p w14:paraId="13947729">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第六条</w:t>
      </w:r>
      <w:r>
        <w:rPr>
          <w:rFonts w:ascii="FangSong_GB2312" w:hAnsi="FangSong_GB2312" w:eastAsia="FangSong_GB2312" w:cs="FangSong_GB2312"/>
          <w:bCs/>
          <w:sz w:val="32"/>
          <w:szCs w:val="32"/>
        </w:rPr>
        <w:t xml:space="preserve"> </w:t>
      </w:r>
      <w:r>
        <w:rPr>
          <w:rFonts w:hint="eastAsia" w:ascii="FangSong_GB2312" w:hAnsi="FangSong_GB2312" w:eastAsia="FangSong_GB2312" w:cs="FangSong_GB2312"/>
          <w:bCs/>
          <w:sz w:val="32"/>
          <w:szCs w:val="32"/>
        </w:rPr>
        <w:t>学生工作办公室归口负责学生勤工助学管理工作。</w:t>
      </w:r>
    </w:p>
    <w:p w14:paraId="41AC0AAE">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 xml:space="preserve">第七条 </w:t>
      </w:r>
      <w:r>
        <w:rPr>
          <w:rFonts w:hint="eastAsia" w:ascii="FangSong_GB2312" w:hAnsi="FangSong_GB2312" w:eastAsia="FangSong_GB2312" w:cs="FangSong_GB2312"/>
          <w:bCs/>
          <w:sz w:val="32"/>
          <w:szCs w:val="32"/>
        </w:rPr>
        <w:t>按照管理层级，学院勤工助学岗位分为一类岗位和二类岗位。一类岗位由学生工作办公室统一组织设置管理（不含教学科研机构）。二类岗位由各单位自行设置管理，向学生工作办公室备案并接受学生工作办公室指导。</w:t>
      </w:r>
    </w:p>
    <w:p w14:paraId="00228431">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按照在岗时间，学院勤工助学岗位分为固定岗位和临时岗位。固定岗位是指持续一个学期以上的长期性岗位和寒暑假期间的连续性岗位。临时岗位是指通过一次或几次勤工助学活动即完成任务的短期工作岗位。</w:t>
      </w:r>
    </w:p>
    <w:p w14:paraId="4735EA26">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 xml:space="preserve">第八条 </w:t>
      </w:r>
      <w:r>
        <w:rPr>
          <w:rFonts w:hint="eastAsia" w:ascii="FangSong_GB2312" w:hAnsi="FangSong_GB2312" w:eastAsia="FangSong_GB2312" w:cs="FangSong_GB2312"/>
          <w:bCs/>
          <w:sz w:val="32"/>
          <w:szCs w:val="32"/>
        </w:rPr>
        <w:t>勤工助学岗位设置原则</w:t>
      </w:r>
    </w:p>
    <w:p w14:paraId="7A647CEF">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（一）依法依规，因公设岗；</w:t>
      </w:r>
    </w:p>
    <w:p w14:paraId="7C19CFD6">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（二）以人为本，安全至上；</w:t>
      </w:r>
    </w:p>
    <w:p w14:paraId="05473E0E">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（三）多方筹措资源，保障学生需求；</w:t>
      </w:r>
    </w:p>
    <w:p w14:paraId="19245590">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（四）以不影响学生学业为前提，科学安排上岗时间；</w:t>
      </w:r>
    </w:p>
    <w:p w14:paraId="21F32AD0">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（五）勤工助学活动原则上限于在校内开展。</w:t>
      </w:r>
    </w:p>
    <w:p w14:paraId="08BE3B91">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第九条</w:t>
      </w:r>
      <w:r>
        <w:rPr>
          <w:rFonts w:ascii="FangSong_GB2312" w:hAnsi="FangSong_GB2312" w:eastAsia="FangSong_GB2312" w:cs="FangSong_GB2312"/>
          <w:bCs/>
          <w:sz w:val="32"/>
          <w:szCs w:val="32"/>
        </w:rPr>
        <w:t xml:space="preserve"> </w:t>
      </w:r>
      <w:r>
        <w:rPr>
          <w:rFonts w:hint="eastAsia" w:ascii="FangSong_GB2312" w:hAnsi="FangSong_GB2312" w:eastAsia="FangSong_GB2312" w:cs="FangSong_GB2312"/>
          <w:bCs/>
          <w:sz w:val="32"/>
          <w:szCs w:val="32"/>
        </w:rPr>
        <w:t>学生勤工助学原则上每周不超过八小时，或每月不超过四十小时，寒暑假可根据实际情况适当延长。</w:t>
      </w:r>
    </w:p>
    <w:p w14:paraId="04FFE087">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第十条</w:t>
      </w:r>
      <w:r>
        <w:rPr>
          <w:rFonts w:ascii="FangSong_GB2312" w:hAnsi="FangSong_GB2312" w:eastAsia="FangSong_GB2312" w:cs="FangSong_GB2312"/>
          <w:b/>
          <w:sz w:val="32"/>
          <w:szCs w:val="32"/>
        </w:rPr>
        <w:t xml:space="preserve"> </w:t>
      </w:r>
      <w:r>
        <w:rPr>
          <w:rFonts w:hint="eastAsia" w:ascii="FangSong_GB2312" w:hAnsi="FangSong_GB2312" w:eastAsia="FangSong_GB2312" w:cs="FangSong_GB2312"/>
          <w:bCs/>
          <w:sz w:val="32"/>
          <w:szCs w:val="32"/>
        </w:rPr>
        <w:t>勤工助学报酬应当不低于深圳市最低工资标准或居民最低生活保障标准。勤工助学报酬标准另行制定。</w:t>
      </w:r>
    </w:p>
    <w:p w14:paraId="67554D05">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第十一条</w:t>
      </w:r>
      <w:r>
        <w:rPr>
          <w:rFonts w:ascii="FangSong_GB2312" w:hAnsi="FangSong_GB2312" w:eastAsia="FangSong_GB2312" w:cs="FangSong_GB2312"/>
          <w:bCs/>
          <w:sz w:val="32"/>
          <w:szCs w:val="32"/>
        </w:rPr>
        <w:t xml:space="preserve"> </w:t>
      </w:r>
      <w:r>
        <w:rPr>
          <w:rFonts w:hint="eastAsia" w:ascii="FangSong_GB2312" w:hAnsi="FangSong_GB2312" w:eastAsia="FangSong_GB2312" w:cs="FangSong_GB2312"/>
          <w:bCs/>
          <w:sz w:val="32"/>
          <w:szCs w:val="32"/>
        </w:rPr>
        <w:t>院内单位设置勤工助学一类岗位的，由学生工作办公室与设岗单位依法依规签订设岗协议，设岗协议中应当明确岗位职责、报酬标准、勤工助学指导教师等。固定岗位设岗协议中还应当明确勤工助学队伍日常建设活动固定场所。</w:t>
      </w:r>
    </w:p>
    <w:p w14:paraId="4E789893">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第十二条</w:t>
      </w:r>
      <w:r>
        <w:rPr>
          <w:rFonts w:ascii="FangSong_GB2312" w:hAnsi="FangSong_GB2312" w:eastAsia="FangSong_GB2312" w:cs="FangSong_GB2312"/>
          <w:bCs/>
          <w:sz w:val="32"/>
          <w:szCs w:val="32"/>
        </w:rPr>
        <w:t xml:space="preserve"> </w:t>
      </w:r>
      <w:r>
        <w:rPr>
          <w:rFonts w:hint="eastAsia" w:ascii="FangSong_GB2312" w:hAnsi="FangSong_GB2312" w:eastAsia="FangSong_GB2312" w:cs="FangSong_GB2312"/>
          <w:bCs/>
          <w:sz w:val="32"/>
          <w:szCs w:val="32"/>
        </w:rPr>
        <w:t>安排勤工助学岗位上岗，应当优先考虑家庭经济困难的学生。</w:t>
      </w:r>
    </w:p>
    <w:p w14:paraId="03821E7E">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第十三条</w:t>
      </w:r>
      <w:r>
        <w:rPr>
          <w:rFonts w:ascii="FangSong_GB2312" w:hAnsi="FangSong_GB2312" w:eastAsia="FangSong_GB2312" w:cs="FangSong_GB2312"/>
          <w:bCs/>
          <w:sz w:val="32"/>
          <w:szCs w:val="32"/>
        </w:rPr>
        <w:t xml:space="preserve"> </w:t>
      </w:r>
      <w:r>
        <w:rPr>
          <w:rFonts w:hint="eastAsia" w:ascii="FangSong_GB2312" w:hAnsi="FangSong_GB2312" w:eastAsia="FangSong_GB2312" w:cs="FangSong_GB2312"/>
          <w:bCs/>
          <w:sz w:val="32"/>
          <w:szCs w:val="32"/>
        </w:rPr>
        <w:t>设岗单位应当为勤工助学学生提供良好的劳动保护，对学生进行必要的业务培训和安全教育，保障学生在勤工助学过程中的安全。</w:t>
      </w:r>
    </w:p>
    <w:p w14:paraId="31D86825">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第十四条</w:t>
      </w:r>
      <w:r>
        <w:rPr>
          <w:rFonts w:ascii="FangSong_GB2312" w:hAnsi="FangSong_GB2312" w:eastAsia="FangSong_GB2312" w:cs="FangSong_GB2312"/>
          <w:bCs/>
          <w:sz w:val="32"/>
          <w:szCs w:val="32"/>
        </w:rPr>
        <w:t xml:space="preserve"> </w:t>
      </w:r>
      <w:r>
        <w:rPr>
          <w:rFonts w:hint="eastAsia" w:ascii="FangSong_GB2312" w:hAnsi="FangSong_GB2312" w:eastAsia="FangSong_GB2312" w:cs="FangSong_GB2312"/>
          <w:bCs/>
          <w:sz w:val="32"/>
          <w:szCs w:val="32"/>
        </w:rPr>
        <w:t>学生勤工助学固定岗位报酬一般按月发放，临时岗位报酬应当在任务完成后十五个工作日内一次性发放。院内单位应当通过学院统一银行代发系统向学生发放勤工助学报酬。</w:t>
      </w:r>
    </w:p>
    <w:p w14:paraId="562018E6">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学生勤工助学报酬应当按规定缴纳个人所得税。</w:t>
      </w:r>
    </w:p>
    <w:p w14:paraId="28681802">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第十五条</w:t>
      </w:r>
      <w:r>
        <w:rPr>
          <w:rFonts w:ascii="FangSong_GB2312" w:hAnsi="FangSong_GB2312" w:eastAsia="FangSong_GB2312" w:cs="FangSong_GB2312"/>
          <w:bCs/>
          <w:sz w:val="32"/>
          <w:szCs w:val="32"/>
        </w:rPr>
        <w:t xml:space="preserve"> </w:t>
      </w:r>
      <w:r>
        <w:rPr>
          <w:rFonts w:hint="eastAsia" w:ascii="FangSong_GB2312" w:hAnsi="FangSong_GB2312" w:eastAsia="FangSong_GB2312" w:cs="FangSong_GB2312"/>
          <w:bCs/>
          <w:sz w:val="32"/>
          <w:szCs w:val="32"/>
        </w:rPr>
        <w:t>学生工作办公室定期公布学生勤工助学岗位信息，学生自愿提出申请，学生工作办公室协助设岗单位组织面试，择优上岗。</w:t>
      </w:r>
    </w:p>
    <w:p w14:paraId="3C6DC025">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第十六条</w:t>
      </w:r>
      <w:r>
        <w:rPr>
          <w:rFonts w:ascii="FangSong_GB2312" w:hAnsi="FangSong_GB2312" w:eastAsia="FangSong_GB2312" w:cs="FangSong_GB2312"/>
          <w:bCs/>
          <w:sz w:val="32"/>
          <w:szCs w:val="32"/>
        </w:rPr>
        <w:t xml:space="preserve"> </w:t>
      </w:r>
      <w:r>
        <w:rPr>
          <w:rFonts w:hint="eastAsia" w:ascii="FangSong_GB2312" w:hAnsi="FangSong_GB2312" w:eastAsia="FangSong_GB2312" w:cs="FangSong_GB2312"/>
          <w:bCs/>
          <w:sz w:val="32"/>
          <w:szCs w:val="32"/>
        </w:rPr>
        <w:t>学生参加勤工助学活动，应当以学有余力为前提，确保不影响学习。</w:t>
      </w:r>
    </w:p>
    <w:p w14:paraId="597126DA">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第十七条</w:t>
      </w:r>
      <w:r>
        <w:rPr>
          <w:rFonts w:ascii="FangSong_GB2312" w:hAnsi="FangSong_GB2312" w:eastAsia="FangSong_GB2312" w:cs="FangSong_GB2312"/>
          <w:bCs/>
          <w:sz w:val="32"/>
          <w:szCs w:val="32"/>
        </w:rPr>
        <w:t xml:space="preserve"> </w:t>
      </w:r>
      <w:r>
        <w:rPr>
          <w:rFonts w:hint="eastAsia" w:ascii="FangSong_GB2312" w:hAnsi="FangSong_GB2312" w:eastAsia="FangSong_GB2312" w:cs="FangSong_GB2312"/>
          <w:bCs/>
          <w:sz w:val="32"/>
          <w:szCs w:val="32"/>
        </w:rPr>
        <w:t>学生参加勤工助学活动应当诚实守信，严格按照协议履行相关义务。</w:t>
      </w:r>
    </w:p>
    <w:p w14:paraId="64EC6A1C">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第十八条</w:t>
      </w:r>
      <w:r>
        <w:rPr>
          <w:rFonts w:ascii="FangSong_GB2312" w:hAnsi="FangSong_GB2312" w:eastAsia="FangSong_GB2312" w:cs="FangSong_GB2312"/>
          <w:b/>
          <w:sz w:val="32"/>
          <w:szCs w:val="32"/>
        </w:rPr>
        <w:t xml:space="preserve"> </w:t>
      </w:r>
      <w:r>
        <w:rPr>
          <w:rFonts w:hint="eastAsia" w:ascii="FangSong_GB2312" w:hAnsi="FangSong_GB2312" w:eastAsia="FangSong_GB2312" w:cs="FangSong_GB2312"/>
          <w:bCs/>
          <w:sz w:val="32"/>
          <w:szCs w:val="32"/>
        </w:rPr>
        <w:t>学生工作办公室应当加强对勤工助学学生的思想教育，培养学生劳动意识和奋斗精神，充分发挥勤工助学育人功能。</w:t>
      </w:r>
    </w:p>
    <w:p w14:paraId="5CAFAA1C">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 xml:space="preserve">第十九条 </w:t>
      </w:r>
      <w:r>
        <w:rPr>
          <w:rFonts w:hint="eastAsia" w:ascii="FangSong_GB2312" w:hAnsi="FangSong_GB2312" w:eastAsia="FangSong_GB2312" w:cs="FangSong_GB2312"/>
          <w:bCs/>
          <w:sz w:val="32"/>
          <w:szCs w:val="32"/>
        </w:rPr>
        <w:t>学院任何单位和个人违反本办法相关规定的，学院视情节轻重对直接责任人和相关负责人给予批评教育直至纪律处分。</w:t>
      </w:r>
    </w:p>
    <w:p w14:paraId="5A1DCA43">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hint="eastAsia" w:ascii="FangSong_GB2312" w:hAnsi="FangSong_GB2312" w:eastAsia="FangSong_GB2312" w:cs="FangSong_GB2312"/>
          <w:bCs/>
          <w:sz w:val="32"/>
          <w:szCs w:val="32"/>
        </w:rPr>
      </w:pPr>
      <w:r>
        <w:rPr>
          <w:rFonts w:hint="eastAsia" w:ascii="FangSong_GB2312" w:hAnsi="FangSong_GB2312" w:eastAsia="FangSong_GB2312" w:cs="FangSong_GB2312"/>
          <w:b/>
          <w:sz w:val="32"/>
          <w:szCs w:val="32"/>
        </w:rPr>
        <w:t xml:space="preserve">第二十条 </w:t>
      </w:r>
      <w:r>
        <w:rPr>
          <w:rFonts w:hint="eastAsia" w:ascii="FangSong_GB2312" w:hAnsi="FangSong_GB2312" w:eastAsia="FangSong_GB2312" w:cs="FangSong_GB2312"/>
          <w:bCs/>
          <w:sz w:val="32"/>
          <w:szCs w:val="32"/>
        </w:rPr>
        <w:t>本办法由学生工作办公室负责解释。</w:t>
      </w:r>
    </w:p>
    <w:p w14:paraId="51CFD5B2">
      <w:pPr>
        <w:keepNext w:val="0"/>
        <w:keepLines w:val="0"/>
        <w:pageBreakBefore w:val="0"/>
        <w:widowControl w:val="0"/>
        <w:kinsoku/>
        <w:wordWrap/>
        <w:overflowPunct/>
        <w:topLinePunct w:val="0"/>
        <w:autoSpaceDE/>
        <w:autoSpaceDN/>
        <w:bidi w:val="0"/>
        <w:adjustRightInd/>
        <w:snapToGrid/>
        <w:spacing w:after="0" w:line="560" w:lineRule="exact"/>
        <w:ind w:left="0" w:right="0" w:firstLine="643" w:firstLineChars="200"/>
        <w:textAlignment w:val="auto"/>
        <w:rPr>
          <w:rFonts w:ascii="Times New Roman" w:hAnsi="Times New Roman" w:eastAsia="宋体" w:cs="Times New Roman"/>
        </w:rPr>
      </w:pPr>
      <w:r>
        <w:rPr>
          <w:rFonts w:hint="eastAsia" w:ascii="FangSong_GB2312" w:hAnsi="FangSong_GB2312" w:eastAsia="FangSong_GB2312" w:cs="FangSong_GB2312"/>
          <w:b/>
          <w:sz w:val="32"/>
          <w:szCs w:val="32"/>
        </w:rPr>
        <w:t xml:space="preserve">第二十一条 </w:t>
      </w:r>
      <w:r>
        <w:rPr>
          <w:rFonts w:hint="eastAsia" w:ascii="FangSong_GB2312" w:hAnsi="FangSong_GB2312" w:eastAsia="FangSong_GB2312" w:cs="FangSong_GB2312"/>
          <w:bCs/>
          <w:sz w:val="32"/>
          <w:szCs w:val="32"/>
        </w:rPr>
        <w:t>本办法自公布之日起施行。</w:t>
      </w:r>
    </w:p>
    <w:sectPr>
      <w:headerReference r:id="rId5" w:type="first"/>
      <w:footerReference r:id="rId8" w:type="first"/>
      <w:footerReference r:id="rId6" w:type="default"/>
      <w:footerReference r:id="rId7" w:type="even"/>
      <w:pgSz w:w="11904" w:h="16840"/>
      <w:pgMar w:top="1440" w:right="1633" w:bottom="1327" w:left="1633" w:header="883" w:footer="90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6EF5B">
    <w:pPr>
      <w:pStyle w:val="9"/>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E786DD">
                          <w:pPr>
                            <w:pStyle w:val="9"/>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E786DD">
                    <w:pPr>
                      <w:pStyle w:val="9"/>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01C71">
    <w:pPr>
      <w:spacing w:after="160" w:line="259" w:lineRule="auto"/>
      <w:ind w:left="0" w:right="0" w:firstLine="0"/>
      <w:rPr>
        <w:rFonts w:hint="eastAsia"/>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B3019">
                          <w:pPr>
                            <w:pStyle w:val="9"/>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2</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42B3019">
                    <w:pPr>
                      <w:pStyle w:val="9"/>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2</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C6C87">
    <w:pPr>
      <w:spacing w:after="160" w:line="259" w:lineRule="auto"/>
      <w:ind w:left="0" w:right="0" w:firstLine="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5" w:lineRule="auto"/>
      </w:pPr>
      <w:r>
        <w:separator/>
      </w:r>
    </w:p>
  </w:footnote>
  <w:footnote w:type="continuationSeparator" w:id="1">
    <w:p>
      <w:pPr>
        <w:spacing w:before="0" w:after="0" w:line="265"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2311C">
    <w:pPr>
      <w:spacing w:after="160" w:line="259" w:lineRule="auto"/>
      <w:ind w:left="0" w:right="0" w:firstLine="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aveSubsetFonts/>
  <w:bordersDoNotSurroundHeader w:val="1"/>
  <w:bordersDoNotSurroundFooter w:val="1"/>
  <w:documentProtection w:enforcement="0"/>
  <w:defaultTabStop w:val="420"/>
  <w:evenAndOddHeaders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2E7"/>
    <w:rsid w:val="00025492"/>
    <w:rsid w:val="000346EF"/>
    <w:rsid w:val="00051B0F"/>
    <w:rsid w:val="00060C6A"/>
    <w:rsid w:val="0008000A"/>
    <w:rsid w:val="000B7109"/>
    <w:rsid w:val="000C2AB8"/>
    <w:rsid w:val="000C7A9C"/>
    <w:rsid w:val="000D4FB3"/>
    <w:rsid w:val="000E14E9"/>
    <w:rsid w:val="000E6579"/>
    <w:rsid w:val="000F295C"/>
    <w:rsid w:val="0013097B"/>
    <w:rsid w:val="001341E2"/>
    <w:rsid w:val="00134F89"/>
    <w:rsid w:val="00141B80"/>
    <w:rsid w:val="00146BBB"/>
    <w:rsid w:val="001668F5"/>
    <w:rsid w:val="0019290F"/>
    <w:rsid w:val="001A5AD2"/>
    <w:rsid w:val="001B2724"/>
    <w:rsid w:val="001D2CBE"/>
    <w:rsid w:val="001F2D80"/>
    <w:rsid w:val="00201A7C"/>
    <w:rsid w:val="00202DC4"/>
    <w:rsid w:val="00203E6A"/>
    <w:rsid w:val="002A1EAD"/>
    <w:rsid w:val="002C3432"/>
    <w:rsid w:val="00325655"/>
    <w:rsid w:val="00332EFB"/>
    <w:rsid w:val="00362AEE"/>
    <w:rsid w:val="00362C9E"/>
    <w:rsid w:val="00375761"/>
    <w:rsid w:val="003831E8"/>
    <w:rsid w:val="003A061D"/>
    <w:rsid w:val="003B1BCD"/>
    <w:rsid w:val="003E354B"/>
    <w:rsid w:val="00432300"/>
    <w:rsid w:val="00471191"/>
    <w:rsid w:val="00483574"/>
    <w:rsid w:val="004B4961"/>
    <w:rsid w:val="004D421E"/>
    <w:rsid w:val="004F6AE0"/>
    <w:rsid w:val="00510D82"/>
    <w:rsid w:val="00543B58"/>
    <w:rsid w:val="00597439"/>
    <w:rsid w:val="005C7DB7"/>
    <w:rsid w:val="005E2ECC"/>
    <w:rsid w:val="005E5D12"/>
    <w:rsid w:val="00604428"/>
    <w:rsid w:val="00616892"/>
    <w:rsid w:val="00630E0E"/>
    <w:rsid w:val="00633560"/>
    <w:rsid w:val="00671E12"/>
    <w:rsid w:val="00696E14"/>
    <w:rsid w:val="006D0C1B"/>
    <w:rsid w:val="00773AA9"/>
    <w:rsid w:val="007921A2"/>
    <w:rsid w:val="007E0244"/>
    <w:rsid w:val="007F045F"/>
    <w:rsid w:val="008119D9"/>
    <w:rsid w:val="008D7BD6"/>
    <w:rsid w:val="008E1638"/>
    <w:rsid w:val="008E2196"/>
    <w:rsid w:val="00924DD7"/>
    <w:rsid w:val="009310AE"/>
    <w:rsid w:val="00950E08"/>
    <w:rsid w:val="00966C85"/>
    <w:rsid w:val="009D2B21"/>
    <w:rsid w:val="00A01CCB"/>
    <w:rsid w:val="00A06B4E"/>
    <w:rsid w:val="00A129A8"/>
    <w:rsid w:val="00A24D42"/>
    <w:rsid w:val="00A364B9"/>
    <w:rsid w:val="00A505AA"/>
    <w:rsid w:val="00A62240"/>
    <w:rsid w:val="00A67826"/>
    <w:rsid w:val="00A904F0"/>
    <w:rsid w:val="00AB3E20"/>
    <w:rsid w:val="00AE186E"/>
    <w:rsid w:val="00B534EF"/>
    <w:rsid w:val="00B57296"/>
    <w:rsid w:val="00B739BA"/>
    <w:rsid w:val="00BC44A9"/>
    <w:rsid w:val="00C20579"/>
    <w:rsid w:val="00CA214F"/>
    <w:rsid w:val="00CB33FD"/>
    <w:rsid w:val="00CB6C93"/>
    <w:rsid w:val="00CC02E7"/>
    <w:rsid w:val="00CC43CE"/>
    <w:rsid w:val="00CD11A8"/>
    <w:rsid w:val="00D532DB"/>
    <w:rsid w:val="00D5530F"/>
    <w:rsid w:val="00D56617"/>
    <w:rsid w:val="00D6655A"/>
    <w:rsid w:val="00D847AB"/>
    <w:rsid w:val="00D95BD9"/>
    <w:rsid w:val="00DA5BD6"/>
    <w:rsid w:val="00DE59B8"/>
    <w:rsid w:val="00DF0D16"/>
    <w:rsid w:val="00DF4FF4"/>
    <w:rsid w:val="00E61FEE"/>
    <w:rsid w:val="00E806A4"/>
    <w:rsid w:val="00ED7BEE"/>
    <w:rsid w:val="00EE4F9E"/>
    <w:rsid w:val="00EF6337"/>
    <w:rsid w:val="00F506DD"/>
    <w:rsid w:val="00F6540F"/>
    <w:rsid w:val="01A403EF"/>
    <w:rsid w:val="01CC0CC7"/>
    <w:rsid w:val="02A11815"/>
    <w:rsid w:val="02A75670"/>
    <w:rsid w:val="02F079B0"/>
    <w:rsid w:val="03B67E06"/>
    <w:rsid w:val="04041910"/>
    <w:rsid w:val="043C3328"/>
    <w:rsid w:val="04426DC6"/>
    <w:rsid w:val="047E7C89"/>
    <w:rsid w:val="04E23328"/>
    <w:rsid w:val="05121E5F"/>
    <w:rsid w:val="054B6C6E"/>
    <w:rsid w:val="056106F1"/>
    <w:rsid w:val="057E6258"/>
    <w:rsid w:val="05AB3FE1"/>
    <w:rsid w:val="05AC4EF2"/>
    <w:rsid w:val="05B9677F"/>
    <w:rsid w:val="05F316AB"/>
    <w:rsid w:val="064E0953"/>
    <w:rsid w:val="068A3C77"/>
    <w:rsid w:val="06EF04EA"/>
    <w:rsid w:val="07D16002"/>
    <w:rsid w:val="081E6D6D"/>
    <w:rsid w:val="08250E27"/>
    <w:rsid w:val="084A5DB4"/>
    <w:rsid w:val="08643561"/>
    <w:rsid w:val="097846E4"/>
    <w:rsid w:val="09A03EDE"/>
    <w:rsid w:val="09F17A9A"/>
    <w:rsid w:val="0A477FFC"/>
    <w:rsid w:val="0B073DE9"/>
    <w:rsid w:val="0B6B4F64"/>
    <w:rsid w:val="0CA37841"/>
    <w:rsid w:val="0CE0333D"/>
    <w:rsid w:val="0CEF0C5C"/>
    <w:rsid w:val="0D074BC0"/>
    <w:rsid w:val="0D1B387B"/>
    <w:rsid w:val="0D417786"/>
    <w:rsid w:val="0D49488C"/>
    <w:rsid w:val="0D4A741A"/>
    <w:rsid w:val="0D5C636E"/>
    <w:rsid w:val="0D643474"/>
    <w:rsid w:val="0D7A2C98"/>
    <w:rsid w:val="0E35485F"/>
    <w:rsid w:val="0EA96D06"/>
    <w:rsid w:val="0EBE0AFF"/>
    <w:rsid w:val="0F3F57BF"/>
    <w:rsid w:val="0F762F4A"/>
    <w:rsid w:val="0FDF5034"/>
    <w:rsid w:val="0FE60171"/>
    <w:rsid w:val="103B571F"/>
    <w:rsid w:val="10863CAA"/>
    <w:rsid w:val="10D601E5"/>
    <w:rsid w:val="10D80401"/>
    <w:rsid w:val="10E647F0"/>
    <w:rsid w:val="118C2F9A"/>
    <w:rsid w:val="119B4F8B"/>
    <w:rsid w:val="11D54941"/>
    <w:rsid w:val="12040D82"/>
    <w:rsid w:val="123130A0"/>
    <w:rsid w:val="12B20DE0"/>
    <w:rsid w:val="13427DB4"/>
    <w:rsid w:val="13586461"/>
    <w:rsid w:val="13BD38DE"/>
    <w:rsid w:val="13CE5AEB"/>
    <w:rsid w:val="147C12FE"/>
    <w:rsid w:val="1545653D"/>
    <w:rsid w:val="155F0CF8"/>
    <w:rsid w:val="160C53F2"/>
    <w:rsid w:val="165C7ADC"/>
    <w:rsid w:val="167B7993"/>
    <w:rsid w:val="16E800C3"/>
    <w:rsid w:val="17AC1CA0"/>
    <w:rsid w:val="18363C5F"/>
    <w:rsid w:val="185B623A"/>
    <w:rsid w:val="18A92FBB"/>
    <w:rsid w:val="18B66AFA"/>
    <w:rsid w:val="19176173"/>
    <w:rsid w:val="191E6BCD"/>
    <w:rsid w:val="19675239"/>
    <w:rsid w:val="19E31364"/>
    <w:rsid w:val="19F90C5F"/>
    <w:rsid w:val="1B0911B7"/>
    <w:rsid w:val="1B131655"/>
    <w:rsid w:val="1B3E1D60"/>
    <w:rsid w:val="1BFD51C0"/>
    <w:rsid w:val="1BFF6654"/>
    <w:rsid w:val="1C0E2D9C"/>
    <w:rsid w:val="1C676ADD"/>
    <w:rsid w:val="1CC04526"/>
    <w:rsid w:val="1D434E54"/>
    <w:rsid w:val="1D554B87"/>
    <w:rsid w:val="1DA82F09"/>
    <w:rsid w:val="1DB7139E"/>
    <w:rsid w:val="1E064989"/>
    <w:rsid w:val="1E571B16"/>
    <w:rsid w:val="1E6D79F4"/>
    <w:rsid w:val="1E7B061E"/>
    <w:rsid w:val="1E836C02"/>
    <w:rsid w:val="1F2F3EF2"/>
    <w:rsid w:val="1F3F20C1"/>
    <w:rsid w:val="1F466DC3"/>
    <w:rsid w:val="1F63358C"/>
    <w:rsid w:val="1FB72055"/>
    <w:rsid w:val="1FBC438A"/>
    <w:rsid w:val="205E1FA5"/>
    <w:rsid w:val="2138652C"/>
    <w:rsid w:val="2184145D"/>
    <w:rsid w:val="21C44A9A"/>
    <w:rsid w:val="22821F7B"/>
    <w:rsid w:val="22837AA1"/>
    <w:rsid w:val="22C31FE2"/>
    <w:rsid w:val="235774D3"/>
    <w:rsid w:val="23693AAA"/>
    <w:rsid w:val="237F01AB"/>
    <w:rsid w:val="241856AD"/>
    <w:rsid w:val="241A40EA"/>
    <w:rsid w:val="24816262"/>
    <w:rsid w:val="25B9096F"/>
    <w:rsid w:val="25ED4EEF"/>
    <w:rsid w:val="26766496"/>
    <w:rsid w:val="26D1483F"/>
    <w:rsid w:val="26DF4B02"/>
    <w:rsid w:val="26F41EE6"/>
    <w:rsid w:val="27165388"/>
    <w:rsid w:val="273568A4"/>
    <w:rsid w:val="27363334"/>
    <w:rsid w:val="273B094A"/>
    <w:rsid w:val="273E14D6"/>
    <w:rsid w:val="274176DD"/>
    <w:rsid w:val="274E126F"/>
    <w:rsid w:val="279D6A46"/>
    <w:rsid w:val="285E0D94"/>
    <w:rsid w:val="28712CB3"/>
    <w:rsid w:val="2A691C72"/>
    <w:rsid w:val="2ACF62F0"/>
    <w:rsid w:val="2B376EF1"/>
    <w:rsid w:val="2B37725F"/>
    <w:rsid w:val="2B764647"/>
    <w:rsid w:val="2BCB1B4F"/>
    <w:rsid w:val="2BDF043E"/>
    <w:rsid w:val="2DDF47CA"/>
    <w:rsid w:val="2E55425D"/>
    <w:rsid w:val="2E9A064C"/>
    <w:rsid w:val="2E9F1D08"/>
    <w:rsid w:val="2EE173A8"/>
    <w:rsid w:val="2EF53AD4"/>
    <w:rsid w:val="2F2A0C1C"/>
    <w:rsid w:val="2F4F7689"/>
    <w:rsid w:val="2F8C48F9"/>
    <w:rsid w:val="3006476D"/>
    <w:rsid w:val="30640F12"/>
    <w:rsid w:val="30F64198"/>
    <w:rsid w:val="310D77FB"/>
    <w:rsid w:val="31390F8B"/>
    <w:rsid w:val="31532D34"/>
    <w:rsid w:val="32A4106E"/>
    <w:rsid w:val="32D974CB"/>
    <w:rsid w:val="33030EB6"/>
    <w:rsid w:val="332F36F7"/>
    <w:rsid w:val="33D4357B"/>
    <w:rsid w:val="33FA78BC"/>
    <w:rsid w:val="350E58F0"/>
    <w:rsid w:val="35611EC4"/>
    <w:rsid w:val="356B5793"/>
    <w:rsid w:val="358704B5"/>
    <w:rsid w:val="362706BB"/>
    <w:rsid w:val="36372C24"/>
    <w:rsid w:val="36445A6C"/>
    <w:rsid w:val="36DF7544"/>
    <w:rsid w:val="372721A3"/>
    <w:rsid w:val="37EF7C5B"/>
    <w:rsid w:val="38314B9F"/>
    <w:rsid w:val="38455ACD"/>
    <w:rsid w:val="387063E3"/>
    <w:rsid w:val="38795776"/>
    <w:rsid w:val="38992830"/>
    <w:rsid w:val="38A327F3"/>
    <w:rsid w:val="38AA1DD4"/>
    <w:rsid w:val="38B93DC5"/>
    <w:rsid w:val="38C43773"/>
    <w:rsid w:val="38C95885"/>
    <w:rsid w:val="39A95BE7"/>
    <w:rsid w:val="39CB7802"/>
    <w:rsid w:val="39CD7EE1"/>
    <w:rsid w:val="3A0313D4"/>
    <w:rsid w:val="3A092B2A"/>
    <w:rsid w:val="3A5632E4"/>
    <w:rsid w:val="3A5F3BD3"/>
    <w:rsid w:val="3AE212EA"/>
    <w:rsid w:val="3AE77F14"/>
    <w:rsid w:val="3B4976A5"/>
    <w:rsid w:val="3B4A51A8"/>
    <w:rsid w:val="3B5205DB"/>
    <w:rsid w:val="3BC323E3"/>
    <w:rsid w:val="3BE64C6A"/>
    <w:rsid w:val="3C83277A"/>
    <w:rsid w:val="3D376D29"/>
    <w:rsid w:val="3D414375"/>
    <w:rsid w:val="3D89645B"/>
    <w:rsid w:val="3E51240B"/>
    <w:rsid w:val="3E730CF7"/>
    <w:rsid w:val="3E8A13E4"/>
    <w:rsid w:val="3EB76280"/>
    <w:rsid w:val="3EF939A6"/>
    <w:rsid w:val="3F5B4A75"/>
    <w:rsid w:val="3F5C0F61"/>
    <w:rsid w:val="3F6A406B"/>
    <w:rsid w:val="3FFD6C8D"/>
    <w:rsid w:val="4039465E"/>
    <w:rsid w:val="404C3770"/>
    <w:rsid w:val="40DB111A"/>
    <w:rsid w:val="41E225DE"/>
    <w:rsid w:val="42136860"/>
    <w:rsid w:val="42B45D29"/>
    <w:rsid w:val="42BE044E"/>
    <w:rsid w:val="42D00689"/>
    <w:rsid w:val="42EC3A85"/>
    <w:rsid w:val="4413774C"/>
    <w:rsid w:val="445E5992"/>
    <w:rsid w:val="447F4114"/>
    <w:rsid w:val="44B94E4B"/>
    <w:rsid w:val="47560505"/>
    <w:rsid w:val="47766ACB"/>
    <w:rsid w:val="47B06E63"/>
    <w:rsid w:val="47DE55F6"/>
    <w:rsid w:val="482D3E87"/>
    <w:rsid w:val="49274B72"/>
    <w:rsid w:val="49C64593"/>
    <w:rsid w:val="49EF3AEA"/>
    <w:rsid w:val="4A0B1FA6"/>
    <w:rsid w:val="4A2117CA"/>
    <w:rsid w:val="4A9B420A"/>
    <w:rsid w:val="4AB72EFA"/>
    <w:rsid w:val="4B835429"/>
    <w:rsid w:val="4BA32BF6"/>
    <w:rsid w:val="4C4579F1"/>
    <w:rsid w:val="4C4B33F0"/>
    <w:rsid w:val="4CA014BD"/>
    <w:rsid w:val="4CFB4554"/>
    <w:rsid w:val="4D136243"/>
    <w:rsid w:val="4D470B7A"/>
    <w:rsid w:val="4DDC4386"/>
    <w:rsid w:val="4EA242EF"/>
    <w:rsid w:val="4EEC05F8"/>
    <w:rsid w:val="4F492507"/>
    <w:rsid w:val="4F720113"/>
    <w:rsid w:val="4F8627FB"/>
    <w:rsid w:val="4FF260E2"/>
    <w:rsid w:val="5051105B"/>
    <w:rsid w:val="505A4821"/>
    <w:rsid w:val="5125272A"/>
    <w:rsid w:val="5151508A"/>
    <w:rsid w:val="515524D9"/>
    <w:rsid w:val="521063FF"/>
    <w:rsid w:val="52C50C32"/>
    <w:rsid w:val="53F3339E"/>
    <w:rsid w:val="548E56DB"/>
    <w:rsid w:val="54FA42EF"/>
    <w:rsid w:val="551F799E"/>
    <w:rsid w:val="554967A4"/>
    <w:rsid w:val="55CA71B9"/>
    <w:rsid w:val="55EE2B2D"/>
    <w:rsid w:val="55F6502B"/>
    <w:rsid w:val="55FB302C"/>
    <w:rsid w:val="58756024"/>
    <w:rsid w:val="58BB1045"/>
    <w:rsid w:val="5A026575"/>
    <w:rsid w:val="5AE26D53"/>
    <w:rsid w:val="5B3A6B8F"/>
    <w:rsid w:val="5B5E462C"/>
    <w:rsid w:val="5B9E2C7A"/>
    <w:rsid w:val="5BA852F4"/>
    <w:rsid w:val="5BC621D1"/>
    <w:rsid w:val="5C735EB5"/>
    <w:rsid w:val="5CA417EA"/>
    <w:rsid w:val="5D76C027"/>
    <w:rsid w:val="5E196F30"/>
    <w:rsid w:val="5EE237C6"/>
    <w:rsid w:val="5F6C2891"/>
    <w:rsid w:val="602348BE"/>
    <w:rsid w:val="60395667"/>
    <w:rsid w:val="62A0215B"/>
    <w:rsid w:val="6329529D"/>
    <w:rsid w:val="64360EFC"/>
    <w:rsid w:val="64583BDF"/>
    <w:rsid w:val="64702F5C"/>
    <w:rsid w:val="64780C7B"/>
    <w:rsid w:val="647B624F"/>
    <w:rsid w:val="64AA6B34"/>
    <w:rsid w:val="65EF4235"/>
    <w:rsid w:val="65FB401F"/>
    <w:rsid w:val="675D5DB4"/>
    <w:rsid w:val="67694A84"/>
    <w:rsid w:val="67D43139"/>
    <w:rsid w:val="68CA0A8B"/>
    <w:rsid w:val="68E31F3D"/>
    <w:rsid w:val="68F91BD5"/>
    <w:rsid w:val="694F7EA8"/>
    <w:rsid w:val="69E867DC"/>
    <w:rsid w:val="69F16456"/>
    <w:rsid w:val="69F85C4B"/>
    <w:rsid w:val="6A1A02B8"/>
    <w:rsid w:val="6A795D6A"/>
    <w:rsid w:val="6AA94DAB"/>
    <w:rsid w:val="6AD27E0C"/>
    <w:rsid w:val="6ADA4D04"/>
    <w:rsid w:val="6ADE3093"/>
    <w:rsid w:val="6B6B179C"/>
    <w:rsid w:val="6B855C05"/>
    <w:rsid w:val="6BCA186A"/>
    <w:rsid w:val="6C3B435A"/>
    <w:rsid w:val="6CB70830"/>
    <w:rsid w:val="6CD670B7"/>
    <w:rsid w:val="6DD77606"/>
    <w:rsid w:val="6E494CC8"/>
    <w:rsid w:val="6E503B5D"/>
    <w:rsid w:val="6E915BA1"/>
    <w:rsid w:val="6E9F1C59"/>
    <w:rsid w:val="6EC2370A"/>
    <w:rsid w:val="6EFB3C5D"/>
    <w:rsid w:val="6F8A22B2"/>
    <w:rsid w:val="6FB70357"/>
    <w:rsid w:val="710C3399"/>
    <w:rsid w:val="71245578"/>
    <w:rsid w:val="7181291E"/>
    <w:rsid w:val="72B31C71"/>
    <w:rsid w:val="72BB65A7"/>
    <w:rsid w:val="730D4678"/>
    <w:rsid w:val="73C9676A"/>
    <w:rsid w:val="73D2575F"/>
    <w:rsid w:val="74024E83"/>
    <w:rsid w:val="74350415"/>
    <w:rsid w:val="7474343A"/>
    <w:rsid w:val="75F0011F"/>
    <w:rsid w:val="76C8438F"/>
    <w:rsid w:val="76E934EC"/>
    <w:rsid w:val="774D0A1B"/>
    <w:rsid w:val="775E62D7"/>
    <w:rsid w:val="77CD0041"/>
    <w:rsid w:val="78197E01"/>
    <w:rsid w:val="79330A4E"/>
    <w:rsid w:val="7AB1731C"/>
    <w:rsid w:val="7B1B31B9"/>
    <w:rsid w:val="7B2745E3"/>
    <w:rsid w:val="7C5A39C6"/>
    <w:rsid w:val="7E003003"/>
    <w:rsid w:val="7E413C0D"/>
    <w:rsid w:val="7EDC7492"/>
    <w:rsid w:val="7EF864D1"/>
    <w:rsid w:val="7F473C0E"/>
    <w:rsid w:val="7F482D79"/>
    <w:rsid w:val="7F680E86"/>
    <w:rsid w:val="7F7117C1"/>
    <w:rsid w:val="B4FFBFA0"/>
    <w:rsid w:val="BFEFBBC9"/>
    <w:rsid w:val="EDE6A9B4"/>
    <w:rsid w:val="FD99A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 w:line="265" w:lineRule="auto"/>
      <w:ind w:left="10" w:right="103" w:hanging="10"/>
    </w:pPr>
    <w:rPr>
      <w:rFonts w:ascii="微软雅黑" w:hAnsi="微软雅黑" w:eastAsia="微软雅黑" w:cs="微软雅黑"/>
      <w:color w:val="000000"/>
      <w:kern w:val="2"/>
      <w:sz w:val="21"/>
      <w:szCs w:val="22"/>
      <w:lang w:val="en-US" w:eastAsia="zh-CN" w:bidi="ar-SA"/>
    </w:rPr>
  </w:style>
  <w:style w:type="paragraph" w:styleId="2">
    <w:name w:val="heading 1"/>
    <w:next w:val="1"/>
    <w:link w:val="19"/>
    <w:unhideWhenUsed/>
    <w:qFormat/>
    <w:uiPriority w:val="9"/>
    <w:pPr>
      <w:keepNext/>
      <w:keepLines/>
      <w:spacing w:after="155" w:line="265" w:lineRule="auto"/>
      <w:ind w:left="10" w:right="525" w:hanging="10"/>
      <w:jc w:val="center"/>
      <w:outlineLvl w:val="0"/>
    </w:pPr>
    <w:rPr>
      <w:rFonts w:ascii="微软雅黑" w:hAnsi="微软雅黑" w:eastAsia="微软雅黑" w:cs="微软雅黑"/>
      <w:color w:val="000000"/>
      <w:kern w:val="2"/>
      <w:sz w:val="28"/>
      <w:szCs w:val="22"/>
      <w:lang w:val="en-US" w:eastAsia="zh-CN" w:bidi="ar-SA"/>
    </w:rPr>
  </w:style>
  <w:style w:type="paragraph" w:styleId="3">
    <w:name w:val="heading 2"/>
    <w:next w:val="1"/>
    <w:link w:val="16"/>
    <w:unhideWhenUsed/>
    <w:qFormat/>
    <w:uiPriority w:val="9"/>
    <w:pPr>
      <w:keepNext/>
      <w:keepLines/>
      <w:spacing w:after="238" w:line="259" w:lineRule="auto"/>
      <w:ind w:left="2006"/>
      <w:outlineLvl w:val="1"/>
    </w:pPr>
    <w:rPr>
      <w:rFonts w:ascii="黑体" w:hAnsi="黑体" w:eastAsia="黑体" w:cs="黑体"/>
      <w:color w:val="000000"/>
      <w:kern w:val="2"/>
      <w:sz w:val="52"/>
      <w:szCs w:val="22"/>
      <w:lang w:val="en-US" w:eastAsia="zh-CN" w:bidi="ar-SA"/>
    </w:rPr>
  </w:style>
  <w:style w:type="paragraph" w:styleId="4">
    <w:name w:val="heading 3"/>
    <w:next w:val="1"/>
    <w:link w:val="18"/>
    <w:unhideWhenUsed/>
    <w:qFormat/>
    <w:uiPriority w:val="9"/>
    <w:pPr>
      <w:keepNext/>
      <w:keepLines/>
      <w:spacing w:after="155" w:line="265" w:lineRule="auto"/>
      <w:ind w:left="10" w:right="525" w:hanging="10"/>
      <w:jc w:val="center"/>
      <w:outlineLvl w:val="2"/>
    </w:pPr>
    <w:rPr>
      <w:rFonts w:ascii="微软雅黑" w:hAnsi="微软雅黑" w:eastAsia="微软雅黑" w:cs="微软雅黑"/>
      <w:color w:val="000000"/>
      <w:kern w:val="2"/>
      <w:sz w:val="28"/>
      <w:szCs w:val="22"/>
      <w:lang w:val="en-US" w:eastAsia="zh-CN" w:bidi="ar-SA"/>
    </w:rPr>
  </w:style>
  <w:style w:type="paragraph" w:styleId="5">
    <w:name w:val="heading 4"/>
    <w:next w:val="1"/>
    <w:link w:val="17"/>
    <w:unhideWhenUsed/>
    <w:qFormat/>
    <w:uiPriority w:val="9"/>
    <w:pPr>
      <w:keepNext/>
      <w:keepLines/>
      <w:spacing w:after="6" w:line="259" w:lineRule="auto"/>
      <w:ind w:left="426" w:hanging="10"/>
      <w:outlineLvl w:val="3"/>
    </w:pPr>
    <w:rPr>
      <w:rFonts w:ascii="微软雅黑" w:hAnsi="微软雅黑" w:eastAsia="微软雅黑" w:cs="微软雅黑"/>
      <w:color w:val="000000"/>
      <w:kern w:val="2"/>
      <w:sz w:val="26"/>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unhideWhenUsed/>
    <w:qFormat/>
    <w:uiPriority w:val="99"/>
  </w:style>
  <w:style w:type="paragraph" w:styleId="7">
    <w:name w:val="Body Text"/>
    <w:basedOn w:val="1"/>
    <w:link w:val="24"/>
    <w:qFormat/>
    <w:uiPriority w:val="0"/>
    <w:pPr>
      <w:widowControl w:val="0"/>
      <w:spacing w:after="0" w:line="240" w:lineRule="auto"/>
      <w:ind w:left="0" w:right="0" w:firstLine="0"/>
      <w:jc w:val="center"/>
    </w:pPr>
    <w:rPr>
      <w:rFonts w:ascii="宋体" w:hAnsi="宋体" w:eastAsia="宋体" w:cs="Times New Roman"/>
      <w:b/>
      <w:bCs/>
      <w:color w:val="auto"/>
      <w:sz w:val="24"/>
      <w:szCs w:val="24"/>
    </w:rPr>
  </w:style>
  <w:style w:type="paragraph" w:styleId="8">
    <w:name w:val="Balloon Text"/>
    <w:basedOn w:val="1"/>
    <w:link w:val="23"/>
    <w:semiHidden/>
    <w:unhideWhenUsed/>
    <w:qFormat/>
    <w:uiPriority w:val="99"/>
    <w:pPr>
      <w:spacing w:after="0" w:line="240" w:lineRule="auto"/>
    </w:pPr>
    <w:rPr>
      <w:sz w:val="18"/>
      <w:szCs w:val="18"/>
    </w:rPr>
  </w:style>
  <w:style w:type="paragraph" w:styleId="9">
    <w:name w:val="footer"/>
    <w:basedOn w:val="1"/>
    <w:link w:val="21"/>
    <w:unhideWhenUsed/>
    <w:qFormat/>
    <w:uiPriority w:val="99"/>
    <w:pPr>
      <w:tabs>
        <w:tab w:val="center" w:pos="4153"/>
        <w:tab w:val="right" w:pos="8306"/>
      </w:tabs>
      <w:snapToGrid w:val="0"/>
      <w:spacing w:line="240" w:lineRule="auto"/>
    </w:pPr>
    <w:rPr>
      <w:sz w:val="18"/>
      <w:szCs w:val="18"/>
    </w:rPr>
  </w:style>
  <w:style w:type="paragraph" w:styleId="10">
    <w:name w:val="header"/>
    <w:basedOn w:val="1"/>
    <w:link w:val="27"/>
    <w:unhideWhenUsed/>
    <w:qFormat/>
    <w:uiPriority w:val="99"/>
    <w:pPr>
      <w:tabs>
        <w:tab w:val="center" w:pos="4153"/>
        <w:tab w:val="right" w:pos="8306"/>
      </w:tabs>
      <w:snapToGrid w:val="0"/>
      <w:spacing w:line="240" w:lineRule="auto"/>
      <w:jc w:val="center"/>
    </w:pPr>
    <w:rPr>
      <w:sz w:val="18"/>
      <w:szCs w:val="18"/>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styleId="15">
    <w:name w:val="annotation reference"/>
    <w:basedOn w:val="13"/>
    <w:semiHidden/>
    <w:unhideWhenUsed/>
    <w:qFormat/>
    <w:uiPriority w:val="99"/>
    <w:rPr>
      <w:sz w:val="21"/>
      <w:szCs w:val="21"/>
    </w:rPr>
  </w:style>
  <w:style w:type="character" w:customStyle="1" w:styleId="16">
    <w:name w:val="标题 2 字符"/>
    <w:link w:val="3"/>
    <w:qFormat/>
    <w:uiPriority w:val="0"/>
    <w:rPr>
      <w:rFonts w:ascii="黑体" w:hAnsi="黑体" w:eastAsia="黑体" w:cs="黑体"/>
      <w:color w:val="000000"/>
      <w:sz w:val="52"/>
    </w:rPr>
  </w:style>
  <w:style w:type="character" w:customStyle="1" w:styleId="17">
    <w:name w:val="标题 4 字符"/>
    <w:link w:val="5"/>
    <w:qFormat/>
    <w:uiPriority w:val="0"/>
    <w:rPr>
      <w:rFonts w:ascii="微软雅黑" w:hAnsi="微软雅黑" w:eastAsia="微软雅黑" w:cs="微软雅黑"/>
      <w:color w:val="000000"/>
      <w:sz w:val="26"/>
    </w:rPr>
  </w:style>
  <w:style w:type="character" w:customStyle="1" w:styleId="18">
    <w:name w:val="标题 3 字符"/>
    <w:link w:val="4"/>
    <w:qFormat/>
    <w:uiPriority w:val="0"/>
    <w:rPr>
      <w:rFonts w:ascii="微软雅黑" w:hAnsi="微软雅黑" w:eastAsia="微软雅黑" w:cs="微软雅黑"/>
      <w:color w:val="000000"/>
      <w:sz w:val="28"/>
    </w:rPr>
  </w:style>
  <w:style w:type="character" w:customStyle="1" w:styleId="19">
    <w:name w:val="标题 1 字符"/>
    <w:link w:val="2"/>
    <w:qFormat/>
    <w:uiPriority w:val="0"/>
    <w:rPr>
      <w:rFonts w:ascii="微软雅黑" w:hAnsi="微软雅黑" w:eastAsia="微软雅黑" w:cs="微软雅黑"/>
      <w:color w:val="000000"/>
      <w:sz w:val="28"/>
    </w:rPr>
  </w:style>
  <w:style w:type="table" w:customStyle="1" w:styleId="20">
    <w:name w:val="TableGrid"/>
    <w:qFormat/>
    <w:uiPriority w:val="0"/>
    <w:tblPr>
      <w:tblCellMar>
        <w:top w:w="0" w:type="dxa"/>
        <w:left w:w="0" w:type="dxa"/>
        <w:bottom w:w="0" w:type="dxa"/>
        <w:right w:w="0" w:type="dxa"/>
      </w:tblCellMar>
    </w:tblPr>
  </w:style>
  <w:style w:type="character" w:customStyle="1" w:styleId="21">
    <w:name w:val="页脚 字符"/>
    <w:basedOn w:val="13"/>
    <w:link w:val="9"/>
    <w:qFormat/>
    <w:uiPriority w:val="99"/>
    <w:rPr>
      <w:rFonts w:ascii="微软雅黑" w:hAnsi="微软雅黑" w:eastAsia="微软雅黑" w:cs="微软雅黑"/>
      <w:color w:val="000000"/>
      <w:sz w:val="18"/>
      <w:szCs w:val="18"/>
    </w:rPr>
  </w:style>
  <w:style w:type="paragraph" w:customStyle="1" w:styleId="22">
    <w:name w:val="列出段落1"/>
    <w:basedOn w:val="1"/>
    <w:qFormat/>
    <w:uiPriority w:val="34"/>
    <w:pPr>
      <w:ind w:firstLine="420" w:firstLineChars="200"/>
    </w:pPr>
  </w:style>
  <w:style w:type="character" w:customStyle="1" w:styleId="23">
    <w:name w:val="批注框文本 字符"/>
    <w:basedOn w:val="13"/>
    <w:link w:val="8"/>
    <w:semiHidden/>
    <w:qFormat/>
    <w:uiPriority w:val="99"/>
    <w:rPr>
      <w:rFonts w:ascii="微软雅黑" w:hAnsi="微软雅黑" w:eastAsia="微软雅黑" w:cs="微软雅黑"/>
      <w:color w:val="000000"/>
      <w:kern w:val="2"/>
      <w:sz w:val="18"/>
      <w:szCs w:val="18"/>
    </w:rPr>
  </w:style>
  <w:style w:type="character" w:customStyle="1" w:styleId="24">
    <w:name w:val="正文文本 字符"/>
    <w:basedOn w:val="13"/>
    <w:link w:val="7"/>
    <w:qFormat/>
    <w:uiPriority w:val="0"/>
    <w:rPr>
      <w:rFonts w:ascii="宋体" w:hAnsi="宋体" w:eastAsia="宋体" w:cs="Times New Roman"/>
      <w:b/>
      <w:bCs/>
      <w:kern w:val="2"/>
      <w:sz w:val="24"/>
      <w:szCs w:val="24"/>
    </w:rPr>
  </w:style>
  <w:style w:type="paragraph" w:customStyle="1" w:styleId="25">
    <w:name w:val="修订1"/>
    <w:hidden/>
    <w:semiHidden/>
    <w:qFormat/>
    <w:uiPriority w:val="99"/>
    <w:rPr>
      <w:rFonts w:ascii="微软雅黑" w:hAnsi="微软雅黑" w:eastAsia="微软雅黑" w:cs="微软雅黑"/>
      <w:color w:val="000000"/>
      <w:kern w:val="2"/>
      <w:sz w:val="21"/>
      <w:szCs w:val="22"/>
      <w:lang w:val="en-US" w:eastAsia="zh-CN" w:bidi="ar-SA"/>
    </w:rPr>
  </w:style>
  <w:style w:type="paragraph" w:customStyle="1" w:styleId="26">
    <w:name w:val="修订2"/>
    <w:hidden/>
    <w:unhideWhenUsed/>
    <w:qFormat/>
    <w:uiPriority w:val="99"/>
    <w:rPr>
      <w:rFonts w:ascii="微软雅黑" w:hAnsi="微软雅黑" w:eastAsia="微软雅黑" w:cs="微软雅黑"/>
      <w:color w:val="000000"/>
      <w:kern w:val="2"/>
      <w:sz w:val="21"/>
      <w:szCs w:val="22"/>
      <w:lang w:val="en-US" w:eastAsia="zh-CN" w:bidi="ar-SA"/>
    </w:rPr>
  </w:style>
  <w:style w:type="character" w:customStyle="1" w:styleId="27">
    <w:name w:val="页眉 字符"/>
    <w:basedOn w:val="13"/>
    <w:link w:val="10"/>
    <w:qFormat/>
    <w:uiPriority w:val="99"/>
    <w:rPr>
      <w:rFonts w:ascii="微软雅黑" w:hAnsi="微软雅黑" w:eastAsia="微软雅黑" w:cs="微软雅黑"/>
      <w:color w:val="000000"/>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761f41db-4771-4683-8a73-f539699e8bf0</errorID>
      <errorWord>(</errorWord>
      <group>L1_Format</group>
      <groupName>格式问题</groupName>
      <ability>L2_HalfPunc</ability>
      <abilityName>全半角检查</abilityName>
      <candidateList>
        <item>（</item>
      </candidateList>
      <explain>文本全半角错误。</explain>
      <paraID>13092233</paraID>
      <start>14</start>
      <end>15</end>
      <status>unmodified</status>
      <modifiedWord/>
      <trackRevisions>false</trackRevisions>
    </reviewItem>
    <reviewItem>
      <errorID>1fb3e733-abeb-4dca-9e7d-949016e8176d</errorID>
      <errorWord>)</errorWord>
      <group>L1_Format</group>
      <groupName>格式问题</groupName>
      <ability>L2_HalfPunc</ability>
      <abilityName>全半角检查</abilityName>
      <candidateList>
        <item>）</item>
      </candidateList>
      <explain>文本全半角错误。</explain>
      <paraID>13092233</paraID>
      <start>25</start>
      <end>26</end>
      <status>unmodified</status>
      <modifiedWord/>
      <trackRevisions>false</trackRevisions>
    </reviewItem>
  </reviewItems>
  <config/>
</contractReview>
</file>

<file path=customXml/item3.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4E84D1-402E-4E3C-8B09-A86D248E60C6}">
  <ds:schemaRefs/>
</ds:datastoreItem>
</file>

<file path=customXml/itemProps3.xml><?xml version="1.0" encoding="utf-8"?>
<ds:datastoreItem xmlns:ds="http://schemas.openxmlformats.org/officeDocument/2006/customXml" ds:itemID="{2A3EB58B-123E-4359-97A0-02DB43EF7D88}">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1484</Words>
  <Characters>1493</Characters>
  <Lines>38</Lines>
  <Paragraphs>32</Paragraphs>
  <TotalTime>0</TotalTime>
  <ScaleCrop>false</ScaleCrop>
  <LinksUpToDate>false</LinksUpToDate>
  <CharactersWithSpaces>1514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2026-01-13T15:52:00Z</dcterms:created>
  <dc:creator>dell-pc</dc:creator>
  <cp:lastModifiedBy>maojie</cp:lastModifiedBy>
  <dcterms:modified xsi:type="dcterms:W3CDTF">2026-01-15T01:38:06Z</dcterms:modified>
  <dc:title>C:\Users\dell-pc\Desktop\新建文件夹\zlj160815-zw.docx</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eyJoZGlkIjoiYmJiNDY5ODA2NTFiODdlMmM3NTkwZGM3Y2QwMzI4NDYiLCJ1c2VySWQiOiIyNDk0NzU3ODcifQ==</vt:lpwstr>
  </property>
  <property fmtid="{D5CDD505-2E9C-101B-9397-08002B2CF9AE}" pid="4" name="ICV">
    <vt:lpwstr>75A76170BCE14DC3ACAF4F655D1AF686_13</vt:lpwstr>
  </property>
</Properties>
</file>