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CBA950">
      <w:pPr>
        <w:snapToGrid w:val="0"/>
        <w:spacing w:line="560" w:lineRule="exact"/>
        <w:ind w:firstLine="640" w:firstLineChars="200"/>
        <w:jc w:val="right"/>
        <w:rPr>
          <w:rFonts w:hint="eastAsia" w:ascii="FangSong_GB2312" w:hAnsi="FangSong_GB2312" w:eastAsia="FangSong_GB2312" w:cs="FangSong_GB2312"/>
          <w:color w:val="000000"/>
          <w:sz w:val="32"/>
          <w:szCs w:val="32"/>
        </w:rPr>
      </w:pPr>
      <w:bookmarkStart w:id="0" w:name="_GoBack"/>
      <w:bookmarkEnd w:id="0"/>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38</w:t>
      </w:r>
      <w:r>
        <w:rPr>
          <w:rFonts w:hint="eastAsia" w:ascii="FangSong_GB2312" w:hAnsi="FangSong_GB2312" w:eastAsia="FangSong_GB2312" w:cs="FangSong_GB2312"/>
          <w:color w:val="000000"/>
          <w:sz w:val="32"/>
          <w:szCs w:val="32"/>
        </w:rPr>
        <w:t>号</w:t>
      </w:r>
    </w:p>
    <w:p w14:paraId="20A5D4E6">
      <w:pPr>
        <w:spacing w:line="560" w:lineRule="exact"/>
        <w:jc w:val="both"/>
        <w:rPr>
          <w:rFonts w:hint="eastAsia" w:ascii="方正小标宋简体" w:eastAsia="方正小标宋简体"/>
          <w:sz w:val="36"/>
          <w:szCs w:val="36"/>
        </w:rPr>
      </w:pPr>
    </w:p>
    <w:p w14:paraId="2E5B099C">
      <w:pPr>
        <w:spacing w:line="560" w:lineRule="exact"/>
        <w:jc w:val="center"/>
        <w:rPr>
          <w:rFonts w:hint="eastAsia" w:ascii="方正小标宋简体" w:eastAsia="方正小标宋简体"/>
          <w:sz w:val="36"/>
          <w:szCs w:val="36"/>
        </w:rPr>
      </w:pPr>
      <w:r>
        <w:rPr>
          <w:rFonts w:hint="eastAsia" w:ascii="方正小标宋简体" w:eastAsia="方正小标宋简体"/>
          <w:sz w:val="36"/>
          <w:szCs w:val="36"/>
        </w:rPr>
        <w:t>清华大学深圳国际研究生院深圳市财政科研项目</w:t>
      </w:r>
    </w:p>
    <w:p w14:paraId="10309EC9">
      <w:pPr>
        <w:spacing w:line="560" w:lineRule="exact"/>
        <w:jc w:val="center"/>
        <w:rPr>
          <w:rFonts w:hint="eastAsia" w:ascii="方正小标宋简体" w:eastAsia="方正小标宋简体"/>
          <w:sz w:val="36"/>
          <w:szCs w:val="36"/>
        </w:rPr>
      </w:pPr>
      <w:r>
        <w:rPr>
          <w:rFonts w:hint="eastAsia" w:ascii="方正小标宋简体" w:eastAsia="方正小标宋简体"/>
          <w:sz w:val="36"/>
          <w:szCs w:val="36"/>
        </w:rPr>
        <w:t>资金管理办法</w:t>
      </w:r>
    </w:p>
    <w:p w14:paraId="21600250">
      <w:pPr>
        <w:spacing w:before="120" w:beforeLines="50" w:after="120" w:afterLines="50" w:line="480" w:lineRule="exact"/>
        <w:jc w:val="distribute"/>
        <w:rPr>
          <w:rFonts w:hint="eastAsia" w:ascii="仿宋_GB2312" w:hAnsi="宋体" w:eastAsia="仿宋_GB2312"/>
          <w:sz w:val="32"/>
          <w:szCs w:val="32"/>
          <w:lang w:eastAsia="zh-CN"/>
        </w:rPr>
      </w:pPr>
      <w:r>
        <w:rPr>
          <w:rFonts w:hint="eastAsia" w:ascii="仿宋_GB2312" w:hAnsi="宋体" w:eastAsia="仿宋_GB2312"/>
          <w:sz w:val="32"/>
          <w:szCs w:val="32"/>
          <w:lang w:eastAsia="zh-CN"/>
        </w:rPr>
        <w:t>二〇二</w:t>
      </w:r>
      <w:r>
        <w:rPr>
          <w:rFonts w:hint="eastAsia" w:ascii="仿宋_GB2312" w:hAnsi="宋体" w:eastAsia="仿宋_GB2312"/>
          <w:sz w:val="32"/>
          <w:szCs w:val="32"/>
          <w:lang w:val="en-US" w:eastAsia="zh-CN"/>
        </w:rPr>
        <w:t>六</w:t>
      </w:r>
      <w:r>
        <w:rPr>
          <w:rFonts w:hint="eastAsia" w:ascii="仿宋_GB2312" w:hAnsi="宋体" w:eastAsia="仿宋_GB2312"/>
          <w:sz w:val="32"/>
          <w:szCs w:val="32"/>
          <w:lang w:eastAsia="zh-CN"/>
        </w:rPr>
        <w:t>年第</w:t>
      </w:r>
      <w:r>
        <w:rPr>
          <w:rFonts w:hint="eastAsia" w:ascii="仿宋_GB2312" w:hAnsi="宋体" w:eastAsia="仿宋_GB2312"/>
          <w:sz w:val="32"/>
          <w:szCs w:val="32"/>
          <w:lang w:val="en-US" w:eastAsia="zh-CN"/>
        </w:rPr>
        <w:t>三</w:t>
      </w:r>
      <w:r>
        <w:rPr>
          <w:rFonts w:hint="eastAsia" w:ascii="仿宋_GB2312" w:hAnsi="宋体" w:eastAsia="仿宋_GB2312"/>
          <w:sz w:val="32"/>
          <w:szCs w:val="32"/>
          <w:lang w:eastAsia="zh-CN"/>
        </w:rPr>
        <w:t>次党政联席会议（202</w:t>
      </w:r>
      <w:r>
        <w:rPr>
          <w:rFonts w:hint="eastAsia" w:ascii="仿宋_GB2312" w:hAnsi="宋体" w:eastAsia="仿宋_GB2312"/>
          <w:sz w:val="32"/>
          <w:szCs w:val="32"/>
          <w:lang w:val="en-US" w:eastAsia="zh-CN"/>
        </w:rPr>
        <w:t>6</w:t>
      </w:r>
      <w:r>
        <w:rPr>
          <w:rFonts w:hint="eastAsia" w:ascii="仿宋_GB2312" w:hAnsi="宋体" w:eastAsia="仿宋_GB2312"/>
          <w:sz w:val="32"/>
          <w:szCs w:val="32"/>
          <w:lang w:eastAsia="zh-CN"/>
        </w:rPr>
        <w:t>年</w:t>
      </w:r>
      <w:r>
        <w:rPr>
          <w:rFonts w:hint="eastAsia" w:ascii="仿宋_GB2312" w:hAnsi="宋体" w:eastAsia="仿宋_GB2312"/>
          <w:sz w:val="32"/>
          <w:szCs w:val="32"/>
          <w:lang w:val="en-US" w:eastAsia="zh-CN"/>
        </w:rPr>
        <w:t>1</w:t>
      </w:r>
      <w:r>
        <w:rPr>
          <w:rFonts w:hint="eastAsia" w:ascii="仿宋_GB2312" w:hAnsi="宋体" w:eastAsia="仿宋_GB2312"/>
          <w:sz w:val="32"/>
          <w:szCs w:val="32"/>
          <w:lang w:eastAsia="zh-CN"/>
        </w:rPr>
        <w:t>月</w:t>
      </w:r>
      <w:r>
        <w:rPr>
          <w:rFonts w:hint="eastAsia" w:ascii="仿宋_GB2312" w:hAnsi="宋体" w:eastAsia="仿宋_GB2312"/>
          <w:sz w:val="32"/>
          <w:szCs w:val="32"/>
          <w:lang w:val="en-US" w:eastAsia="zh-CN"/>
        </w:rPr>
        <w:t>19</w:t>
      </w:r>
      <w:r>
        <w:rPr>
          <w:rFonts w:hint="eastAsia" w:ascii="仿宋_GB2312" w:hAnsi="宋体" w:eastAsia="仿宋_GB2312"/>
          <w:sz w:val="32"/>
          <w:szCs w:val="32"/>
          <w:lang w:eastAsia="zh-CN"/>
        </w:rPr>
        <w:t>日）审议通过</w:t>
      </w:r>
    </w:p>
    <w:p w14:paraId="781AC73E">
      <w:pPr>
        <w:jc w:val="left"/>
        <w:rPr>
          <w:rFonts w:hint="eastAsia"/>
          <w:sz w:val="28"/>
          <w:szCs w:val="28"/>
        </w:rPr>
      </w:pPr>
    </w:p>
    <w:p w14:paraId="6A81DA7A">
      <w:pPr>
        <w:spacing w:line="560" w:lineRule="exact"/>
        <w:ind w:firstLine="0" w:firstLineChars="0"/>
        <w:jc w:val="center"/>
        <w:rPr>
          <w:rFonts w:hint="eastAsia" w:ascii="黑体" w:hAnsi="黑体" w:eastAsia="黑体" w:cs="宋体"/>
          <w:sz w:val="32"/>
          <w:szCs w:val="32"/>
        </w:rPr>
      </w:pPr>
      <w:r>
        <w:rPr>
          <w:rFonts w:hint="eastAsia" w:ascii="黑体" w:hAnsi="黑体" w:eastAsia="黑体" w:cs="宋体"/>
          <w:sz w:val="32"/>
          <w:szCs w:val="32"/>
        </w:rPr>
        <w:t>第一章 总则</w:t>
      </w:r>
    </w:p>
    <w:p w14:paraId="6D1544AC">
      <w:pPr>
        <w:spacing w:line="560" w:lineRule="exact"/>
        <w:ind w:firstLine="643" w:firstLineChars="200"/>
        <w:jc w:val="left"/>
        <w:rPr>
          <w:rFonts w:hint="eastAsia" w:ascii="仿宋_GB2312" w:hAnsi="宋体" w:eastAsia="仿宋_GB2312" w:cs="宋体"/>
          <w:sz w:val="32"/>
          <w:szCs w:val="32"/>
        </w:rPr>
      </w:pPr>
      <w:r>
        <w:rPr>
          <w:rFonts w:hint="eastAsia" w:ascii="仿宋_GB2312" w:hAnsi="宋体" w:eastAsia="仿宋_GB2312" w:cs="宋体"/>
          <w:b/>
          <w:bCs/>
          <w:sz w:val="32"/>
          <w:szCs w:val="32"/>
        </w:rPr>
        <w:t>第一条</w:t>
      </w:r>
      <w:r>
        <w:rPr>
          <w:rFonts w:hint="eastAsia" w:ascii="仿宋_GB2312" w:hAnsi="宋体" w:eastAsia="仿宋_GB2312" w:cs="宋体"/>
          <w:sz w:val="32"/>
          <w:szCs w:val="32"/>
        </w:rPr>
        <w:t xml:space="preserve"> 为了规范深圳市财政科研经费的使用管理，加强绩效管理、提高科研经费使用效益，根据《深圳市人民政府办公厅关于改革完善市级财政科研经费投入与使用管理的实施意见》《深圳市科技研发资金管理办法》等相关规定，结合清华大学深圳国际研究生院（以下简称学院）实际，制定本办法。</w:t>
      </w:r>
    </w:p>
    <w:p w14:paraId="03D28A2D">
      <w:pPr>
        <w:spacing w:line="560" w:lineRule="exact"/>
        <w:ind w:firstLine="643" w:firstLineChars="200"/>
        <w:jc w:val="left"/>
        <w:rPr>
          <w:rFonts w:hint="eastAsia" w:ascii="仿宋_GB2312" w:hAnsi="宋体" w:eastAsia="仿宋_GB2312" w:cs="宋体"/>
          <w:sz w:val="32"/>
          <w:szCs w:val="32"/>
        </w:rPr>
      </w:pPr>
      <w:r>
        <w:rPr>
          <w:rFonts w:hint="eastAsia" w:ascii="仿宋_GB2312" w:hAnsi="宋体" w:eastAsia="仿宋_GB2312" w:cs="宋体"/>
          <w:b/>
          <w:bCs/>
          <w:sz w:val="32"/>
          <w:szCs w:val="32"/>
        </w:rPr>
        <w:t>第二条</w:t>
      </w:r>
      <w:r>
        <w:rPr>
          <w:rFonts w:hint="eastAsia" w:ascii="仿宋_GB2312" w:hAnsi="宋体" w:eastAsia="仿宋_GB2312" w:cs="宋体"/>
          <w:sz w:val="32"/>
          <w:szCs w:val="32"/>
        </w:rPr>
        <w:t xml:space="preserve"> 本办法适用于学院承担的由深圳市财政资金支持的预算制科研资助项目(以下简称项目)资金管理。</w:t>
      </w:r>
    </w:p>
    <w:p w14:paraId="2654C5A6">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从其他渠道获得的深圳市财政科研资助项目资金管理按照深圳市以及学院相关规定和相关资金提供方的具体要求统筹安排和使用。</w:t>
      </w:r>
    </w:p>
    <w:p w14:paraId="1BE67CA9">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学院承担的包干制方式支持的深圳市自然科学基金计划青年项目、软科学项目等执行学院包干制科研项目资金管理相关规定。</w:t>
      </w:r>
    </w:p>
    <w:p w14:paraId="2316BF41">
      <w:pPr>
        <w:numPr>
          <w:ilvl w:val="0"/>
          <w:numId w:val="1"/>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项目资金纳入学院预算统一管理，单独核算、专款专用。</w:t>
      </w:r>
    </w:p>
    <w:p w14:paraId="5F6BB2AD">
      <w:pPr>
        <w:spacing w:line="560" w:lineRule="exact"/>
        <w:ind w:firstLine="0" w:firstLineChars="0"/>
        <w:jc w:val="center"/>
        <w:rPr>
          <w:rFonts w:hint="eastAsia" w:ascii="黑体" w:hAnsi="黑体" w:eastAsia="黑体" w:cs="宋体"/>
          <w:sz w:val="32"/>
          <w:szCs w:val="32"/>
        </w:rPr>
      </w:pPr>
      <w:r>
        <w:rPr>
          <w:rFonts w:hint="eastAsia" w:ascii="黑体" w:hAnsi="黑体" w:eastAsia="黑体" w:cs="宋体"/>
          <w:sz w:val="32"/>
          <w:szCs w:val="32"/>
        </w:rPr>
        <w:t>第二章 管理机构与职责</w:t>
      </w:r>
    </w:p>
    <w:p w14:paraId="7E4ACFC6">
      <w:pPr>
        <w:numPr>
          <w:ilvl w:val="0"/>
          <w:numId w:val="1"/>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财务办公室负责项目资金的财务管理和会计核算工作，科研处在职责范围内分工负责项目资金管理相关工作。</w:t>
      </w:r>
    </w:p>
    <w:p w14:paraId="6699A084">
      <w:pPr>
        <w:spacing w:line="560" w:lineRule="exact"/>
        <w:ind w:firstLine="643" w:firstLineChars="200"/>
        <w:jc w:val="left"/>
        <w:rPr>
          <w:rFonts w:hint="eastAsia" w:ascii="仿宋_GB2312" w:hAnsi="宋体" w:eastAsia="仿宋_GB2312" w:cs="宋体"/>
          <w:sz w:val="32"/>
          <w:szCs w:val="32"/>
        </w:rPr>
      </w:pPr>
      <w:r>
        <w:rPr>
          <w:rFonts w:hint="eastAsia" w:ascii="仿宋_GB2312" w:hAnsi="宋体" w:eastAsia="仿宋_GB2312" w:cs="宋体"/>
          <w:b/>
          <w:bCs/>
          <w:sz w:val="32"/>
          <w:szCs w:val="32"/>
        </w:rPr>
        <w:t>第五条</w:t>
      </w:r>
      <w:r>
        <w:rPr>
          <w:rFonts w:hint="eastAsia" w:ascii="仿宋_GB2312" w:hAnsi="宋体" w:eastAsia="仿宋_GB2312" w:cs="宋体"/>
          <w:sz w:val="32"/>
          <w:szCs w:val="32"/>
        </w:rPr>
        <w:t xml:space="preserve"> </w:t>
      </w:r>
      <w:r>
        <w:rPr>
          <w:rFonts w:hint="eastAsia" w:ascii="仿宋_GB2312" w:hAnsi="宋体" w:eastAsia="仿宋_GB2312" w:cs="宋体"/>
          <w:sz w:val="32"/>
          <w:szCs w:val="32"/>
          <w:lang w:val="en-US" w:eastAsia="zh-CN"/>
        </w:rPr>
        <w:t>各</w:t>
      </w:r>
      <w:r>
        <w:rPr>
          <w:rFonts w:hint="eastAsia" w:ascii="仿宋_GB2312" w:hAnsi="宋体" w:eastAsia="仿宋_GB2312" w:cs="宋体"/>
          <w:sz w:val="32"/>
          <w:szCs w:val="32"/>
        </w:rPr>
        <w:t>教学科研机构对本单位项目资金的使用承担具体管理责任。</w:t>
      </w:r>
    </w:p>
    <w:p w14:paraId="5C4C6EDE">
      <w:pPr>
        <w:spacing w:line="560" w:lineRule="exact"/>
        <w:ind w:firstLine="643" w:firstLineChars="200"/>
        <w:jc w:val="left"/>
        <w:rPr>
          <w:rFonts w:hint="eastAsia" w:ascii="仿宋_GB2312" w:hAnsi="宋体" w:eastAsia="仿宋_GB2312" w:cs="宋体"/>
          <w:sz w:val="32"/>
          <w:szCs w:val="32"/>
        </w:rPr>
      </w:pPr>
      <w:r>
        <w:rPr>
          <w:rFonts w:hint="eastAsia" w:ascii="仿宋_GB2312" w:hAnsi="宋体" w:eastAsia="仿宋_GB2312" w:cs="宋体"/>
          <w:b/>
          <w:bCs/>
          <w:sz w:val="32"/>
          <w:szCs w:val="32"/>
        </w:rPr>
        <w:t>第六条</w:t>
      </w:r>
      <w:r>
        <w:rPr>
          <w:rFonts w:hint="eastAsia" w:ascii="仿宋_GB2312" w:hAnsi="宋体" w:eastAsia="仿宋_GB2312" w:cs="宋体"/>
          <w:sz w:val="32"/>
          <w:szCs w:val="32"/>
        </w:rPr>
        <w:t xml:space="preserve"> 项目负责人为项目资金使用的直接责任人，对资金使用的合规性、合理性、真实性、相关性负责。</w:t>
      </w:r>
    </w:p>
    <w:p w14:paraId="42A8A766">
      <w:pPr>
        <w:spacing w:line="560" w:lineRule="exact"/>
        <w:ind w:firstLine="0" w:firstLineChars="0"/>
        <w:jc w:val="center"/>
        <w:rPr>
          <w:rFonts w:hint="eastAsia" w:ascii="黑体" w:hAnsi="黑体" w:eastAsia="黑体" w:cs="宋体"/>
          <w:sz w:val="32"/>
          <w:szCs w:val="32"/>
        </w:rPr>
      </w:pPr>
      <w:r>
        <w:rPr>
          <w:rFonts w:hint="eastAsia" w:ascii="黑体" w:hAnsi="黑体" w:eastAsia="黑体" w:cs="宋体"/>
          <w:sz w:val="32"/>
          <w:szCs w:val="32"/>
        </w:rPr>
        <w:t>第三章 项目资金开支范围</w:t>
      </w:r>
    </w:p>
    <w:p w14:paraId="17333747">
      <w:pPr>
        <w:spacing w:line="560" w:lineRule="exact"/>
        <w:ind w:firstLine="643" w:firstLineChars="200"/>
        <w:jc w:val="left"/>
        <w:rPr>
          <w:rFonts w:hint="eastAsia" w:ascii="仿宋_GB2312" w:hAnsi="宋体" w:eastAsia="仿宋_GB2312" w:cs="宋体"/>
          <w:sz w:val="32"/>
          <w:szCs w:val="32"/>
        </w:rPr>
      </w:pPr>
      <w:r>
        <w:rPr>
          <w:rFonts w:hint="eastAsia" w:ascii="仿宋_GB2312" w:hAnsi="宋体" w:eastAsia="仿宋_GB2312" w:cs="宋体"/>
          <w:b/>
          <w:bCs/>
          <w:sz w:val="32"/>
          <w:szCs w:val="32"/>
        </w:rPr>
        <w:t>第七条</w:t>
      </w:r>
      <w:r>
        <w:rPr>
          <w:rFonts w:hint="eastAsia" w:ascii="仿宋_GB2312" w:hAnsi="宋体" w:eastAsia="仿宋_GB2312" w:cs="宋体"/>
          <w:sz w:val="32"/>
          <w:szCs w:val="32"/>
        </w:rPr>
        <w:t xml:space="preserve"> 项目资金由直接费用和间接费用组成。</w:t>
      </w:r>
    </w:p>
    <w:p w14:paraId="1ED5BEC4">
      <w:pPr>
        <w:spacing w:line="560" w:lineRule="exact"/>
        <w:ind w:firstLine="643" w:firstLineChars="200"/>
        <w:jc w:val="left"/>
        <w:rPr>
          <w:rFonts w:hint="eastAsia" w:ascii="仿宋_GB2312" w:hAnsi="宋体" w:eastAsia="仿宋_GB2312" w:cs="宋体"/>
          <w:sz w:val="32"/>
          <w:szCs w:val="32"/>
        </w:rPr>
      </w:pPr>
      <w:r>
        <w:rPr>
          <w:rFonts w:hint="eastAsia" w:ascii="仿宋_GB2312" w:hAnsi="宋体" w:eastAsia="仿宋_GB2312" w:cs="宋体"/>
          <w:b/>
          <w:bCs/>
          <w:sz w:val="32"/>
          <w:szCs w:val="32"/>
        </w:rPr>
        <w:t>第八条</w:t>
      </w:r>
      <w:r>
        <w:rPr>
          <w:rFonts w:hint="eastAsia" w:ascii="仿宋_GB2312" w:hAnsi="宋体" w:eastAsia="仿宋_GB2312" w:cs="宋体"/>
          <w:sz w:val="32"/>
          <w:szCs w:val="32"/>
        </w:rPr>
        <w:t xml:space="preserve"> 直接费用是指在项目实施过程中发生的与之直接相关的费用，主要包括:</w:t>
      </w:r>
    </w:p>
    <w:p w14:paraId="4F3E56FE">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一</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设备费：主要列支项目实施过程中购置或试制专用仪器设备，对现有仪器设备进行升级改造，以及租赁外单位仪器设备而发生的费用。项目直接相关的计算类仪器设备和软件工具可在设备费科目列支。</w:t>
      </w:r>
    </w:p>
    <w:p w14:paraId="0D70A9DF">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二</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业务费：主要列支项目实施过程中发生的材料、测试化验加工、燃料动力、差旅/会议/国际合作交流、出版/文献/信息传播/知识产权事务等费用，以及其他相关费用。</w:t>
      </w:r>
    </w:p>
    <w:p w14:paraId="24ADC8BC">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三</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人力资源费：在项目实施过程中支付给参与项目研究的科研人员、科研辅助人员的人员费或劳务费，以及专家咨询费。</w:t>
      </w:r>
    </w:p>
    <w:p w14:paraId="69909E82">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人力资源费列支应结合相关人员参与项目的全时工作时间、工作任务等因素合理确定。项目承担单位列入项目合同书或者任务书的项目组成员（不含预算管理单位在编人员）人员费（即工资性支出）、项目聘用人员劳务费的开支标准，参照市统计部门公布的科学研究和技术服务业从业人员平均工资水平确定。专家咨询费是指在项目研究过程中支付给临时聘请的咨询专家的费用。</w:t>
      </w:r>
    </w:p>
    <w:p w14:paraId="4790D908">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间接费用是指项目承担单位在组织实施项目过程中发生的无法在直接费用中列支的相关费用，包括单位水电暖等消耗、管理费用、绩效支出等三项。</w:t>
      </w:r>
    </w:p>
    <w:p w14:paraId="2B8ADDE5">
      <w:pPr>
        <w:numPr>
          <w:ilvl w:val="-1"/>
          <w:numId w:val="0"/>
        </w:numPr>
        <w:spacing w:line="560" w:lineRule="exact"/>
        <w:ind w:firstLine="0" w:firstLineChars="0"/>
        <w:jc w:val="center"/>
        <w:rPr>
          <w:rFonts w:hint="eastAsia" w:ascii="黑体" w:hAnsi="黑体" w:eastAsia="黑体" w:cs="宋体"/>
          <w:sz w:val="32"/>
          <w:szCs w:val="32"/>
        </w:rPr>
      </w:pPr>
      <w:r>
        <w:rPr>
          <w:rFonts w:hint="eastAsia" w:ascii="黑体" w:hAnsi="黑体" w:eastAsia="黑体" w:cs="宋体"/>
          <w:sz w:val="32"/>
          <w:szCs w:val="32"/>
          <w:lang w:val="en-US" w:eastAsia="zh-CN"/>
        </w:rPr>
        <w:t xml:space="preserve">第四章 </w:t>
      </w:r>
      <w:r>
        <w:rPr>
          <w:rFonts w:hint="eastAsia" w:ascii="黑体" w:hAnsi="黑体" w:eastAsia="黑体" w:cs="宋体"/>
          <w:sz w:val="32"/>
          <w:szCs w:val="32"/>
        </w:rPr>
        <w:t>预算编制</w:t>
      </w:r>
    </w:p>
    <w:p w14:paraId="1B7051AC">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项目预算由收入预算与支出预算构成。项目负责人应当根据项目研究开发任务的特点和实际需要，按照政策相符性、目标相关性和经济合理性原则，科学、合理、真实地编制预算，做到收支平衡。</w:t>
      </w:r>
    </w:p>
    <w:p w14:paraId="6B3A2A2C">
      <w:pPr>
        <w:spacing w:line="560" w:lineRule="exact"/>
        <w:ind w:firstLine="640" w:firstLineChars="200"/>
        <w:jc w:val="left"/>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lang w:eastAsia="zh-CN"/>
        </w:rPr>
        <w:t>（</w:t>
      </w:r>
      <w:r>
        <w:rPr>
          <w:rFonts w:hint="eastAsia" w:ascii="仿宋_GB2312" w:hAnsi="宋体" w:eastAsia="仿宋_GB2312" w:cs="宋体"/>
          <w:sz w:val="32"/>
          <w:szCs w:val="32"/>
          <w:highlight w:val="none"/>
        </w:rPr>
        <w:t>一</w:t>
      </w:r>
      <w:r>
        <w:rPr>
          <w:rFonts w:hint="eastAsia" w:ascii="仿宋_GB2312" w:hAnsi="宋体" w:eastAsia="仿宋_GB2312" w:cs="宋体"/>
          <w:sz w:val="32"/>
          <w:szCs w:val="32"/>
          <w:highlight w:val="none"/>
          <w:lang w:eastAsia="zh-CN"/>
        </w:rPr>
        <w:t>）</w:t>
      </w:r>
      <w:r>
        <w:rPr>
          <w:rFonts w:hint="eastAsia" w:ascii="仿宋_GB2312" w:hAnsi="宋体" w:eastAsia="仿宋_GB2312" w:cs="宋体"/>
          <w:sz w:val="32"/>
          <w:szCs w:val="32"/>
          <w:highlight w:val="none"/>
        </w:rPr>
        <w:t>收入预算按照深圳市财政资助的资金以及从其他渠道获得的资金总额填列。对于其他来源资金，应当充分考虑各渠道的情况，并提供出资证明，不得使用货币资金之外的资产或其他财政资金作为资金来源。</w:t>
      </w:r>
    </w:p>
    <w:p w14:paraId="44DE5246">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二</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支出预算根据项目需求，按照项目资金开支范围编列。</w:t>
      </w:r>
    </w:p>
    <w:p w14:paraId="7453A62C">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直接费用中除50万元及以上的设备费外，其他费用只提供基本测算说明，不需提供明细。</w:t>
      </w:r>
    </w:p>
    <w:p w14:paraId="005DFB65">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编制项目预算原则上应当以现行政策规定比例的上限编制间接费用。间接费用实行总额控制,按照不超过直接费用扣除设备费后的30%核定,对数学等纯理论基础研究项目,间接费用比例不超过60%。</w:t>
      </w:r>
    </w:p>
    <w:p w14:paraId="20957DF4">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绩效支出安排与科研人员在项目工作中的实际贡献挂钩，并向创新绩效突出的团队和个人倾斜，绩效支出只能用于项目组成员。</w:t>
      </w:r>
    </w:p>
    <w:p w14:paraId="129FCCE3">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项目预算经项目承担教学科研机构、科研处、财务办公室审核后报项目主管部门审批。</w:t>
      </w:r>
    </w:p>
    <w:p w14:paraId="7DEB235C">
      <w:pPr>
        <w:spacing w:line="560" w:lineRule="exact"/>
        <w:ind w:left="0" w:leftChars="0" w:firstLine="0" w:firstLineChars="0"/>
        <w:jc w:val="center"/>
        <w:rPr>
          <w:rFonts w:hint="eastAsia" w:ascii="黑体" w:hAnsi="黑体" w:eastAsia="黑体" w:cs="宋体"/>
          <w:sz w:val="32"/>
          <w:szCs w:val="32"/>
        </w:rPr>
      </w:pPr>
      <w:r>
        <w:rPr>
          <w:rFonts w:hint="eastAsia" w:ascii="黑体" w:hAnsi="黑体" w:eastAsia="黑体" w:cs="宋体"/>
          <w:sz w:val="32"/>
          <w:szCs w:val="32"/>
        </w:rPr>
        <w:t>第五章 预算执行</w:t>
      </w:r>
    </w:p>
    <w:p w14:paraId="1003FEE8">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学院作为项目承担单位的，按照研究进度及时向项目参与单位拨付资金。学院作为项目参与单位的，不再向外转拨资金。</w:t>
      </w:r>
    </w:p>
    <w:p w14:paraId="66DCE326">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项目资金应当严格按照相关规定、结合项目实施计划和科研活动的实际需要合理使用。</w:t>
      </w:r>
    </w:p>
    <w:p w14:paraId="42F715A5">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项目负责人应当按照下达的预算执行。项目预算确有必要调剂的，应当按照以下调剂范围和权限，履行相关程序:</w:t>
      </w:r>
    </w:p>
    <w:p w14:paraId="54C26540">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一</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项目总预算不变的情况下,设备费和间接费用均由项目承担单位按照实际需要自主调剂，履行以下审批程序:</w:t>
      </w:r>
    </w:p>
    <w:p w14:paraId="3C63FC2B">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1</w:t>
      </w:r>
      <w:r>
        <w:rPr>
          <w:rFonts w:hint="eastAsia" w:ascii="仿宋_GB2312" w:hAnsi="宋体" w:eastAsia="仿宋_GB2312" w:cs="宋体"/>
          <w:sz w:val="32"/>
          <w:szCs w:val="32"/>
          <w:lang w:val="en-US" w:eastAsia="zh-CN"/>
        </w:rPr>
        <w:t>.</w:t>
      </w:r>
      <w:r>
        <w:rPr>
          <w:rFonts w:hint="eastAsia" w:ascii="仿宋_GB2312" w:hAnsi="宋体" w:eastAsia="仿宋_GB2312" w:cs="宋体"/>
          <w:sz w:val="32"/>
          <w:szCs w:val="32"/>
        </w:rPr>
        <w:t>设备费预算总额调整、设备费内部预算结构调整、拟购置设备品目变动的，由项目负责人提出申请，经项目承担教学科研机构审核同意，报科研处、财务办公室共同审批后，按照主管部门的相关规定执行。</w:t>
      </w:r>
    </w:p>
    <w:p w14:paraId="2C55A122">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2</w:t>
      </w:r>
      <w:r>
        <w:rPr>
          <w:rFonts w:hint="eastAsia" w:ascii="仿宋_GB2312" w:hAnsi="宋体" w:eastAsia="仿宋_GB2312" w:cs="宋体"/>
          <w:sz w:val="32"/>
          <w:szCs w:val="32"/>
          <w:lang w:val="en-US" w:eastAsia="zh-CN"/>
        </w:rPr>
        <w:t>.</w:t>
      </w:r>
      <w:r>
        <w:rPr>
          <w:rFonts w:hint="eastAsia" w:ascii="仿宋_GB2312" w:hAnsi="宋体" w:eastAsia="仿宋_GB2312" w:cs="宋体"/>
          <w:sz w:val="32"/>
          <w:szCs w:val="32"/>
        </w:rPr>
        <w:t>除设备费外的其他直接费用调剂权全部下放给项目负责人,由项目负责人根据科研项目实际自主安排，在项目研制周期内自行调剂。</w:t>
      </w:r>
    </w:p>
    <w:p w14:paraId="674D875A">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3</w:t>
      </w:r>
      <w:r>
        <w:rPr>
          <w:rFonts w:hint="eastAsia" w:ascii="仿宋_GB2312" w:hAnsi="宋体" w:eastAsia="仿宋_GB2312" w:cs="宋体"/>
          <w:sz w:val="32"/>
          <w:szCs w:val="32"/>
          <w:lang w:val="en-US" w:eastAsia="zh-CN"/>
        </w:rPr>
        <w:t>.</w:t>
      </w:r>
      <w:r>
        <w:rPr>
          <w:rFonts w:hint="eastAsia" w:ascii="仿宋_GB2312" w:hAnsi="宋体" w:eastAsia="仿宋_GB2312" w:cs="宋体"/>
          <w:sz w:val="32"/>
          <w:szCs w:val="32"/>
        </w:rPr>
        <w:t>间接费用可在核定比例范围内调增、调减，调剂后的间接费用应当符合本办法第十条总额控制的要求。间接费的调整，由项目负责人提出申请，报财务办公室、科研处共同审批后，报主管部门备案。</w:t>
      </w:r>
    </w:p>
    <w:p w14:paraId="3F3BED5F">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项目应当按照相关规定配备科研财务助理，科研财务助理所需人力成本费用（含社会保险补助、住房公积金），可由项目承担单位根据实际情况通过科研项目经费等渠道统筹解决。</w:t>
      </w:r>
    </w:p>
    <w:p w14:paraId="700A9EBE">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项目负责人应当严格执行资金支出管理制度。对于设备、大宗材料、测试化验加工、劳务、专家咨询等费用，原则上应当通过银行转账方式结算。</w:t>
      </w:r>
    </w:p>
    <w:p w14:paraId="40580CE7">
      <w:pPr>
        <w:spacing w:line="560" w:lineRule="exact"/>
        <w:ind w:left="0" w:leftChars="0" w:firstLine="0" w:firstLineChars="0"/>
        <w:jc w:val="center"/>
        <w:rPr>
          <w:rFonts w:hint="eastAsia" w:ascii="黑体" w:hAnsi="黑体" w:eastAsia="黑体" w:cs="宋体"/>
          <w:sz w:val="32"/>
          <w:szCs w:val="32"/>
        </w:rPr>
      </w:pPr>
      <w:r>
        <w:rPr>
          <w:rFonts w:hint="eastAsia" w:ascii="黑体" w:hAnsi="黑体" w:eastAsia="黑体" w:cs="宋体"/>
          <w:sz w:val="32"/>
          <w:szCs w:val="32"/>
        </w:rPr>
        <w:t>第六章 决算与综合绩效评价</w:t>
      </w:r>
    </w:p>
    <w:p w14:paraId="6B762F1D">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项目执行期满后，项目负责人应当及时清理账目与资产，如实编制项目资金决算。项目资金决算经财务办公室、科研处审核后上报项目主管部门。</w:t>
      </w:r>
    </w:p>
    <w:p w14:paraId="65E9198A">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学院作为项目承担单位的，按照相关规定组织项目参与单位准备项目综合绩效评价材料，向专业机构提出项目综合绩效评价申请。</w:t>
      </w:r>
    </w:p>
    <w:p w14:paraId="028E11CC">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学院根据项目综合绩效评价相关意见对项目结余资金进行管理。</w:t>
      </w:r>
    </w:p>
    <w:p w14:paraId="6E23C329">
      <w:pPr>
        <w:spacing w:line="560" w:lineRule="exact"/>
        <w:ind w:firstLine="640" w:firstLineChars="200"/>
        <w:jc w:val="left"/>
        <w:rPr>
          <w:rFonts w:hint="eastAsia" w:ascii="仿宋_GB2312" w:hAnsi="宋体" w:eastAsia="仿宋_GB2312" w:cs="宋体"/>
          <w:sz w:val="32"/>
          <w:szCs w:val="32"/>
          <w:highlight w:val="yellow"/>
        </w:rPr>
      </w:pPr>
      <w:r>
        <w:rPr>
          <w:rFonts w:hint="eastAsia" w:ascii="仿宋_GB2312" w:hAnsi="宋体" w:eastAsia="仿宋_GB2312" w:cs="宋体"/>
          <w:sz w:val="32"/>
          <w:szCs w:val="32"/>
        </w:rPr>
        <w:t>项目完成任务目标并通过综合绩效评价验收，结余资金按照相关规定统筹用于科研活动直接支出。除涉密项目外，结余资金情况作为项目验收情况信息主动公开，接受监督，并向项目主管部门报备。</w:t>
      </w:r>
    </w:p>
    <w:p w14:paraId="4810B4DA">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项目负责人应当在项目综合绩效评价完成后一个月内及时办理财务结账相关手续。</w:t>
      </w:r>
    </w:p>
    <w:p w14:paraId="2BE7840C">
      <w:pPr>
        <w:spacing w:line="560" w:lineRule="exact"/>
        <w:ind w:left="0" w:leftChars="0" w:firstLine="0" w:firstLineChars="0"/>
        <w:jc w:val="center"/>
        <w:rPr>
          <w:rFonts w:hint="eastAsia" w:ascii="黑体" w:hAnsi="黑体" w:eastAsia="黑体" w:cs="宋体"/>
          <w:sz w:val="32"/>
          <w:szCs w:val="32"/>
        </w:rPr>
      </w:pPr>
      <w:r>
        <w:rPr>
          <w:rFonts w:hint="eastAsia" w:ascii="黑体" w:hAnsi="黑体" w:eastAsia="黑体" w:cs="宋体"/>
          <w:sz w:val="32"/>
          <w:szCs w:val="32"/>
        </w:rPr>
        <w:t>第七章 监督检查</w:t>
      </w:r>
    </w:p>
    <w:p w14:paraId="2A1A49C6">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项目资金使用不得存在以下行为:</w:t>
      </w:r>
    </w:p>
    <w:p w14:paraId="255B82E2">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一</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编报虚假预算;</w:t>
      </w:r>
    </w:p>
    <w:p w14:paraId="198B6B6C">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二</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列支与本项目任务无关的支出;</w:t>
      </w:r>
    </w:p>
    <w:p w14:paraId="3801E076">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三</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未按规定执行和调剂预算、违反规定转拨项目资金;</w:t>
      </w:r>
    </w:p>
    <w:p w14:paraId="37371F0B">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四</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通过虚假合同、虚假票据、虚构事项、虚报人员等弄虚作假，转移、套取、报销项目资金;</w:t>
      </w:r>
    </w:p>
    <w:p w14:paraId="63404048">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五</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截留、挤占、挪用项目资金;</w:t>
      </w:r>
    </w:p>
    <w:p w14:paraId="782FB53D">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六</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设置账外账、随意调账变动支出、随意修改记账凭证、提供虚假财务会计资料等;</w:t>
      </w:r>
    </w:p>
    <w:p w14:paraId="2E5717FB">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七</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使用项目资金列支应当由个人负担的有关费用和支付各种罚款、捐款、赞助、投资、偿还债务等;</w:t>
      </w:r>
    </w:p>
    <w:p w14:paraId="3663D10C">
      <w:p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八</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其他违反国家财经纪律的行为。</w:t>
      </w:r>
    </w:p>
    <w:p w14:paraId="76879048">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承担教学科研机构负责对项目资金使用情况进行日常监督。</w:t>
      </w:r>
      <w:r>
        <w:rPr>
          <w:rFonts w:hint="eastAsia" w:ascii="仿宋_GB2312" w:hAnsi="宋体" w:eastAsia="仿宋_GB2312" w:cs="宋体"/>
          <w:sz w:val="32"/>
          <w:szCs w:val="32"/>
          <w:lang w:val="en-US" w:eastAsia="zh-CN"/>
        </w:rPr>
        <w:t>科研处</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财务办公室、审计办公室等部门在职责范围内负责对项目资金使用情况进行监督检查。加强财会监督、审计监督与日常监督的贯通协调，增强监督合力。</w:t>
      </w:r>
    </w:p>
    <w:p w14:paraId="059DCD41">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学院获得的项目资金实行“负面清单”管理，“负面清单”参照项目主管部门的要求执行。</w:t>
      </w:r>
    </w:p>
    <w:p w14:paraId="1FC49D15">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学院任何单位和个人违反本办法相关规定的，学院视情节轻重对直接责任人和相关负责人进行批评教育直至纪律处分。</w:t>
      </w:r>
    </w:p>
    <w:p w14:paraId="2127FB51">
      <w:pPr>
        <w:spacing w:line="560" w:lineRule="exact"/>
        <w:ind w:left="0" w:leftChars="0" w:firstLine="0" w:firstLineChars="0"/>
        <w:jc w:val="center"/>
        <w:rPr>
          <w:rFonts w:hint="eastAsia" w:ascii="黑体" w:hAnsi="黑体" w:eastAsia="黑体" w:cs="宋体"/>
          <w:sz w:val="32"/>
          <w:szCs w:val="32"/>
        </w:rPr>
      </w:pPr>
      <w:r>
        <w:rPr>
          <w:rFonts w:hint="eastAsia" w:ascii="黑体" w:hAnsi="黑体" w:eastAsia="黑体" w:cs="宋体"/>
          <w:sz w:val="32"/>
          <w:szCs w:val="32"/>
        </w:rPr>
        <w:t>第八章 附则</w:t>
      </w:r>
    </w:p>
    <w:p w14:paraId="7D30A63C">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本办法由财务办公室负责解释。</w:t>
      </w:r>
    </w:p>
    <w:p w14:paraId="78C98236">
      <w:pPr>
        <w:numPr>
          <w:ilvl w:val="0"/>
          <w:numId w:val="2"/>
        </w:numPr>
        <w:spacing w:line="560" w:lineRule="exact"/>
        <w:ind w:firstLine="640" w:firstLineChars="200"/>
        <w:jc w:val="left"/>
        <w:rPr>
          <w:rFonts w:hint="eastAsia" w:ascii="仿宋_GB2312" w:hAnsi="宋体" w:eastAsia="仿宋_GB2312" w:cs="宋体"/>
          <w:sz w:val="32"/>
          <w:szCs w:val="32"/>
        </w:rPr>
      </w:pPr>
      <w:r>
        <w:rPr>
          <w:rFonts w:hint="eastAsia" w:ascii="仿宋_GB2312" w:hAnsi="宋体" w:eastAsia="仿宋_GB2312" w:cs="宋体"/>
          <w:sz w:val="32"/>
          <w:szCs w:val="32"/>
        </w:rPr>
        <w:t>本办法自公布之日起施行。</w:t>
      </w:r>
    </w:p>
    <w:sectPr>
      <w:footerReference r:id="rId3" w:type="default"/>
      <w:pgSz w:w="11906" w:h="16838"/>
      <w:pgMar w:top="1440" w:right="1576" w:bottom="1440" w:left="1576"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modern"/>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8791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C83314">
                          <w:pPr>
                            <w:pStyle w:val="4"/>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CC83314">
                    <w:pPr>
                      <w:pStyle w:val="4"/>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C60731"/>
    <w:multiLevelType w:val="singleLevel"/>
    <w:tmpl w:val="02C60731"/>
    <w:lvl w:ilvl="0" w:tentative="0">
      <w:start w:val="9"/>
      <w:numFmt w:val="chineseCounting"/>
      <w:suff w:val="space"/>
      <w:lvlText w:val="第%1条"/>
      <w:lvlJc w:val="left"/>
      <w:rPr>
        <w:rFonts w:hint="eastAsia"/>
        <w:b/>
        <w:bCs/>
      </w:rPr>
    </w:lvl>
  </w:abstractNum>
  <w:abstractNum w:abstractNumId="1">
    <w:nsid w:val="10B10221"/>
    <w:multiLevelType w:val="singleLevel"/>
    <w:tmpl w:val="10B10221"/>
    <w:lvl w:ilvl="0" w:tentative="0">
      <w:start w:val="3"/>
      <w:numFmt w:val="chineseCounting"/>
      <w:suff w:val="space"/>
      <w:lvlText w:val="第%1条"/>
      <w:lvlJc w:val="left"/>
      <w:pPr>
        <w:ind w:left="0" w:firstLine="61"/>
      </w:pPr>
      <w:rPr>
        <w:rFonts w:hint="eastAsia"/>
        <w:b/>
        <w:bC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C94"/>
    <w:rsid w:val="003055D6"/>
    <w:rsid w:val="00384CE9"/>
    <w:rsid w:val="00577C94"/>
    <w:rsid w:val="00787944"/>
    <w:rsid w:val="00974FA6"/>
    <w:rsid w:val="00E50BF5"/>
    <w:rsid w:val="054B7E3F"/>
    <w:rsid w:val="06F257BA"/>
    <w:rsid w:val="071E213B"/>
    <w:rsid w:val="0D2242EF"/>
    <w:rsid w:val="0E1573C0"/>
    <w:rsid w:val="10AE0D3E"/>
    <w:rsid w:val="12B034AD"/>
    <w:rsid w:val="136B6FEA"/>
    <w:rsid w:val="1433374E"/>
    <w:rsid w:val="15EF1E88"/>
    <w:rsid w:val="175E0F34"/>
    <w:rsid w:val="1E601A36"/>
    <w:rsid w:val="1FCD6C1A"/>
    <w:rsid w:val="23106527"/>
    <w:rsid w:val="255B340A"/>
    <w:rsid w:val="27FA0805"/>
    <w:rsid w:val="28705720"/>
    <w:rsid w:val="2A065408"/>
    <w:rsid w:val="2D9D01FB"/>
    <w:rsid w:val="35E05538"/>
    <w:rsid w:val="3ACC6031"/>
    <w:rsid w:val="3BF75330"/>
    <w:rsid w:val="3D3103CE"/>
    <w:rsid w:val="40512B35"/>
    <w:rsid w:val="40A44343"/>
    <w:rsid w:val="451C69CD"/>
    <w:rsid w:val="477F442B"/>
    <w:rsid w:val="4E5A75D5"/>
    <w:rsid w:val="50F27400"/>
    <w:rsid w:val="51E82AF5"/>
    <w:rsid w:val="534972E8"/>
    <w:rsid w:val="544758CC"/>
    <w:rsid w:val="546B02A3"/>
    <w:rsid w:val="55D32445"/>
    <w:rsid w:val="563F1079"/>
    <w:rsid w:val="579F8055"/>
    <w:rsid w:val="5BD77286"/>
    <w:rsid w:val="5D660C51"/>
    <w:rsid w:val="5E416C5C"/>
    <w:rsid w:val="5EDC1C8E"/>
    <w:rsid w:val="629B1C54"/>
    <w:rsid w:val="687E455F"/>
    <w:rsid w:val="68886C34"/>
    <w:rsid w:val="68D103D4"/>
    <w:rsid w:val="6D97577B"/>
    <w:rsid w:val="6EA81B79"/>
    <w:rsid w:val="70922B5F"/>
    <w:rsid w:val="71462CCD"/>
    <w:rsid w:val="732E26DE"/>
    <w:rsid w:val="75924219"/>
    <w:rsid w:val="77FA7CE3"/>
    <w:rsid w:val="78C37D6C"/>
    <w:rsid w:val="7A0B1183"/>
    <w:rsid w:val="7BABB0F0"/>
    <w:rsid w:val="7D0F5392"/>
    <w:rsid w:val="7D7960C7"/>
    <w:rsid w:val="7FFDB37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link w:val="10"/>
    <w:qFormat/>
    <w:uiPriority w:val="0"/>
    <w:pPr>
      <w:jc w:val="left"/>
    </w:p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tabs>
        <w:tab w:val="center" w:pos="4153"/>
        <w:tab w:val="right" w:pos="8306"/>
      </w:tabs>
      <w:snapToGrid w:val="0"/>
      <w:jc w:val="center"/>
    </w:pPr>
    <w:rPr>
      <w:sz w:val="18"/>
      <w:szCs w:val="18"/>
    </w:rPr>
  </w:style>
  <w:style w:type="paragraph" w:styleId="6">
    <w:name w:val="annotation subject"/>
    <w:basedOn w:val="3"/>
    <w:next w:val="3"/>
    <w:link w:val="13"/>
    <w:qFormat/>
    <w:uiPriority w:val="0"/>
    <w:rPr>
      <w:b/>
      <w:bCs/>
    </w:rPr>
  </w:style>
  <w:style w:type="character" w:styleId="9">
    <w:name w:val="annotation reference"/>
    <w:qFormat/>
    <w:uiPriority w:val="0"/>
    <w:rPr>
      <w:sz w:val="21"/>
      <w:szCs w:val="21"/>
    </w:rPr>
  </w:style>
  <w:style w:type="character" w:customStyle="1" w:styleId="10">
    <w:name w:val="批注文字 字符"/>
    <w:link w:val="3"/>
    <w:qFormat/>
    <w:uiPriority w:val="0"/>
    <w:rPr>
      <w:rFonts w:ascii="Calibri" w:hAnsi="Calibri"/>
      <w:kern w:val="2"/>
      <w:sz w:val="21"/>
      <w:szCs w:val="24"/>
    </w:rPr>
  </w:style>
  <w:style w:type="character" w:customStyle="1" w:styleId="11">
    <w:name w:val="页脚 字符"/>
    <w:link w:val="4"/>
    <w:qFormat/>
    <w:uiPriority w:val="0"/>
    <w:rPr>
      <w:rFonts w:ascii="Calibri" w:hAnsi="Calibri"/>
      <w:kern w:val="2"/>
      <w:sz w:val="18"/>
      <w:szCs w:val="18"/>
    </w:rPr>
  </w:style>
  <w:style w:type="character" w:customStyle="1" w:styleId="12">
    <w:name w:val="页眉 字符"/>
    <w:link w:val="5"/>
    <w:qFormat/>
    <w:uiPriority w:val="0"/>
    <w:rPr>
      <w:rFonts w:ascii="Calibri" w:hAnsi="Calibri"/>
      <w:kern w:val="2"/>
      <w:sz w:val="18"/>
      <w:szCs w:val="18"/>
    </w:rPr>
  </w:style>
  <w:style w:type="character" w:customStyle="1" w:styleId="13">
    <w:name w:val="批注主题 字符"/>
    <w:link w:val="6"/>
    <w:qFormat/>
    <w:uiPriority w:val="0"/>
    <w:rPr>
      <w:rFonts w:ascii="Calibri" w:hAnsi="Calibri"/>
      <w:b/>
      <w:bCs/>
      <w:kern w:val="2"/>
      <w:sz w:val="21"/>
      <w:szCs w:val="24"/>
    </w:rPr>
  </w:style>
  <w:style w:type="paragraph" w:customStyle="1" w:styleId="14">
    <w:name w:val="_Style 13"/>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2821</Words>
  <Characters>2837</Characters>
  <Lines>47</Lines>
  <Paragraphs>27</Paragraphs>
  <TotalTime>3</TotalTime>
  <ScaleCrop>false</ScaleCrop>
  <LinksUpToDate>false</LinksUpToDate>
  <CharactersWithSpaces>2851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2025-10-20T00:22:00Z</dcterms:created>
  <dc:creator>admin</dc:creator>
  <cp:lastModifiedBy>maojie</cp:lastModifiedBy>
  <dcterms:modified xsi:type="dcterms:W3CDTF">2026-02-10T11:42:44Z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eyJoZGlkIjoiM2M1MTExOWE5ZGVmNzcwM2FhZDgzMTI4OGU2OGRiOWMiLCJ1c2VySWQiOiIyNDk0NzU3ODcifQ==</vt:lpwstr>
  </property>
  <property fmtid="{D5CDD505-2E9C-101B-9397-08002B2CF9AE}" pid="4" name="ICV">
    <vt:lpwstr>934DE89954AF465EA5BE7CC79727B48E_13</vt:lpwstr>
  </property>
</Properties>
</file>