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DC4037">
      <w:pPr>
        <w:keepNext w:val="0"/>
        <w:keepLines w:val="0"/>
        <w:pageBreakBefore w:val="0"/>
        <w:widowControl/>
        <w:kinsoku w:val="0"/>
        <w:wordWrap/>
        <w:overflowPunct/>
        <w:topLinePunct w:val="0"/>
        <w:autoSpaceDE w:val="0"/>
        <w:autoSpaceDN w:val="0"/>
        <w:bidi w:val="0"/>
        <w:adjustRightInd w:val="0"/>
        <w:snapToGrid w:val="0"/>
        <w:spacing w:after="0" w:line="560" w:lineRule="exact"/>
        <w:jc w:val="right"/>
        <w:textAlignment w:val="baseline"/>
        <w:rPr>
          <w:rFonts w:hint="eastAsia" w:ascii="仿宋_GB2312" w:hAnsi="仿宋_GB2312" w:eastAsia="仿宋_GB2312" w:cs="仿宋_GB2312"/>
          <w:sz w:val="32"/>
          <w:szCs w:val="32"/>
        </w:rPr>
      </w:pPr>
      <w:bookmarkStart w:id="0" w:name="OLE_LINK1"/>
      <w:r>
        <w:rPr>
          <w:rFonts w:hint="eastAsia" w:ascii="仿宋_GB2312" w:hAnsi="仿宋_GB2312" w:eastAsia="仿宋_GB2312" w:cs="仿宋_GB2312"/>
          <w:sz w:val="32"/>
          <w:szCs w:val="32"/>
        </w:rPr>
        <w:t>清深国院规〔2026〕</w:t>
      </w:r>
      <w:r>
        <w:rPr>
          <w:rFonts w:hint="eastAsia" w:ascii="仿宋_GB2312" w:hAnsi="仿宋_GB2312" w:cs="仿宋_GB2312"/>
          <w:sz w:val="32"/>
          <w:szCs w:val="32"/>
          <w:lang w:val="en-US" w:eastAsia="zh-CN"/>
        </w:rPr>
        <w:t>82</w:t>
      </w:r>
      <w:r>
        <w:rPr>
          <w:rFonts w:hint="eastAsia" w:ascii="仿宋_GB2312" w:hAnsi="仿宋_GB2312" w:eastAsia="仿宋_GB2312" w:cs="仿宋_GB2312"/>
          <w:sz w:val="32"/>
          <w:szCs w:val="32"/>
        </w:rPr>
        <w:t>号</w:t>
      </w:r>
    </w:p>
    <w:p w14:paraId="157BC290">
      <w:pPr>
        <w:pStyle w:val="15"/>
        <w:keepNext w:val="0"/>
        <w:keepLines w:val="0"/>
        <w:pageBreakBefore w:val="0"/>
        <w:widowControl w:val="0"/>
        <w:kinsoku/>
        <w:wordWrap/>
        <w:overflowPunct/>
        <w:topLinePunct w:val="0"/>
        <w:autoSpaceDE/>
        <w:autoSpaceDN/>
        <w:bidi w:val="0"/>
        <w:adjustRightInd/>
        <w:snapToGrid/>
        <w:spacing w:after="0" w:afterLines="0" w:line="600" w:lineRule="exact"/>
        <w:ind w:firstLine="0" w:firstLineChars="0"/>
        <w:textAlignment w:val="auto"/>
        <w:rPr>
          <w:rFonts w:hint="eastAsia"/>
          <w:b w:val="0"/>
          <w:bCs/>
          <w:sz w:val="36"/>
          <w:szCs w:val="36"/>
        </w:rPr>
      </w:pPr>
    </w:p>
    <w:p w14:paraId="2101C635">
      <w:pPr>
        <w:pStyle w:val="15"/>
        <w:keepNext w:val="0"/>
        <w:keepLines w:val="0"/>
        <w:pageBreakBefore w:val="0"/>
        <w:widowControl w:val="0"/>
        <w:kinsoku/>
        <w:wordWrap/>
        <w:overflowPunct/>
        <w:topLinePunct w:val="0"/>
        <w:autoSpaceDE/>
        <w:autoSpaceDN/>
        <w:bidi w:val="0"/>
        <w:adjustRightInd/>
        <w:snapToGrid/>
        <w:spacing w:after="0" w:afterLines="0" w:line="600" w:lineRule="exact"/>
        <w:ind w:firstLine="0" w:firstLineChars="0"/>
        <w:textAlignment w:val="auto"/>
        <w:rPr>
          <w:b w:val="0"/>
          <w:bCs/>
          <w:sz w:val="36"/>
          <w:szCs w:val="36"/>
        </w:rPr>
      </w:pPr>
      <w:r>
        <w:rPr>
          <w:rFonts w:hint="eastAsia"/>
          <w:b w:val="0"/>
          <w:bCs/>
          <w:sz w:val="36"/>
          <w:szCs w:val="36"/>
        </w:rPr>
        <w:t>清华大学深圳国际研究生院劳动人事争议调解工作办法</w:t>
      </w:r>
      <w:bookmarkEnd w:id="0"/>
    </w:p>
    <w:p w14:paraId="74840E0E">
      <w:pPr>
        <w:autoSpaceDE/>
        <w:autoSpaceDN/>
        <w:spacing w:line="500" w:lineRule="exact"/>
        <w:ind w:firstLine="0" w:firstLineChars="0"/>
        <w:jc w:val="center"/>
        <w:rPr>
          <w:rFonts w:hint="eastAsia" w:ascii="仿宋_GB2312" w:hAnsi="宋体" w:eastAsia="仿宋_GB2312" w:cstheme="minorBidi"/>
          <w:kern w:val="2"/>
          <w:sz w:val="32"/>
          <w:szCs w:val="32"/>
          <w:lang w:val="en-US" w:eastAsia="zh-CN" w:bidi="ar-SA"/>
        </w:rPr>
      </w:pPr>
      <w:r>
        <w:rPr>
          <w:rFonts w:hint="eastAsia" w:ascii="仿宋_GB2312" w:hAnsi="宋体" w:cstheme="minorBidi"/>
          <w:kern w:val="2"/>
          <w:sz w:val="32"/>
          <w:szCs w:val="32"/>
          <w:lang w:val="en-US" w:eastAsia="zh-CN" w:bidi="ar-SA"/>
        </w:rPr>
        <w:t>经</w:t>
      </w:r>
      <w:r>
        <w:rPr>
          <w:rFonts w:hint="eastAsia" w:ascii="仿宋_GB2312" w:hAnsi="宋体" w:eastAsia="仿宋_GB2312" w:cstheme="minorBidi"/>
          <w:kern w:val="2"/>
          <w:sz w:val="32"/>
          <w:szCs w:val="32"/>
          <w:lang w:val="en-US" w:eastAsia="zh-CN" w:bidi="ar-SA"/>
        </w:rPr>
        <w:t>二〇二六年第二十五次党政联席会议（2026年6月29日）</w:t>
      </w:r>
    </w:p>
    <w:p w14:paraId="24E60787">
      <w:pPr>
        <w:autoSpaceDE/>
        <w:autoSpaceDN/>
        <w:spacing w:line="500" w:lineRule="exact"/>
        <w:ind w:firstLine="0" w:firstLineChars="0"/>
        <w:jc w:val="center"/>
        <w:rPr>
          <w:rFonts w:hint="eastAsia"/>
        </w:rPr>
      </w:pPr>
      <w:bookmarkStart w:id="1" w:name="_GoBack"/>
      <w:bookmarkEnd w:id="1"/>
      <w:r>
        <w:rPr>
          <w:rFonts w:hint="eastAsia" w:ascii="仿宋_GB2312" w:hAnsi="宋体" w:eastAsia="仿宋_GB2312" w:cstheme="minorBidi"/>
          <w:kern w:val="2"/>
          <w:sz w:val="32"/>
          <w:szCs w:val="32"/>
          <w:lang w:val="en-US" w:eastAsia="zh-CN" w:bidi="ar-SA"/>
        </w:rPr>
        <w:t>审议通过</w:t>
      </w:r>
    </w:p>
    <w:p w14:paraId="44CBE303">
      <w:pPr>
        <w:ind w:firstLine="480"/>
        <w:jc w:val="center"/>
      </w:pPr>
    </w:p>
    <w:p w14:paraId="4FA2F3BC">
      <w:pPr>
        <w:spacing w:line="560" w:lineRule="exact"/>
        <w:ind w:firstLine="643"/>
        <w:rPr>
          <w:rFonts w:hint="eastAsia" w:ascii="仿宋_GB2312"/>
          <w:sz w:val="32"/>
          <w:szCs w:val="32"/>
        </w:rPr>
      </w:pPr>
      <w:r>
        <w:rPr>
          <w:rFonts w:hint="eastAsia" w:ascii="仿宋_GB2312" w:hAnsi="黑体"/>
          <w:b/>
          <w:bCs/>
          <w:sz w:val="32"/>
          <w:szCs w:val="32"/>
        </w:rPr>
        <w:t>第一条</w:t>
      </w:r>
      <w:r>
        <w:rPr>
          <w:rFonts w:hint="eastAsia" w:ascii="仿宋_GB2312"/>
          <w:sz w:val="32"/>
          <w:szCs w:val="32"/>
        </w:rPr>
        <w:t xml:space="preserve">  为了规范劳动人事争议调解工作，有效促进劳动人事关系和谐稳定，根据《中华人民共和国劳动争议调解仲裁法》《清华大学劳动人事争议调解工作办法》以及深圳市和相关部门关于劳动人事争议调解等的相关规定，结合学院实际，制定本办法。</w:t>
      </w:r>
    </w:p>
    <w:p w14:paraId="507741BE">
      <w:pPr>
        <w:spacing w:line="560" w:lineRule="exact"/>
        <w:ind w:firstLine="643"/>
        <w:rPr>
          <w:rFonts w:hint="eastAsia" w:ascii="仿宋_GB2312"/>
          <w:sz w:val="32"/>
          <w:szCs w:val="32"/>
        </w:rPr>
      </w:pPr>
      <w:r>
        <w:rPr>
          <w:rFonts w:hint="eastAsia" w:ascii="仿宋_GB2312" w:hAnsi="黑体"/>
          <w:b/>
          <w:bCs/>
          <w:sz w:val="32"/>
          <w:szCs w:val="32"/>
        </w:rPr>
        <w:t>第二条</w:t>
      </w:r>
      <w:r>
        <w:rPr>
          <w:rFonts w:hint="eastAsia" w:ascii="仿宋_GB2312"/>
          <w:sz w:val="32"/>
          <w:szCs w:val="32"/>
        </w:rPr>
        <w:t xml:space="preserve">  本办法适用于对学院与教职工之间发生的下列劳动人事争议的调解工作：</w:t>
      </w:r>
    </w:p>
    <w:p w14:paraId="32376524">
      <w:pPr>
        <w:spacing w:line="560" w:lineRule="exact"/>
        <w:ind w:firstLine="640"/>
        <w:rPr>
          <w:rFonts w:hint="eastAsia" w:ascii="仿宋_GB2312"/>
          <w:sz w:val="32"/>
          <w:szCs w:val="32"/>
        </w:rPr>
      </w:pPr>
      <w:r>
        <w:rPr>
          <w:rFonts w:hint="eastAsia" w:ascii="仿宋_GB2312"/>
          <w:sz w:val="32"/>
          <w:szCs w:val="32"/>
        </w:rPr>
        <w:t>（一）因订立、履行、变更、解除和终止劳动合同或聘用合同发生的争议；</w:t>
      </w:r>
    </w:p>
    <w:p w14:paraId="3B73DA4D">
      <w:pPr>
        <w:spacing w:line="560" w:lineRule="exact"/>
        <w:ind w:firstLine="640"/>
        <w:rPr>
          <w:rFonts w:hint="eastAsia" w:ascii="仿宋_GB2312"/>
          <w:sz w:val="32"/>
          <w:szCs w:val="32"/>
        </w:rPr>
      </w:pPr>
      <w:r>
        <w:rPr>
          <w:rFonts w:hint="eastAsia" w:ascii="仿宋_GB2312"/>
          <w:sz w:val="32"/>
          <w:szCs w:val="32"/>
        </w:rPr>
        <w:t>（二）因工作时间、休息休假、社会保险、福利、培训以及劳动保护发生的争议；</w:t>
      </w:r>
    </w:p>
    <w:p w14:paraId="007FCCEC">
      <w:pPr>
        <w:spacing w:line="560" w:lineRule="exact"/>
        <w:ind w:firstLine="640"/>
        <w:rPr>
          <w:rFonts w:hint="eastAsia" w:ascii="仿宋_GB2312"/>
          <w:sz w:val="32"/>
          <w:szCs w:val="32"/>
        </w:rPr>
      </w:pPr>
      <w:r>
        <w:rPr>
          <w:rFonts w:hint="eastAsia" w:ascii="仿宋_GB2312"/>
          <w:sz w:val="32"/>
          <w:szCs w:val="32"/>
        </w:rPr>
        <w:t>（三）因劳动报酬、工伤医疗费、经济补偿或者赔偿金等发生的争议；</w:t>
      </w:r>
    </w:p>
    <w:p w14:paraId="16E94555">
      <w:pPr>
        <w:spacing w:line="560" w:lineRule="exact"/>
        <w:ind w:firstLine="640"/>
        <w:rPr>
          <w:rFonts w:hint="eastAsia" w:ascii="仿宋_GB2312"/>
          <w:sz w:val="32"/>
          <w:szCs w:val="32"/>
        </w:rPr>
      </w:pPr>
      <w:r>
        <w:rPr>
          <w:rFonts w:hint="eastAsia" w:ascii="仿宋_GB2312"/>
          <w:sz w:val="32"/>
          <w:szCs w:val="32"/>
        </w:rPr>
        <w:t>（四）因辞退和离职等发生的争议；</w:t>
      </w:r>
    </w:p>
    <w:p w14:paraId="4C28ABA1">
      <w:pPr>
        <w:spacing w:line="560" w:lineRule="exact"/>
        <w:ind w:firstLine="640"/>
        <w:rPr>
          <w:rFonts w:hint="eastAsia" w:ascii="仿宋_GB2312"/>
          <w:sz w:val="32"/>
          <w:szCs w:val="32"/>
        </w:rPr>
      </w:pPr>
      <w:r>
        <w:rPr>
          <w:rFonts w:hint="eastAsia" w:ascii="仿宋_GB2312"/>
          <w:sz w:val="32"/>
          <w:szCs w:val="32"/>
        </w:rPr>
        <w:t>（五）法律、法规及规章等规定的其他可以进行调解的相关劳动人事争议。</w:t>
      </w:r>
    </w:p>
    <w:p w14:paraId="62A8962B">
      <w:pPr>
        <w:spacing w:line="560" w:lineRule="exact"/>
        <w:ind w:firstLine="643"/>
        <w:rPr>
          <w:rFonts w:hint="eastAsia" w:ascii="仿宋_GB2312"/>
          <w:sz w:val="32"/>
          <w:szCs w:val="32"/>
        </w:rPr>
      </w:pPr>
      <w:r>
        <w:rPr>
          <w:rFonts w:hint="eastAsia" w:ascii="仿宋_GB2312" w:hAnsi="黑体"/>
          <w:b/>
          <w:bCs/>
          <w:sz w:val="32"/>
          <w:szCs w:val="32"/>
        </w:rPr>
        <w:t>第三条</w:t>
      </w:r>
      <w:r>
        <w:rPr>
          <w:rFonts w:hint="eastAsia" w:ascii="仿宋_GB2312"/>
          <w:sz w:val="32"/>
          <w:szCs w:val="32"/>
        </w:rPr>
        <w:t xml:space="preserve">  调解劳动人事争议坚持平等、自愿、合法、公正、及时的原则，依法依规维护学院和教职工的合法权益。</w:t>
      </w:r>
    </w:p>
    <w:p w14:paraId="4BC1CF2A">
      <w:pPr>
        <w:spacing w:line="560" w:lineRule="exact"/>
        <w:ind w:firstLine="643"/>
        <w:rPr>
          <w:rFonts w:hint="eastAsia" w:ascii="仿宋_GB2312"/>
          <w:sz w:val="32"/>
          <w:szCs w:val="32"/>
        </w:rPr>
      </w:pPr>
      <w:r>
        <w:rPr>
          <w:rFonts w:hint="eastAsia" w:ascii="仿宋_GB2312" w:hAnsi="黑体"/>
          <w:b/>
          <w:bCs/>
          <w:sz w:val="32"/>
          <w:szCs w:val="32"/>
        </w:rPr>
        <w:t>第四条</w:t>
      </w:r>
      <w:r>
        <w:rPr>
          <w:rFonts w:hint="eastAsia" w:ascii="仿宋_GB2312"/>
          <w:sz w:val="32"/>
          <w:szCs w:val="32"/>
        </w:rPr>
        <w:t xml:space="preserve">  学院劳动人事争议调解委员会(以下简称调解委员会)负责处理属于本办法规定的劳动人事争议调解申请。</w:t>
      </w:r>
    </w:p>
    <w:p w14:paraId="6FF876FF">
      <w:pPr>
        <w:spacing w:line="560" w:lineRule="exact"/>
        <w:ind w:firstLine="643"/>
        <w:rPr>
          <w:rFonts w:hint="eastAsia" w:ascii="仿宋_GB2312"/>
          <w:sz w:val="32"/>
          <w:szCs w:val="32"/>
        </w:rPr>
      </w:pPr>
      <w:r>
        <w:rPr>
          <w:rFonts w:hint="eastAsia" w:ascii="仿宋_GB2312" w:hAnsi="黑体"/>
          <w:b/>
          <w:bCs/>
          <w:sz w:val="32"/>
          <w:szCs w:val="32"/>
        </w:rPr>
        <w:t>第五条</w:t>
      </w:r>
      <w:r>
        <w:rPr>
          <w:rFonts w:hint="eastAsia" w:ascii="仿宋_GB2312"/>
          <w:sz w:val="32"/>
          <w:szCs w:val="32"/>
        </w:rPr>
        <w:t xml:space="preserve">  调解委员会由教职工代表、工会代表和学院代表组成。教职工代表委员四人，由学院教职工代表大会执行委员会会议推举；工会代表委员四人，由学院工会委员会会议推举（所推举的代表委员应当包括学院工会主要负责人）；学院代表委员三人，原则上由人事办、</w:t>
      </w:r>
      <w:r>
        <w:rPr>
          <w:rFonts w:hint="eastAsia" w:ascii="仿宋_GB2312"/>
          <w:sz w:val="32"/>
          <w:szCs w:val="32"/>
          <w:lang w:val="en-US" w:eastAsia="zh-CN"/>
        </w:rPr>
        <w:t>机关党总支、</w:t>
      </w:r>
      <w:r>
        <w:rPr>
          <w:rFonts w:hint="eastAsia" w:ascii="仿宋_GB2312"/>
          <w:sz w:val="32"/>
          <w:szCs w:val="32"/>
        </w:rPr>
        <w:t>教工办等组织机构相关负责人担任。调解委员会设主任一名，由学院工会主要负责人担任。调解委员会组成名单应当报学院党委联席会议确认。</w:t>
      </w:r>
    </w:p>
    <w:p w14:paraId="1F5A0F24">
      <w:pPr>
        <w:spacing w:line="560" w:lineRule="exact"/>
        <w:ind w:firstLine="643"/>
        <w:rPr>
          <w:rFonts w:hint="eastAsia" w:ascii="仿宋_GB2312"/>
          <w:sz w:val="32"/>
          <w:szCs w:val="32"/>
        </w:rPr>
      </w:pPr>
      <w:r>
        <w:rPr>
          <w:rFonts w:hint="eastAsia" w:ascii="仿宋_GB2312" w:hAnsi="黑体"/>
          <w:b/>
          <w:bCs/>
          <w:sz w:val="32"/>
          <w:szCs w:val="32"/>
        </w:rPr>
        <w:t>第六条</w:t>
      </w:r>
      <w:r>
        <w:rPr>
          <w:rFonts w:hint="eastAsia" w:ascii="仿宋_GB2312" w:hAnsi="Calibri" w:cs="Calibri"/>
          <w:sz w:val="32"/>
          <w:szCs w:val="32"/>
        </w:rPr>
        <w:t xml:space="preserve">  </w:t>
      </w:r>
      <w:r>
        <w:rPr>
          <w:rFonts w:hint="eastAsia" w:ascii="仿宋_GB2312"/>
          <w:sz w:val="32"/>
          <w:szCs w:val="32"/>
        </w:rPr>
        <w:t>调解委员会委员原则上任期五年，可连任。</w:t>
      </w:r>
    </w:p>
    <w:p w14:paraId="619CFD69">
      <w:pPr>
        <w:spacing w:line="560" w:lineRule="exact"/>
        <w:ind w:firstLine="640"/>
        <w:rPr>
          <w:rFonts w:hint="eastAsia" w:ascii="仿宋_GB2312"/>
          <w:sz w:val="32"/>
          <w:szCs w:val="32"/>
        </w:rPr>
      </w:pPr>
      <w:r>
        <w:rPr>
          <w:rFonts w:hint="eastAsia" w:ascii="仿宋_GB2312"/>
          <w:sz w:val="32"/>
          <w:szCs w:val="32"/>
        </w:rPr>
        <w:t>调解委员会委员在任期内有下列情形的，应当及时进行调整：</w:t>
      </w:r>
    </w:p>
    <w:p w14:paraId="37A58618">
      <w:pPr>
        <w:spacing w:line="560" w:lineRule="exact"/>
        <w:ind w:firstLine="640"/>
        <w:rPr>
          <w:rFonts w:hint="eastAsia" w:ascii="仿宋_GB2312"/>
          <w:sz w:val="32"/>
          <w:szCs w:val="32"/>
        </w:rPr>
      </w:pPr>
      <w:r>
        <w:rPr>
          <w:rFonts w:hint="eastAsia" w:ascii="仿宋_GB2312"/>
          <w:sz w:val="32"/>
          <w:szCs w:val="32"/>
        </w:rPr>
        <w:t>（一）主动请辞的；</w:t>
      </w:r>
    </w:p>
    <w:p w14:paraId="4B1A0661">
      <w:pPr>
        <w:spacing w:line="560" w:lineRule="exact"/>
        <w:ind w:firstLine="640"/>
        <w:rPr>
          <w:rFonts w:hint="eastAsia" w:ascii="仿宋_GB2312"/>
          <w:sz w:val="32"/>
          <w:szCs w:val="32"/>
        </w:rPr>
      </w:pPr>
      <w:r>
        <w:rPr>
          <w:rFonts w:hint="eastAsia" w:ascii="仿宋_GB2312"/>
          <w:sz w:val="32"/>
          <w:szCs w:val="32"/>
        </w:rPr>
        <w:t>（二）因健康、退休及工作（职务）变动等原因不能正常履行职责的；</w:t>
      </w:r>
    </w:p>
    <w:p w14:paraId="0F913BC1">
      <w:pPr>
        <w:spacing w:line="560" w:lineRule="exact"/>
        <w:ind w:firstLine="640"/>
        <w:rPr>
          <w:rFonts w:hint="eastAsia" w:ascii="仿宋_GB2312"/>
          <w:sz w:val="32"/>
          <w:szCs w:val="32"/>
        </w:rPr>
      </w:pPr>
      <w:r>
        <w:rPr>
          <w:rFonts w:hint="eastAsia" w:ascii="仿宋_GB2312"/>
          <w:sz w:val="32"/>
          <w:szCs w:val="32"/>
        </w:rPr>
        <w:t>（三）怠于履行委员职责的；</w:t>
      </w:r>
    </w:p>
    <w:p w14:paraId="6102FA2E">
      <w:pPr>
        <w:spacing w:line="560" w:lineRule="exact"/>
        <w:ind w:firstLine="640"/>
        <w:rPr>
          <w:rFonts w:hint="eastAsia" w:ascii="仿宋_GB2312"/>
          <w:sz w:val="32"/>
          <w:szCs w:val="32"/>
        </w:rPr>
      </w:pPr>
      <w:r>
        <w:rPr>
          <w:rFonts w:hint="eastAsia" w:ascii="仿宋_GB2312"/>
          <w:sz w:val="32"/>
          <w:szCs w:val="32"/>
        </w:rPr>
        <w:t>（四）有违反教师职业道德行为或相关违法违规行为的；</w:t>
      </w:r>
    </w:p>
    <w:p w14:paraId="1BD20EBE">
      <w:pPr>
        <w:spacing w:line="560" w:lineRule="exact"/>
        <w:ind w:firstLine="640"/>
        <w:rPr>
          <w:rFonts w:hint="eastAsia" w:ascii="仿宋_GB2312"/>
          <w:sz w:val="32"/>
          <w:szCs w:val="32"/>
        </w:rPr>
      </w:pPr>
      <w:r>
        <w:rPr>
          <w:rFonts w:hint="eastAsia" w:ascii="仿宋_GB2312"/>
          <w:sz w:val="32"/>
          <w:szCs w:val="32"/>
        </w:rPr>
        <w:t>（五）因其他原因不能或不宜担任委员的。</w:t>
      </w:r>
    </w:p>
    <w:p w14:paraId="58914773">
      <w:pPr>
        <w:spacing w:line="560" w:lineRule="exact"/>
        <w:ind w:firstLine="640"/>
        <w:rPr>
          <w:rFonts w:hint="eastAsia" w:ascii="仿宋_GB2312"/>
          <w:sz w:val="32"/>
          <w:szCs w:val="32"/>
        </w:rPr>
      </w:pPr>
      <w:r>
        <w:rPr>
          <w:rFonts w:hint="eastAsia" w:ascii="仿宋_GB2312"/>
          <w:sz w:val="32"/>
          <w:szCs w:val="32"/>
        </w:rPr>
        <w:t>委员增补具体程序按照本办法第五条相关规定执行。</w:t>
      </w:r>
    </w:p>
    <w:p w14:paraId="55496E5D">
      <w:pPr>
        <w:spacing w:line="560" w:lineRule="exact"/>
        <w:ind w:firstLine="643"/>
        <w:rPr>
          <w:rFonts w:hint="eastAsia" w:ascii="仿宋_GB2312"/>
          <w:sz w:val="32"/>
          <w:szCs w:val="32"/>
        </w:rPr>
      </w:pPr>
      <w:r>
        <w:rPr>
          <w:rFonts w:hint="eastAsia" w:ascii="仿宋_GB2312" w:hAnsi="黑体"/>
          <w:b/>
          <w:bCs/>
          <w:sz w:val="32"/>
          <w:szCs w:val="32"/>
        </w:rPr>
        <w:t>第七条</w:t>
      </w:r>
      <w:r>
        <w:rPr>
          <w:rFonts w:hint="eastAsia" w:ascii="仿宋_GB2312" w:hAnsi="Calibri" w:cs="Calibri"/>
          <w:sz w:val="32"/>
          <w:szCs w:val="32"/>
        </w:rPr>
        <w:t xml:space="preserve">  </w:t>
      </w:r>
      <w:r>
        <w:rPr>
          <w:rFonts w:hint="eastAsia" w:ascii="仿宋_GB2312"/>
          <w:sz w:val="32"/>
          <w:szCs w:val="32"/>
        </w:rPr>
        <w:t>学院工会作为调解委员会办事机构，负责处理调解委员会日常事务。</w:t>
      </w:r>
    </w:p>
    <w:p w14:paraId="06744FD4">
      <w:pPr>
        <w:spacing w:line="560" w:lineRule="exact"/>
        <w:ind w:firstLine="643"/>
        <w:rPr>
          <w:rFonts w:hint="eastAsia" w:ascii="仿宋_GB2312"/>
          <w:sz w:val="32"/>
          <w:szCs w:val="32"/>
        </w:rPr>
      </w:pPr>
      <w:r>
        <w:rPr>
          <w:rFonts w:hint="eastAsia" w:ascii="仿宋_GB2312" w:hAnsi="黑体"/>
          <w:b/>
          <w:bCs/>
          <w:sz w:val="32"/>
          <w:szCs w:val="32"/>
        </w:rPr>
        <w:t>第八条</w:t>
      </w:r>
      <w:r>
        <w:rPr>
          <w:rFonts w:hint="eastAsia" w:ascii="仿宋_GB2312" w:hAnsi="黑体"/>
          <w:sz w:val="32"/>
          <w:szCs w:val="32"/>
        </w:rPr>
        <w:t xml:space="preserve">  </w:t>
      </w:r>
      <w:r>
        <w:rPr>
          <w:rFonts w:hint="eastAsia" w:ascii="仿宋_GB2312"/>
          <w:sz w:val="32"/>
          <w:szCs w:val="32"/>
        </w:rPr>
        <w:t>教职工所在二级单位作为相应的学院劳动人事争议调解处理当事单位（以下简称当事单位），具体承担涉及本单位教职工劳动人事争议调解处理相关工作。</w:t>
      </w:r>
    </w:p>
    <w:p w14:paraId="17D4DD6C">
      <w:pPr>
        <w:spacing w:line="560" w:lineRule="exact"/>
        <w:ind w:firstLine="643"/>
        <w:rPr>
          <w:rFonts w:hint="eastAsia" w:ascii="仿宋_GB2312"/>
          <w:sz w:val="32"/>
          <w:szCs w:val="32"/>
        </w:rPr>
      </w:pPr>
      <w:r>
        <w:rPr>
          <w:rFonts w:hint="eastAsia" w:ascii="仿宋_GB2312" w:hAnsi="黑体"/>
          <w:b/>
          <w:bCs/>
          <w:sz w:val="32"/>
          <w:szCs w:val="32"/>
        </w:rPr>
        <w:t>第九条</w:t>
      </w:r>
      <w:r>
        <w:rPr>
          <w:rFonts w:hint="eastAsia" w:ascii="仿宋_GB2312"/>
          <w:sz w:val="32"/>
          <w:szCs w:val="32"/>
        </w:rPr>
        <w:t xml:space="preserve">  调解委员会可以指定调解委员会委员作为调解员具体承担劳动人事争议调解工作，也可以按照相关规定聘请教职工担任调解员具体承担劳动人事争议调解工作。</w:t>
      </w:r>
    </w:p>
    <w:p w14:paraId="28B3A0C6">
      <w:pPr>
        <w:spacing w:line="560" w:lineRule="exact"/>
        <w:ind w:firstLine="643"/>
        <w:rPr>
          <w:rFonts w:hint="eastAsia" w:ascii="仿宋_GB2312"/>
          <w:sz w:val="32"/>
          <w:szCs w:val="32"/>
        </w:rPr>
      </w:pPr>
      <w:r>
        <w:rPr>
          <w:rFonts w:hint="eastAsia" w:ascii="仿宋_GB2312" w:hAnsi="黑体"/>
          <w:b/>
          <w:bCs/>
          <w:sz w:val="32"/>
          <w:szCs w:val="32"/>
        </w:rPr>
        <w:t>第十条</w:t>
      </w:r>
      <w:r>
        <w:rPr>
          <w:rFonts w:hint="eastAsia" w:ascii="仿宋_GB2312"/>
          <w:sz w:val="32"/>
          <w:szCs w:val="32"/>
        </w:rPr>
        <w:t xml:space="preserve">  发生劳动人事争议，可以协商解决；教职工或当事单位不愿协商、协商不成或者协商达成和解协议后不履行的，可以向调解委员会申请调解。</w:t>
      </w:r>
    </w:p>
    <w:p w14:paraId="3C11383B">
      <w:pPr>
        <w:spacing w:line="560" w:lineRule="exact"/>
        <w:ind w:firstLine="643"/>
        <w:rPr>
          <w:rFonts w:hint="eastAsia" w:ascii="仿宋_GB2312"/>
          <w:sz w:val="32"/>
          <w:szCs w:val="32"/>
        </w:rPr>
      </w:pPr>
      <w:r>
        <w:rPr>
          <w:rFonts w:hint="eastAsia" w:ascii="仿宋_GB2312" w:hAnsi="黑体"/>
          <w:b/>
          <w:bCs/>
          <w:sz w:val="32"/>
          <w:szCs w:val="32"/>
        </w:rPr>
        <w:t>第十一条</w:t>
      </w:r>
      <w:r>
        <w:rPr>
          <w:rFonts w:hint="eastAsia" w:ascii="仿宋_GB2312"/>
          <w:sz w:val="32"/>
          <w:szCs w:val="32"/>
        </w:rPr>
        <w:t xml:space="preserve">  劳动人事争议调解期间不影响人事处理的执行，不影响劳动人事合同的订立、履行、变更、解除、终止等。</w:t>
      </w:r>
    </w:p>
    <w:p w14:paraId="16306469">
      <w:pPr>
        <w:spacing w:line="560" w:lineRule="exact"/>
        <w:ind w:firstLine="643"/>
        <w:rPr>
          <w:rFonts w:hint="eastAsia" w:ascii="仿宋_GB2312"/>
          <w:sz w:val="32"/>
          <w:szCs w:val="32"/>
        </w:rPr>
      </w:pPr>
      <w:r>
        <w:rPr>
          <w:rFonts w:hint="eastAsia" w:ascii="仿宋_GB2312" w:hAnsi="黑体"/>
          <w:b/>
          <w:bCs/>
          <w:sz w:val="32"/>
          <w:szCs w:val="32"/>
        </w:rPr>
        <w:t>第十二条</w:t>
      </w:r>
      <w:r>
        <w:rPr>
          <w:rFonts w:hint="eastAsia" w:ascii="仿宋_GB2312"/>
          <w:sz w:val="32"/>
          <w:szCs w:val="32"/>
        </w:rPr>
        <w:t xml:space="preserve">  教职工或当事单位（以下统称当事人）申请劳动人事争议调解，应当自发生劳动人事争议之日起四十五个工作日之内向学院工会提出书面申请，并提交相关基本信息、申请调解的争议事项和事实理由。</w:t>
      </w:r>
    </w:p>
    <w:p w14:paraId="2277B70A">
      <w:pPr>
        <w:spacing w:line="560" w:lineRule="exact"/>
        <w:ind w:firstLine="643"/>
        <w:rPr>
          <w:rFonts w:hint="eastAsia" w:ascii="仿宋_GB2312"/>
          <w:sz w:val="32"/>
          <w:szCs w:val="32"/>
        </w:rPr>
      </w:pPr>
      <w:r>
        <w:rPr>
          <w:rFonts w:hint="eastAsia" w:ascii="仿宋_GB2312" w:hAnsi="黑体"/>
          <w:b/>
          <w:bCs/>
          <w:sz w:val="32"/>
          <w:szCs w:val="32"/>
        </w:rPr>
        <w:t>第十三条</w:t>
      </w:r>
      <w:r>
        <w:rPr>
          <w:rFonts w:hint="eastAsia" w:ascii="仿宋_GB2312"/>
          <w:sz w:val="32"/>
          <w:szCs w:val="32"/>
        </w:rPr>
        <w:t xml:space="preserve">  学院工会应当对劳动人事争议调解申请是否符合受理条件进行审查，同时征询对方当事人的意见。对方当事人在两个工作日内未明确同意接受调解的，视为不同意调解。</w:t>
      </w:r>
    </w:p>
    <w:p w14:paraId="553EDD01">
      <w:pPr>
        <w:spacing w:line="560" w:lineRule="exact"/>
        <w:ind w:firstLine="640"/>
        <w:rPr>
          <w:rFonts w:hint="eastAsia" w:ascii="仿宋_GB2312"/>
          <w:sz w:val="32"/>
          <w:szCs w:val="32"/>
        </w:rPr>
      </w:pPr>
      <w:r>
        <w:rPr>
          <w:rFonts w:hint="eastAsia" w:ascii="仿宋_GB2312"/>
          <w:sz w:val="32"/>
          <w:szCs w:val="32"/>
        </w:rPr>
        <w:t>调解委员会应当在学院工会接到劳动人事争议调解申请后三个工作日内作出是否受理的决定。</w:t>
      </w:r>
    </w:p>
    <w:p w14:paraId="1177B308">
      <w:pPr>
        <w:spacing w:line="560" w:lineRule="exact"/>
        <w:ind w:firstLine="640"/>
        <w:rPr>
          <w:rFonts w:hint="eastAsia" w:ascii="仿宋_GB2312"/>
          <w:sz w:val="32"/>
          <w:szCs w:val="32"/>
        </w:rPr>
      </w:pPr>
      <w:r>
        <w:rPr>
          <w:rFonts w:hint="eastAsia" w:ascii="仿宋_GB2312"/>
          <w:sz w:val="32"/>
          <w:szCs w:val="32"/>
        </w:rPr>
        <w:t>符合受理条件且对方当事人同意调解的，调解委员会应当及时安排调解；不符合受理条件或对方当事人不同意调解的，调解委员会应当向申请人书面说明理由，并告知申请人可提起仲裁或者选择其他救济途径。</w:t>
      </w:r>
    </w:p>
    <w:p w14:paraId="534CB08E">
      <w:pPr>
        <w:spacing w:line="560" w:lineRule="exact"/>
        <w:ind w:firstLine="640"/>
        <w:rPr>
          <w:rFonts w:hint="eastAsia" w:ascii="仿宋_GB2312"/>
          <w:sz w:val="32"/>
          <w:szCs w:val="32"/>
        </w:rPr>
      </w:pPr>
      <w:r>
        <w:rPr>
          <w:rFonts w:hint="eastAsia" w:ascii="仿宋_GB2312"/>
          <w:sz w:val="32"/>
          <w:szCs w:val="32"/>
        </w:rPr>
        <w:t>劳动人事争议当事人已依法提起劳动仲裁或诉讼或者已选择其他救济途径的，调解委员会不再受理调解申请，已经受理调解申请的可以终止调解。</w:t>
      </w:r>
    </w:p>
    <w:p w14:paraId="2A535F73">
      <w:pPr>
        <w:spacing w:line="560" w:lineRule="exact"/>
        <w:ind w:firstLine="643"/>
        <w:rPr>
          <w:rFonts w:hint="eastAsia" w:ascii="仿宋_GB2312"/>
          <w:sz w:val="32"/>
          <w:szCs w:val="32"/>
        </w:rPr>
      </w:pPr>
      <w:r>
        <w:rPr>
          <w:rFonts w:hint="eastAsia" w:ascii="仿宋_GB2312" w:hAnsi="黑体"/>
          <w:b/>
          <w:bCs/>
          <w:sz w:val="32"/>
          <w:szCs w:val="32"/>
        </w:rPr>
        <w:t>第十四条</w:t>
      </w:r>
      <w:r>
        <w:rPr>
          <w:rFonts w:hint="eastAsia" w:ascii="仿宋_GB2312"/>
          <w:sz w:val="32"/>
          <w:szCs w:val="32"/>
        </w:rPr>
        <w:t xml:space="preserve">  调解委员会受理劳动人事争议调解申请后，应当提前三个工作日将调解时间、地点通知当事人，并视劳动人事争议复杂程度指定一名或多名调解员进行调解。权利义务明确、事实清楚的劳动人事争议，可以指定一名调解员进行调解；复杂争议，可以指定两名以上调解员进行调解。</w:t>
      </w:r>
    </w:p>
    <w:p w14:paraId="18FEF6EF">
      <w:pPr>
        <w:spacing w:line="560" w:lineRule="exact"/>
        <w:ind w:firstLine="643"/>
        <w:rPr>
          <w:rFonts w:hint="eastAsia" w:ascii="仿宋_GB2312"/>
          <w:sz w:val="32"/>
          <w:szCs w:val="32"/>
        </w:rPr>
      </w:pPr>
      <w:r>
        <w:rPr>
          <w:rFonts w:hint="eastAsia" w:ascii="仿宋_GB2312" w:hAnsi="黑体"/>
          <w:b/>
          <w:bCs/>
          <w:sz w:val="32"/>
          <w:szCs w:val="32"/>
        </w:rPr>
        <w:t>第十五条</w:t>
      </w:r>
      <w:r>
        <w:rPr>
          <w:rFonts w:hint="eastAsia" w:ascii="仿宋_GB2312"/>
          <w:sz w:val="32"/>
          <w:szCs w:val="32"/>
        </w:rPr>
        <w:t xml:space="preserve">  有下列情形之一的，调解员应当主动回避或经当事人申请回避：</w:t>
      </w:r>
    </w:p>
    <w:p w14:paraId="7C82FB6F">
      <w:pPr>
        <w:spacing w:line="560" w:lineRule="exact"/>
        <w:ind w:firstLine="640"/>
        <w:rPr>
          <w:rFonts w:hint="eastAsia" w:ascii="仿宋_GB2312"/>
          <w:sz w:val="32"/>
          <w:szCs w:val="32"/>
        </w:rPr>
      </w:pPr>
      <w:r>
        <w:rPr>
          <w:rFonts w:hint="eastAsia" w:ascii="仿宋_GB2312"/>
          <w:sz w:val="32"/>
          <w:szCs w:val="32"/>
        </w:rPr>
        <w:t>（一）与当事人有利害关系的；</w:t>
      </w:r>
    </w:p>
    <w:p w14:paraId="5A272D3A">
      <w:pPr>
        <w:spacing w:line="560" w:lineRule="exact"/>
        <w:ind w:firstLine="640"/>
        <w:rPr>
          <w:rFonts w:hint="eastAsia" w:ascii="仿宋_GB2312"/>
          <w:sz w:val="32"/>
          <w:szCs w:val="32"/>
        </w:rPr>
      </w:pPr>
      <w:r>
        <w:rPr>
          <w:rFonts w:hint="eastAsia" w:ascii="仿宋_GB2312"/>
          <w:sz w:val="32"/>
          <w:szCs w:val="32"/>
        </w:rPr>
        <w:t>（二）与劳动人事争议有利害关系的；</w:t>
      </w:r>
    </w:p>
    <w:p w14:paraId="3AF259FF">
      <w:pPr>
        <w:spacing w:line="560" w:lineRule="exact"/>
        <w:ind w:firstLine="640"/>
        <w:rPr>
          <w:rFonts w:hint="eastAsia" w:ascii="仿宋_GB2312"/>
          <w:sz w:val="32"/>
          <w:szCs w:val="32"/>
        </w:rPr>
      </w:pPr>
      <w:r>
        <w:rPr>
          <w:rFonts w:hint="eastAsia" w:ascii="仿宋_GB2312"/>
          <w:sz w:val="32"/>
          <w:szCs w:val="32"/>
        </w:rPr>
        <w:t>（三）其他可能妨碍劳动人事争议公正处理的情形。</w:t>
      </w:r>
    </w:p>
    <w:p w14:paraId="36CE7250">
      <w:pPr>
        <w:spacing w:line="560" w:lineRule="exact"/>
        <w:ind w:firstLine="643"/>
        <w:rPr>
          <w:rFonts w:hint="eastAsia" w:ascii="仿宋_GB2312"/>
          <w:sz w:val="32"/>
          <w:szCs w:val="32"/>
        </w:rPr>
      </w:pPr>
      <w:r>
        <w:rPr>
          <w:rFonts w:hint="eastAsia" w:ascii="仿宋_GB2312" w:hAnsi="黑体"/>
          <w:b/>
          <w:bCs/>
          <w:sz w:val="32"/>
          <w:szCs w:val="32"/>
        </w:rPr>
        <w:t>第十六条</w:t>
      </w:r>
      <w:r>
        <w:rPr>
          <w:rFonts w:hint="eastAsia" w:ascii="仿宋_GB2312"/>
          <w:sz w:val="32"/>
          <w:szCs w:val="32"/>
        </w:rPr>
        <w:t xml:space="preserve">  调解委员会开展劳动人事争议调解活动一般不公开进行，但双方当事人要求公开的除外。</w:t>
      </w:r>
    </w:p>
    <w:p w14:paraId="2D2F06C9">
      <w:pPr>
        <w:spacing w:line="560" w:lineRule="exact"/>
        <w:ind w:firstLine="643"/>
        <w:rPr>
          <w:rFonts w:hint="eastAsia" w:ascii="仿宋_GB2312"/>
          <w:sz w:val="32"/>
          <w:szCs w:val="32"/>
        </w:rPr>
      </w:pPr>
      <w:r>
        <w:rPr>
          <w:rFonts w:hint="eastAsia" w:ascii="仿宋_GB2312" w:hAnsi="黑体"/>
          <w:b/>
          <w:bCs/>
          <w:sz w:val="32"/>
          <w:szCs w:val="32"/>
        </w:rPr>
        <w:t>第十七条</w:t>
      </w:r>
      <w:r>
        <w:rPr>
          <w:rFonts w:hint="eastAsia" w:ascii="仿宋_GB2312"/>
          <w:sz w:val="32"/>
          <w:szCs w:val="32"/>
        </w:rPr>
        <w:t xml:space="preserve">  调解员开展劳动人事争议调解工作，应当向当事人阐明调解规则和有关事项，充分听取当事人陈述，讲解有关法律、法规和政策，促使当事人自愿达成调解协议。</w:t>
      </w:r>
    </w:p>
    <w:p w14:paraId="607A3CD1">
      <w:pPr>
        <w:spacing w:line="560" w:lineRule="exact"/>
        <w:ind w:firstLine="640"/>
        <w:rPr>
          <w:rFonts w:hint="eastAsia" w:ascii="仿宋_GB2312"/>
          <w:sz w:val="32"/>
          <w:szCs w:val="32"/>
        </w:rPr>
      </w:pPr>
      <w:r>
        <w:rPr>
          <w:rFonts w:hint="eastAsia" w:ascii="仿宋_GB2312"/>
          <w:sz w:val="32"/>
          <w:szCs w:val="32"/>
        </w:rPr>
        <w:t>调解员应当尊重当事人意愿，不得强行调解，不得因未经调解或者调解不成，阻止当事人依法通过法律途径维护自身权利。</w:t>
      </w:r>
    </w:p>
    <w:p w14:paraId="795A77FF">
      <w:pPr>
        <w:spacing w:line="560" w:lineRule="exact"/>
        <w:ind w:firstLine="643"/>
        <w:rPr>
          <w:rFonts w:hint="eastAsia" w:ascii="仿宋_GB2312"/>
          <w:sz w:val="32"/>
          <w:szCs w:val="32"/>
        </w:rPr>
      </w:pPr>
      <w:r>
        <w:rPr>
          <w:rFonts w:hint="eastAsia" w:ascii="仿宋_GB2312" w:hAnsi="黑体"/>
          <w:b/>
          <w:bCs/>
          <w:sz w:val="32"/>
          <w:szCs w:val="32"/>
        </w:rPr>
        <w:t>第十八条</w:t>
      </w:r>
      <w:r>
        <w:rPr>
          <w:rFonts w:hint="eastAsia" w:ascii="仿宋_GB2312"/>
          <w:sz w:val="32"/>
          <w:szCs w:val="32"/>
        </w:rPr>
        <w:t xml:space="preserve">  当事人参与劳动人事争议调解，应当听从调解员安排，如实陈述事实，尊重对方当事人。</w:t>
      </w:r>
    </w:p>
    <w:p w14:paraId="2EB9C618">
      <w:pPr>
        <w:spacing w:line="560" w:lineRule="exact"/>
        <w:ind w:firstLine="643"/>
        <w:rPr>
          <w:rFonts w:hint="eastAsia" w:ascii="仿宋_GB2312"/>
          <w:sz w:val="32"/>
          <w:szCs w:val="32"/>
        </w:rPr>
      </w:pPr>
      <w:r>
        <w:rPr>
          <w:rFonts w:hint="eastAsia" w:ascii="仿宋_GB2312" w:hAnsi="黑体"/>
          <w:b/>
          <w:bCs/>
          <w:sz w:val="32"/>
          <w:szCs w:val="32"/>
        </w:rPr>
        <w:t>第十九条</w:t>
      </w:r>
      <w:r>
        <w:rPr>
          <w:rFonts w:hint="eastAsia" w:ascii="仿宋_GB2312"/>
          <w:sz w:val="32"/>
          <w:szCs w:val="32"/>
        </w:rPr>
        <w:t xml:space="preserve">  经调解达成协议的，调解员应当制作调解协议书。调解协议书应当载明当事人基本情况、请求事项、调解结果、履行期限和履行方式等。</w:t>
      </w:r>
    </w:p>
    <w:p w14:paraId="62B5E09B">
      <w:pPr>
        <w:spacing w:line="560" w:lineRule="exact"/>
        <w:ind w:firstLine="640"/>
        <w:rPr>
          <w:rFonts w:hint="eastAsia" w:ascii="仿宋_GB2312"/>
          <w:sz w:val="32"/>
          <w:szCs w:val="32"/>
        </w:rPr>
      </w:pPr>
      <w:r>
        <w:rPr>
          <w:rFonts w:hint="eastAsia" w:ascii="仿宋_GB2312"/>
          <w:sz w:val="32"/>
          <w:szCs w:val="32"/>
        </w:rPr>
        <w:t>调解协议书由双方当事人签名或者盖章，经调解员签名并加盖调解委员会印章后生效，对双方当事人具有约束力，当事人应当履行。调解协议书由双方当事人和调解委员会各执一份。</w:t>
      </w:r>
    </w:p>
    <w:p w14:paraId="33AC00ED">
      <w:pPr>
        <w:spacing w:line="560" w:lineRule="exact"/>
        <w:ind w:firstLine="643"/>
        <w:rPr>
          <w:rFonts w:hint="eastAsia" w:ascii="仿宋_GB2312"/>
          <w:sz w:val="32"/>
          <w:szCs w:val="32"/>
        </w:rPr>
      </w:pPr>
      <w:r>
        <w:rPr>
          <w:rFonts w:hint="eastAsia" w:ascii="仿宋_GB2312" w:hAnsi="黑体"/>
          <w:b/>
          <w:bCs/>
          <w:sz w:val="32"/>
          <w:szCs w:val="32"/>
        </w:rPr>
        <w:t>第二十条</w:t>
      </w:r>
      <w:r>
        <w:rPr>
          <w:rFonts w:hint="eastAsia" w:ascii="仿宋_GB2312"/>
          <w:sz w:val="32"/>
          <w:szCs w:val="32"/>
        </w:rPr>
        <w:t xml:space="preserve">  调解协议达成后，学院工会应当及时了解调解协议履行情况。</w:t>
      </w:r>
    </w:p>
    <w:p w14:paraId="72CDF1C3">
      <w:pPr>
        <w:spacing w:line="560" w:lineRule="exact"/>
        <w:ind w:firstLine="640"/>
        <w:rPr>
          <w:rFonts w:hint="eastAsia" w:ascii="仿宋_GB2312"/>
          <w:sz w:val="32"/>
          <w:szCs w:val="32"/>
        </w:rPr>
      </w:pPr>
      <w:r>
        <w:rPr>
          <w:rFonts w:hint="eastAsia" w:ascii="仿宋_GB2312"/>
          <w:sz w:val="32"/>
          <w:szCs w:val="32"/>
        </w:rPr>
        <w:t>一方当事人在协议约定期限内无正当理由不履行调解协议的，学院工会应当督促其履行。经督促仍不履行调解协议的，学院工会应当告知另一方当事人可以依法申请仲裁或者可以持调解协议书依法向人民法院申请支付令。</w:t>
      </w:r>
    </w:p>
    <w:p w14:paraId="7884E4E8">
      <w:pPr>
        <w:spacing w:line="560" w:lineRule="exact"/>
        <w:ind w:firstLine="643"/>
        <w:rPr>
          <w:rFonts w:hint="eastAsia" w:ascii="仿宋_GB2312"/>
          <w:sz w:val="32"/>
          <w:szCs w:val="32"/>
        </w:rPr>
      </w:pPr>
      <w:r>
        <w:rPr>
          <w:rFonts w:hint="eastAsia" w:ascii="仿宋_GB2312" w:hAnsi="黑体"/>
          <w:b/>
          <w:bCs/>
          <w:sz w:val="32"/>
          <w:szCs w:val="32"/>
        </w:rPr>
        <w:t>第二十一条</w:t>
      </w:r>
      <w:r>
        <w:rPr>
          <w:rFonts w:hint="eastAsia" w:ascii="仿宋_GB2312"/>
          <w:sz w:val="32"/>
          <w:szCs w:val="32"/>
        </w:rPr>
        <w:t xml:space="preserve">  调解委员会应当自受理劳动人事争议调解申请之日起十五个工作日内组织完成调解工作。调解不成或不宜继续调解的，应当终止调解并予以记录，告知当事人可以依法提起仲裁或者选择其他救济途径。</w:t>
      </w:r>
    </w:p>
    <w:p w14:paraId="01DE53CC">
      <w:pPr>
        <w:spacing w:line="560" w:lineRule="exact"/>
        <w:ind w:firstLine="643"/>
        <w:rPr>
          <w:rFonts w:hint="eastAsia" w:ascii="仿宋_GB2312"/>
          <w:sz w:val="32"/>
          <w:szCs w:val="32"/>
        </w:rPr>
      </w:pPr>
      <w:r>
        <w:rPr>
          <w:rFonts w:hint="eastAsia" w:ascii="仿宋_GB2312" w:hAnsi="黑体"/>
          <w:b/>
          <w:bCs/>
          <w:sz w:val="32"/>
          <w:szCs w:val="32"/>
        </w:rPr>
        <w:t>第二十二条</w:t>
      </w:r>
      <w:r>
        <w:rPr>
          <w:rFonts w:hint="eastAsia" w:ascii="仿宋_GB2312"/>
          <w:sz w:val="32"/>
          <w:szCs w:val="32"/>
        </w:rPr>
        <w:t xml:space="preserve">  学院工会应当及时将劳动人事争议调解工作相关材料立卷归档。</w:t>
      </w:r>
    </w:p>
    <w:p w14:paraId="42413B30">
      <w:pPr>
        <w:spacing w:line="560" w:lineRule="exact"/>
        <w:ind w:firstLine="643"/>
        <w:rPr>
          <w:rFonts w:hint="eastAsia" w:ascii="仿宋_GB2312"/>
          <w:sz w:val="32"/>
          <w:szCs w:val="32"/>
        </w:rPr>
      </w:pPr>
      <w:r>
        <w:rPr>
          <w:rFonts w:hint="eastAsia" w:ascii="仿宋_GB2312" w:hAnsi="黑体"/>
          <w:b/>
          <w:bCs/>
          <w:sz w:val="32"/>
          <w:szCs w:val="32"/>
        </w:rPr>
        <w:t>第二十三条</w:t>
      </w:r>
      <w:r>
        <w:rPr>
          <w:rFonts w:hint="eastAsia" w:ascii="仿宋_GB2312"/>
          <w:sz w:val="32"/>
          <w:szCs w:val="32"/>
        </w:rPr>
        <w:t xml:space="preserve">  对劳动人事争议调解过程、需要保密的相关事项等，调解员及相关参与人员应当严格遵守保密管理相关规定。</w:t>
      </w:r>
    </w:p>
    <w:p w14:paraId="7378636E">
      <w:pPr>
        <w:spacing w:line="560" w:lineRule="exact"/>
        <w:ind w:firstLine="643"/>
        <w:rPr>
          <w:rFonts w:hint="eastAsia" w:ascii="仿宋_GB2312"/>
          <w:sz w:val="32"/>
          <w:szCs w:val="32"/>
        </w:rPr>
      </w:pPr>
      <w:r>
        <w:rPr>
          <w:rFonts w:hint="eastAsia" w:ascii="仿宋_GB2312" w:hAnsi="黑体"/>
          <w:b/>
          <w:bCs/>
          <w:sz w:val="32"/>
          <w:szCs w:val="32"/>
        </w:rPr>
        <w:t>第二十四条</w:t>
      </w:r>
      <w:r>
        <w:rPr>
          <w:rFonts w:hint="eastAsia" w:ascii="仿宋_GB2312"/>
          <w:sz w:val="32"/>
          <w:szCs w:val="32"/>
        </w:rPr>
        <w:t xml:space="preserve">  本办法由学院工会负责解释。</w:t>
      </w:r>
    </w:p>
    <w:p w14:paraId="406F7BE9">
      <w:pPr>
        <w:spacing w:line="560" w:lineRule="exact"/>
        <w:ind w:firstLine="643"/>
        <w:rPr>
          <w:rFonts w:hint="eastAsia" w:ascii="仿宋_GB2312"/>
          <w:sz w:val="32"/>
          <w:szCs w:val="32"/>
        </w:rPr>
      </w:pPr>
      <w:r>
        <w:rPr>
          <w:rFonts w:hint="eastAsia" w:ascii="仿宋_GB2312" w:hAnsi="黑体"/>
          <w:b/>
          <w:bCs/>
          <w:sz w:val="32"/>
          <w:szCs w:val="32"/>
        </w:rPr>
        <w:t>第二十五条</w:t>
      </w:r>
      <w:r>
        <w:rPr>
          <w:rFonts w:hint="eastAsia" w:ascii="仿宋_GB2312"/>
          <w:sz w:val="32"/>
          <w:szCs w:val="32"/>
        </w:rPr>
        <w:t xml:space="preserve">  本办法自公布之日起施行。</w:t>
      </w:r>
    </w:p>
    <w:p w14:paraId="17E6C7FF">
      <w:pPr>
        <w:ind w:firstLine="480"/>
      </w:pPr>
    </w:p>
    <w:sectPr>
      <w:headerReference r:id="rId7" w:type="first"/>
      <w:footerReference r:id="rId10" w:type="first"/>
      <w:headerReference r:id="rId5" w:type="default"/>
      <w:footerReference r:id="rId8" w:type="default"/>
      <w:headerReference r:id="rId6" w:type="even"/>
      <w:footerReference r:id="rId9" w:type="even"/>
      <w:pgSz w:w="11906" w:h="16838"/>
      <w:pgMar w:top="2098" w:right="1474" w:bottom="1984" w:left="1587" w:header="851" w:footer="992" w:gutter="0"/>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等线 Light">
    <w:panose1 w:val="02010600030101010101"/>
    <w:charset w:val="86"/>
    <w:family w:val="auto"/>
    <w:pitch w:val="default"/>
    <w:sig w:usb0="A00002BF" w:usb1="38CF7CFA" w:usb2="00000016" w:usb3="00000000" w:csb0="0004000F" w:csb1="00000000"/>
  </w:font>
  <w:font w:name="方正小标宋简体">
    <w:panose1 w:val="02010601030101010101"/>
    <w:charset w:val="86"/>
    <w:family w:val="auto"/>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0ABF4C">
    <w:pPr>
      <w:pStyle w:val="12"/>
      <w:ind w:left="0" w:leftChars="0" w:firstLine="0" w:firstLineChars="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5880DE0">
                          <w:pPr>
                            <w:pStyle w:val="12"/>
                            <w:ind w:left="0" w:leftChars="0" w:firstLine="0" w:firstLineChars="0"/>
                            <w:rPr>
                              <w:sz w:val="24"/>
                              <w:szCs w:val="24"/>
                            </w:rPr>
                          </w:pPr>
                          <w:r>
                            <w:rPr>
                              <w:sz w:val="24"/>
                              <w:szCs w:val="24"/>
                            </w:rPr>
                            <w:t xml:space="preserve">— </w:t>
                          </w:r>
                          <w:r>
                            <w:rPr>
                              <w:sz w:val="24"/>
                              <w:szCs w:val="24"/>
                            </w:rPr>
                            <w:fldChar w:fldCharType="begin"/>
                          </w:r>
                          <w:r>
                            <w:rPr>
                              <w:sz w:val="24"/>
                              <w:szCs w:val="24"/>
                            </w:rPr>
                            <w:instrText xml:space="preserve"> PAGE  \* MERGEFORMAT </w:instrText>
                          </w:r>
                          <w:r>
                            <w:rPr>
                              <w:sz w:val="24"/>
                              <w:szCs w:val="24"/>
                            </w:rPr>
                            <w:fldChar w:fldCharType="separate"/>
                          </w:r>
                          <w:r>
                            <w:rPr>
                              <w:sz w:val="24"/>
                              <w:szCs w:val="24"/>
                            </w:rPr>
                            <w:t>1</w:t>
                          </w:r>
                          <w:r>
                            <w:rPr>
                              <w:sz w:val="24"/>
                              <w:szCs w:val="24"/>
                            </w:rPr>
                            <w:fldChar w:fldCharType="end"/>
                          </w:r>
                          <w:r>
                            <w:rPr>
                              <w:sz w:val="24"/>
                              <w:szCs w:val="24"/>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35880DE0">
                    <w:pPr>
                      <w:pStyle w:val="12"/>
                      <w:ind w:left="0" w:leftChars="0" w:firstLine="0" w:firstLineChars="0"/>
                      <w:rPr>
                        <w:sz w:val="24"/>
                        <w:szCs w:val="24"/>
                      </w:rPr>
                    </w:pPr>
                    <w:r>
                      <w:rPr>
                        <w:sz w:val="24"/>
                        <w:szCs w:val="24"/>
                      </w:rPr>
                      <w:t xml:space="preserve">— </w:t>
                    </w:r>
                    <w:r>
                      <w:rPr>
                        <w:sz w:val="24"/>
                        <w:szCs w:val="24"/>
                      </w:rPr>
                      <w:fldChar w:fldCharType="begin"/>
                    </w:r>
                    <w:r>
                      <w:rPr>
                        <w:sz w:val="24"/>
                        <w:szCs w:val="24"/>
                      </w:rPr>
                      <w:instrText xml:space="preserve"> PAGE  \* MERGEFORMAT </w:instrText>
                    </w:r>
                    <w:r>
                      <w:rPr>
                        <w:sz w:val="24"/>
                        <w:szCs w:val="24"/>
                      </w:rPr>
                      <w:fldChar w:fldCharType="separate"/>
                    </w:r>
                    <w:r>
                      <w:rPr>
                        <w:sz w:val="24"/>
                        <w:szCs w:val="24"/>
                      </w:rPr>
                      <w:t>1</w:t>
                    </w:r>
                    <w:r>
                      <w:rPr>
                        <w:sz w:val="24"/>
                        <w:szCs w:val="24"/>
                      </w:rPr>
                      <w:fldChar w:fldCharType="end"/>
                    </w:r>
                    <w:r>
                      <w:rPr>
                        <w:sz w:val="24"/>
                        <w:szCs w:val="24"/>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CEE971">
    <w:pPr>
      <w:pStyle w:val="12"/>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D356ED">
    <w:pPr>
      <w:pStyle w:val="12"/>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5EB5B2">
    <w:pPr>
      <w:pStyle w:val="13"/>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B5FCD4">
    <w:pPr>
      <w:pStyle w:val="13"/>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717DF7">
    <w:pPr>
      <w:pStyle w:val="13"/>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E2N2I2NWRkYWYzZmEzYWQwZDc4NTc2OGI5ZTZjNDkifQ=="/>
  </w:docVars>
  <w:rsids>
    <w:rsidRoot w:val="00085BCF"/>
    <w:rsid w:val="00011D1E"/>
    <w:rsid w:val="00030E19"/>
    <w:rsid w:val="0007465B"/>
    <w:rsid w:val="00085BCF"/>
    <w:rsid w:val="00107F8C"/>
    <w:rsid w:val="0016573D"/>
    <w:rsid w:val="001D6B23"/>
    <w:rsid w:val="00211F67"/>
    <w:rsid w:val="0021728A"/>
    <w:rsid w:val="00285F59"/>
    <w:rsid w:val="00306FF9"/>
    <w:rsid w:val="00375FE8"/>
    <w:rsid w:val="005C417C"/>
    <w:rsid w:val="0060331E"/>
    <w:rsid w:val="00682C9E"/>
    <w:rsid w:val="00716FCE"/>
    <w:rsid w:val="00761ECF"/>
    <w:rsid w:val="007658D0"/>
    <w:rsid w:val="00796FCF"/>
    <w:rsid w:val="00814BFF"/>
    <w:rsid w:val="0085599A"/>
    <w:rsid w:val="008E502E"/>
    <w:rsid w:val="008F1CD2"/>
    <w:rsid w:val="009B0244"/>
    <w:rsid w:val="009B1F31"/>
    <w:rsid w:val="00A006FF"/>
    <w:rsid w:val="00A6064E"/>
    <w:rsid w:val="00A73C00"/>
    <w:rsid w:val="00AA3118"/>
    <w:rsid w:val="00B15B93"/>
    <w:rsid w:val="00B407CA"/>
    <w:rsid w:val="00B40E36"/>
    <w:rsid w:val="00B74A43"/>
    <w:rsid w:val="00BA7D01"/>
    <w:rsid w:val="00BE09A2"/>
    <w:rsid w:val="00C34D5D"/>
    <w:rsid w:val="00CB520C"/>
    <w:rsid w:val="00CD0F8D"/>
    <w:rsid w:val="00D91AF4"/>
    <w:rsid w:val="00EE0A5F"/>
    <w:rsid w:val="00F73C61"/>
    <w:rsid w:val="00FB3AA7"/>
    <w:rsid w:val="0185357C"/>
    <w:rsid w:val="20966FF2"/>
    <w:rsid w:val="261E712A"/>
    <w:rsid w:val="36886DCB"/>
    <w:rsid w:val="3AED0089"/>
    <w:rsid w:val="5FC82FC4"/>
    <w:rsid w:val="5FC9776C"/>
    <w:rsid w:val="679978B8"/>
    <w:rsid w:val="6BFC78FA"/>
    <w:rsid w:val="7C4772C7"/>
    <w:rsid w:val="7E851E20"/>
    <w:rsid w:val="7FDDA5A9"/>
    <w:rsid w:val="BFBE4FE2"/>
    <w:rsid w:val="EFAD94C0"/>
    <w:rsid w:val="FB7FAA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200" w:firstLineChars="200"/>
      <w:jc w:val="both"/>
    </w:pPr>
    <w:rPr>
      <w:rFonts w:ascii="Times New Roman" w:hAnsi="Times New Roman" w:eastAsia="仿宋_GB2312" w:cstheme="minorBidi"/>
      <w:kern w:val="2"/>
      <w:sz w:val="24"/>
      <w:szCs w:val="24"/>
      <w:lang w:val="en-US" w:eastAsia="zh-CN" w:bidi="ar-SA"/>
      <w14:ligatures w14:val="standardContextual"/>
    </w:rPr>
  </w:style>
  <w:style w:type="paragraph" w:styleId="2">
    <w:name w:val="heading 1"/>
    <w:basedOn w:val="1"/>
    <w:next w:val="1"/>
    <w:link w:val="18"/>
    <w:qFormat/>
    <w:uiPriority w:val="9"/>
    <w:pPr>
      <w:keepNext/>
      <w:keepLines/>
      <w:spacing w:before="50" w:beforeLines="50" w:line="300" w:lineRule="auto"/>
      <w:jc w:val="center"/>
      <w:outlineLvl w:val="0"/>
    </w:pPr>
    <w:rPr>
      <w:rFonts w:eastAsia="黑体" w:cstheme="majorBidi"/>
      <w:b/>
      <w:sz w:val="28"/>
      <w:szCs w:val="48"/>
    </w:rPr>
  </w:style>
  <w:style w:type="paragraph" w:styleId="3">
    <w:name w:val="heading 2"/>
    <w:basedOn w:val="1"/>
    <w:next w:val="1"/>
    <w:link w:val="19"/>
    <w:semiHidden/>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40"/>
      <w:szCs w:val="40"/>
    </w:rPr>
  </w:style>
  <w:style w:type="paragraph" w:styleId="4">
    <w:name w:val="heading 3"/>
    <w:basedOn w:val="1"/>
    <w:next w:val="1"/>
    <w:link w:val="20"/>
    <w:semiHidden/>
    <w:unhideWhenUsed/>
    <w:qFormat/>
    <w:uiPriority w:val="9"/>
    <w:pPr>
      <w:keepNext/>
      <w:keepLines/>
      <w:spacing w:before="160" w:after="80"/>
      <w:outlineLvl w:val="2"/>
    </w:pPr>
    <w:rPr>
      <w:rFonts w:asciiTheme="majorHAnsi" w:hAnsiTheme="majorHAnsi" w:eastAsiaTheme="majorEastAsia" w:cstheme="majorBidi"/>
      <w:color w:val="2F5597" w:themeColor="accent1" w:themeShade="BF"/>
      <w:sz w:val="32"/>
      <w:szCs w:val="32"/>
    </w:rPr>
  </w:style>
  <w:style w:type="paragraph" w:styleId="5">
    <w:name w:val="heading 4"/>
    <w:basedOn w:val="1"/>
    <w:next w:val="1"/>
    <w:link w:val="21"/>
    <w:semiHidden/>
    <w:unhideWhenUsed/>
    <w:qFormat/>
    <w:uiPriority w:val="9"/>
    <w:pPr>
      <w:keepNext/>
      <w:keepLines/>
      <w:spacing w:before="80" w:after="40"/>
      <w:outlineLvl w:val="3"/>
    </w:pPr>
    <w:rPr>
      <w:rFonts w:cstheme="majorBidi"/>
      <w:color w:val="2F5597" w:themeColor="accent1" w:themeShade="BF"/>
      <w:sz w:val="28"/>
      <w:szCs w:val="28"/>
    </w:rPr>
  </w:style>
  <w:style w:type="paragraph" w:styleId="6">
    <w:name w:val="heading 5"/>
    <w:basedOn w:val="1"/>
    <w:next w:val="1"/>
    <w:link w:val="22"/>
    <w:semiHidden/>
    <w:unhideWhenUsed/>
    <w:qFormat/>
    <w:uiPriority w:val="9"/>
    <w:pPr>
      <w:keepNext/>
      <w:keepLines/>
      <w:spacing w:before="80" w:after="40"/>
      <w:outlineLvl w:val="4"/>
    </w:pPr>
    <w:rPr>
      <w:rFonts w:cstheme="majorBidi"/>
      <w:color w:val="2F5597" w:themeColor="accent1" w:themeShade="BF"/>
    </w:rPr>
  </w:style>
  <w:style w:type="paragraph" w:styleId="7">
    <w:name w:val="heading 6"/>
    <w:basedOn w:val="1"/>
    <w:next w:val="1"/>
    <w:link w:val="23"/>
    <w:semiHidden/>
    <w:unhideWhenUsed/>
    <w:qFormat/>
    <w:uiPriority w:val="9"/>
    <w:pPr>
      <w:keepNext/>
      <w:keepLines/>
      <w:spacing w:before="40"/>
      <w:outlineLvl w:val="5"/>
    </w:pPr>
    <w:rPr>
      <w:rFonts w:cstheme="majorBidi"/>
      <w:b/>
      <w:bCs/>
      <w:color w:val="2F5597" w:themeColor="accent1" w:themeShade="BF"/>
    </w:rPr>
  </w:style>
  <w:style w:type="paragraph" w:styleId="8">
    <w:name w:val="heading 7"/>
    <w:basedOn w:val="1"/>
    <w:next w:val="1"/>
    <w:link w:val="24"/>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5"/>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6"/>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7">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11">
    <w:name w:val="annotation text"/>
    <w:basedOn w:val="1"/>
    <w:semiHidden/>
    <w:unhideWhenUsed/>
    <w:qFormat/>
    <w:uiPriority w:val="99"/>
    <w:pPr>
      <w:jc w:val="left"/>
    </w:pPr>
  </w:style>
  <w:style w:type="paragraph" w:styleId="12">
    <w:name w:val="footer"/>
    <w:basedOn w:val="1"/>
    <w:link w:val="37"/>
    <w:unhideWhenUsed/>
    <w:qFormat/>
    <w:uiPriority w:val="99"/>
    <w:pPr>
      <w:tabs>
        <w:tab w:val="center" w:pos="4153"/>
        <w:tab w:val="right" w:pos="8306"/>
      </w:tabs>
      <w:snapToGrid w:val="0"/>
      <w:spacing w:line="240" w:lineRule="auto"/>
    </w:pPr>
    <w:rPr>
      <w:sz w:val="18"/>
      <w:szCs w:val="18"/>
    </w:rPr>
  </w:style>
  <w:style w:type="paragraph" w:styleId="13">
    <w:name w:val="header"/>
    <w:basedOn w:val="1"/>
    <w:link w:val="36"/>
    <w:unhideWhenUsed/>
    <w:qFormat/>
    <w:uiPriority w:val="99"/>
    <w:pPr>
      <w:tabs>
        <w:tab w:val="center" w:pos="4153"/>
        <w:tab w:val="right" w:pos="8306"/>
      </w:tabs>
      <w:snapToGrid w:val="0"/>
      <w:spacing w:line="240" w:lineRule="auto"/>
      <w:jc w:val="center"/>
    </w:pPr>
    <w:rPr>
      <w:sz w:val="18"/>
      <w:szCs w:val="18"/>
    </w:rPr>
  </w:style>
  <w:style w:type="paragraph" w:styleId="14">
    <w:name w:val="Subtitle"/>
    <w:basedOn w:val="1"/>
    <w:next w:val="1"/>
    <w:link w:val="28"/>
    <w:qFormat/>
    <w:uiPriority w:val="11"/>
    <w:pPr>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5">
    <w:name w:val="Title"/>
    <w:basedOn w:val="1"/>
    <w:next w:val="1"/>
    <w:link w:val="27"/>
    <w:qFormat/>
    <w:uiPriority w:val="10"/>
    <w:pPr>
      <w:spacing w:after="100" w:afterLines="100" w:line="240" w:lineRule="auto"/>
      <w:contextualSpacing/>
      <w:jc w:val="center"/>
    </w:pPr>
    <w:rPr>
      <w:rFonts w:eastAsia="方正小标宋简体" w:cstheme="majorBidi"/>
      <w:b/>
      <w:spacing w:val="-10"/>
      <w:kern w:val="28"/>
      <w:sz w:val="30"/>
      <w:szCs w:val="56"/>
    </w:rPr>
  </w:style>
  <w:style w:type="character" w:customStyle="1" w:styleId="18">
    <w:name w:val="标题 1 字符"/>
    <w:basedOn w:val="17"/>
    <w:link w:val="2"/>
    <w:qFormat/>
    <w:uiPriority w:val="9"/>
    <w:rPr>
      <w:rFonts w:ascii="Times New Roman" w:hAnsi="Times New Roman" w:eastAsia="黑体" w:cstheme="majorBidi"/>
      <w:b/>
      <w:sz w:val="28"/>
      <w:szCs w:val="48"/>
    </w:rPr>
  </w:style>
  <w:style w:type="character" w:customStyle="1" w:styleId="19">
    <w:name w:val="标题 2 字符"/>
    <w:basedOn w:val="17"/>
    <w:link w:val="3"/>
    <w:semiHidden/>
    <w:qFormat/>
    <w:uiPriority w:val="9"/>
    <w:rPr>
      <w:rFonts w:asciiTheme="majorHAnsi" w:hAnsiTheme="majorHAnsi" w:eastAsiaTheme="majorEastAsia" w:cstheme="majorBidi"/>
      <w:color w:val="2F5597" w:themeColor="accent1" w:themeShade="BF"/>
      <w:sz w:val="40"/>
      <w:szCs w:val="40"/>
    </w:rPr>
  </w:style>
  <w:style w:type="character" w:customStyle="1" w:styleId="20">
    <w:name w:val="标题 3 字符"/>
    <w:basedOn w:val="17"/>
    <w:link w:val="4"/>
    <w:semiHidden/>
    <w:qFormat/>
    <w:uiPriority w:val="9"/>
    <w:rPr>
      <w:rFonts w:asciiTheme="majorHAnsi" w:hAnsiTheme="majorHAnsi" w:eastAsiaTheme="majorEastAsia" w:cstheme="majorBidi"/>
      <w:color w:val="2F5597" w:themeColor="accent1" w:themeShade="BF"/>
      <w:sz w:val="32"/>
      <w:szCs w:val="32"/>
    </w:rPr>
  </w:style>
  <w:style w:type="character" w:customStyle="1" w:styleId="21">
    <w:name w:val="标题 4 字符"/>
    <w:basedOn w:val="17"/>
    <w:link w:val="5"/>
    <w:semiHidden/>
    <w:qFormat/>
    <w:uiPriority w:val="9"/>
    <w:rPr>
      <w:rFonts w:cstheme="majorBidi"/>
      <w:color w:val="2F5597" w:themeColor="accent1" w:themeShade="BF"/>
      <w:sz w:val="28"/>
      <w:szCs w:val="28"/>
    </w:rPr>
  </w:style>
  <w:style w:type="character" w:customStyle="1" w:styleId="22">
    <w:name w:val="标题 5 字符"/>
    <w:basedOn w:val="17"/>
    <w:link w:val="6"/>
    <w:semiHidden/>
    <w:qFormat/>
    <w:uiPriority w:val="9"/>
    <w:rPr>
      <w:rFonts w:cstheme="majorBidi"/>
      <w:color w:val="2F5597" w:themeColor="accent1" w:themeShade="BF"/>
      <w:sz w:val="24"/>
    </w:rPr>
  </w:style>
  <w:style w:type="character" w:customStyle="1" w:styleId="23">
    <w:name w:val="标题 6 字符"/>
    <w:basedOn w:val="17"/>
    <w:link w:val="7"/>
    <w:semiHidden/>
    <w:qFormat/>
    <w:uiPriority w:val="9"/>
    <w:rPr>
      <w:rFonts w:cstheme="majorBidi"/>
      <w:b/>
      <w:bCs/>
      <w:color w:val="2F5597" w:themeColor="accent1" w:themeShade="BF"/>
    </w:rPr>
  </w:style>
  <w:style w:type="character" w:customStyle="1" w:styleId="24">
    <w:name w:val="标题 7 字符"/>
    <w:basedOn w:val="17"/>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5">
    <w:name w:val="标题 8 字符"/>
    <w:basedOn w:val="17"/>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6">
    <w:name w:val="标题 9 字符"/>
    <w:basedOn w:val="17"/>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7">
    <w:name w:val="标题 字符"/>
    <w:basedOn w:val="17"/>
    <w:link w:val="15"/>
    <w:qFormat/>
    <w:uiPriority w:val="10"/>
    <w:rPr>
      <w:rFonts w:ascii="Times New Roman" w:hAnsi="Times New Roman" w:eastAsia="方正小标宋简体" w:cstheme="majorBidi"/>
      <w:b/>
      <w:spacing w:val="-10"/>
      <w:kern w:val="28"/>
      <w:sz w:val="30"/>
      <w:szCs w:val="56"/>
    </w:rPr>
  </w:style>
  <w:style w:type="character" w:customStyle="1" w:styleId="28">
    <w:name w:val="副标题 字符"/>
    <w:basedOn w:val="17"/>
    <w:link w:val="14"/>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9">
    <w:name w:val="Quote"/>
    <w:basedOn w:val="1"/>
    <w:next w:val="1"/>
    <w:link w:val="30"/>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30">
    <w:name w:val="引用 字符"/>
    <w:basedOn w:val="17"/>
    <w:link w:val="29"/>
    <w:qFormat/>
    <w:uiPriority w:val="29"/>
    <w:rPr>
      <w:i/>
      <w:iCs/>
      <w:color w:val="404040" w:themeColor="text1" w:themeTint="BF"/>
      <w14:textFill>
        <w14:solidFill>
          <w14:schemeClr w14:val="tx1">
            <w14:lumMod w14:val="75000"/>
            <w14:lumOff w14:val="25000"/>
          </w14:schemeClr>
        </w14:solidFill>
      </w14:textFill>
    </w:rPr>
  </w:style>
  <w:style w:type="paragraph" w:styleId="31">
    <w:name w:val="List Paragraph"/>
    <w:basedOn w:val="1"/>
    <w:qFormat/>
    <w:uiPriority w:val="34"/>
    <w:pPr>
      <w:ind w:left="720"/>
      <w:contextualSpacing/>
    </w:pPr>
  </w:style>
  <w:style w:type="character" w:customStyle="1" w:styleId="32">
    <w:name w:val="明显强调1"/>
    <w:basedOn w:val="17"/>
    <w:qFormat/>
    <w:uiPriority w:val="21"/>
    <w:rPr>
      <w:i/>
      <w:iCs/>
      <w:color w:val="2F5597" w:themeColor="accent1" w:themeShade="BF"/>
    </w:rPr>
  </w:style>
  <w:style w:type="paragraph" w:styleId="33">
    <w:name w:val="Intense Quote"/>
    <w:basedOn w:val="1"/>
    <w:next w:val="1"/>
    <w:link w:val="34"/>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34">
    <w:name w:val="明显引用 字符"/>
    <w:basedOn w:val="17"/>
    <w:link w:val="33"/>
    <w:qFormat/>
    <w:uiPriority w:val="30"/>
    <w:rPr>
      <w:i/>
      <w:iCs/>
      <w:color w:val="2F5597" w:themeColor="accent1" w:themeShade="BF"/>
    </w:rPr>
  </w:style>
  <w:style w:type="character" w:customStyle="1" w:styleId="35">
    <w:name w:val="明显参考1"/>
    <w:basedOn w:val="17"/>
    <w:qFormat/>
    <w:uiPriority w:val="32"/>
    <w:rPr>
      <w:b/>
      <w:bCs/>
      <w:smallCaps/>
      <w:color w:val="2F5597" w:themeColor="accent1" w:themeShade="BF"/>
      <w:spacing w:val="5"/>
    </w:rPr>
  </w:style>
  <w:style w:type="character" w:customStyle="1" w:styleId="36">
    <w:name w:val="页眉 字符"/>
    <w:basedOn w:val="17"/>
    <w:link w:val="13"/>
    <w:qFormat/>
    <w:uiPriority w:val="99"/>
    <w:rPr>
      <w:sz w:val="18"/>
      <w:szCs w:val="18"/>
    </w:rPr>
  </w:style>
  <w:style w:type="character" w:customStyle="1" w:styleId="37">
    <w:name w:val="页脚 字符"/>
    <w:basedOn w:val="17"/>
    <w:link w:val="12"/>
    <w:qFormat/>
    <w:uiPriority w:val="99"/>
    <w:rPr>
      <w:sz w:val="18"/>
      <w:szCs w:val="18"/>
    </w:rPr>
  </w:style>
  <w:style w:type="paragraph" w:styleId="38">
    <w:name w:val="No Spacing"/>
    <w:qFormat/>
    <w:uiPriority w:val="1"/>
    <w:pPr>
      <w:widowControl w:val="0"/>
    </w:pPr>
    <w:rPr>
      <w:rFonts w:asciiTheme="minorHAnsi" w:hAnsiTheme="minorHAnsi" w:eastAsiaTheme="minorEastAsia" w:cstheme="minorBidi"/>
      <w:kern w:val="2"/>
      <w:sz w:val="22"/>
      <w:szCs w:val="24"/>
      <w:lang w:val="en-US" w:eastAsia="zh-CN" w:bidi="ar-SA"/>
      <w14:ligatures w14:val="standardContextual"/>
    </w:rPr>
  </w:style>
  <w:style w:type="paragraph" w:customStyle="1" w:styleId="39">
    <w:name w:val="修订1"/>
    <w:hidden/>
    <w:semiHidden/>
    <w:qFormat/>
    <w:uiPriority w:val="99"/>
    <w:rPr>
      <w:rFonts w:asciiTheme="minorHAnsi" w:hAnsiTheme="minorHAnsi" w:eastAsiaTheme="minorEastAsia" w:cstheme="minorBidi"/>
      <w:kern w:val="2"/>
      <w:sz w:val="22"/>
      <w:szCs w:val="24"/>
      <w:lang w:val="en-US" w:eastAsia="zh-CN" w:bidi="ar-SA"/>
      <w14:ligatures w14:val="standardContextual"/>
    </w:rPr>
  </w:style>
  <w:style w:type="paragraph" w:customStyle="1" w:styleId="40">
    <w:name w:val="Revision"/>
    <w:hidden/>
    <w:unhideWhenUsed/>
    <w:qFormat/>
    <w:uiPriority w:val="99"/>
    <w:rPr>
      <w:rFonts w:ascii="Times New Roman" w:hAnsi="Times New Roman" w:eastAsia="仿宋_GB2312" w:cstheme="minorBidi"/>
      <w:kern w:val="2"/>
      <w:sz w:val="24"/>
      <w:szCs w:val="24"/>
      <w:lang w:val="en-US" w:eastAsia="zh-CN" w:bidi="ar-SA"/>
      <w14:ligatures w14:val="standardContextual"/>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Version="6"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4B94CFF-AD52-40D1-8AA4-AAAAE58F06BB}">
  <ds:schemaRefs/>
</ds:datastoreItem>
</file>

<file path=docProps/app.xml><?xml version="1.0" encoding="utf-8"?>
<Properties xmlns="http://schemas.openxmlformats.org/officeDocument/2006/extended-properties" xmlns:vt="http://schemas.openxmlformats.org/officeDocument/2006/docPropsVTypes">
  <Template>Normal</Template>
  <Pages>6</Pages>
  <Words>2388</Words>
  <Characters>2396</Characters>
  <Lines>47</Lines>
  <Paragraphs>49</Paragraphs>
  <TotalTime>0</TotalTime>
  <ScaleCrop>false</ScaleCrop>
  <LinksUpToDate>false</LinksUpToDate>
  <CharactersWithSpaces>2446</CharactersWithSpaces>
  <Application>WPS Office_12.1.0.25222_F1E327BC-269C-435d-A152-05C5408002CA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2026-04-24T01:05:00Z</dcterms:created>
  <dc:creator>旭龙 石</dc:creator>
  <cp:lastModifiedBy>DZB</cp:lastModifiedBy>
  <dcterms:modified xsi:type="dcterms:W3CDTF">2026-07-06T07:01:21Z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2052-12.1.0.25222</vt:lpwstr>
  </property>
  <property fmtid="{D5CDD505-2E9C-101B-9397-08002B2CF9AE}" pid="3" name="ICV">
    <vt:lpwstr>08F1A0278DDF19B41C60336AD0677044_43</vt:lpwstr>
  </property>
  <property fmtid="{D5CDD505-2E9C-101B-9397-08002B2CF9AE}" pid="4" name="KSOTemplateDocerSaveRecord">
    <vt:lpwstr>eyJoZGlkIjoiMGJmNjQ0OWZkYzczOTI0ZjY2MWU3NWM5MjRhNzU3ODkiLCJ1c2VySWQiOiIxNzg2NDU0MzIwIn0=</vt:lpwstr>
  </property>
</Properties>
</file>