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56F2805">
      <w:pPr>
        <w:snapToGrid w:val="0"/>
        <w:spacing w:line="560" w:lineRule="exact"/>
        <w:ind w:firstLine="640" w:firstLineChars="200"/>
        <w:jc w:val="right"/>
        <w:rPr>
          <w:rFonts w:ascii="Times New Roman" w:hAnsi="Times New Roman" w:eastAsia="FangSong_GB2312"/>
          <w:color w:val="000000" w:themeColor="text1"/>
          <w:sz w:val="32"/>
          <w:szCs w:val="32"/>
          <w14:textFill>
            <w14:solidFill>
              <w14:schemeClr w14:val="tx1"/>
            </w14:solidFill>
          </w14:textFill>
        </w:rPr>
      </w:pPr>
      <w:r>
        <w:rPr>
          <w:rFonts w:hint="eastAsia" w:ascii="FangSong_GB2312" w:hAnsi="FangSong_GB2312" w:eastAsia="FangSong_GB2312" w:cs="FangSong_GB2312"/>
          <w:color w:val="000000"/>
          <w:sz w:val="32"/>
          <w:szCs w:val="32"/>
        </w:rPr>
        <w:t>清深国院规〔202</w:t>
      </w:r>
      <w:r>
        <w:rPr>
          <w:rFonts w:hint="eastAsia" w:ascii="FangSong_GB2312" w:hAnsi="FangSong_GB2312" w:eastAsia="FangSong_GB2312" w:cs="FangSong_GB2312"/>
          <w:color w:val="000000"/>
          <w:sz w:val="32"/>
          <w:szCs w:val="32"/>
          <w:lang w:val="en-US" w:eastAsia="zh-CN"/>
        </w:rPr>
        <w:t>6</w:t>
      </w:r>
      <w:r>
        <w:rPr>
          <w:rFonts w:hint="eastAsia" w:ascii="FangSong_GB2312" w:hAnsi="FangSong_GB2312" w:eastAsia="FangSong_GB2312" w:cs="FangSong_GB2312"/>
          <w:color w:val="000000"/>
          <w:sz w:val="32"/>
          <w:szCs w:val="32"/>
        </w:rPr>
        <w:t>〕</w:t>
      </w:r>
      <w:r>
        <w:rPr>
          <w:rFonts w:hint="eastAsia" w:ascii="FangSong_GB2312" w:hAnsi="FangSong_GB2312" w:eastAsia="FangSong_GB2312" w:cs="FangSong_GB2312"/>
          <w:color w:val="000000"/>
          <w:sz w:val="32"/>
          <w:szCs w:val="32"/>
          <w:lang w:val="en-US" w:eastAsia="zh-CN"/>
        </w:rPr>
        <w:t>28</w:t>
      </w:r>
      <w:bookmarkStart w:id="0" w:name="_GoBack"/>
      <w:bookmarkEnd w:id="0"/>
      <w:r>
        <w:rPr>
          <w:rFonts w:hint="eastAsia" w:ascii="FangSong_GB2312" w:hAnsi="FangSong_GB2312" w:eastAsia="FangSong_GB2312" w:cs="FangSong_GB2312"/>
          <w:color w:val="000000"/>
          <w:sz w:val="32"/>
          <w:szCs w:val="32"/>
        </w:rPr>
        <w:t>号</w:t>
      </w:r>
    </w:p>
    <w:p w14:paraId="0078390C">
      <w:pPr>
        <w:spacing w:line="560" w:lineRule="exact"/>
        <w:jc w:val="center"/>
        <w:rPr>
          <w:rFonts w:hint="eastAsia" w:ascii="方正小标宋简体" w:hAnsi="黑体" w:eastAsia="方正小标宋简体" w:cs="宋体"/>
          <w:color w:val="000000"/>
          <w:kern w:val="0"/>
          <w:sz w:val="36"/>
          <w:szCs w:val="36"/>
        </w:rPr>
      </w:pPr>
    </w:p>
    <w:p w14:paraId="74CF0573">
      <w:pPr>
        <w:spacing w:line="560" w:lineRule="exact"/>
        <w:jc w:val="center"/>
        <w:rPr>
          <w:rFonts w:hint="eastAsia" w:ascii="方正小标宋简体" w:hAnsi="黑体" w:eastAsia="方正小标宋简体" w:cs="宋体"/>
          <w:color w:val="000000"/>
          <w:kern w:val="0"/>
          <w:sz w:val="36"/>
          <w:szCs w:val="36"/>
        </w:rPr>
      </w:pPr>
      <w:r>
        <w:rPr>
          <w:rFonts w:hint="eastAsia" w:ascii="方正小标宋简体" w:hAnsi="黑体" w:eastAsia="方正小标宋简体" w:cs="宋体"/>
          <w:color w:val="000000"/>
          <w:kern w:val="0"/>
          <w:sz w:val="36"/>
          <w:szCs w:val="36"/>
        </w:rPr>
        <w:t>清华大学深圳国际研究生院国际、港澳台</w:t>
      </w:r>
    </w:p>
    <w:p w14:paraId="6BC4A142">
      <w:pPr>
        <w:spacing w:line="560" w:lineRule="exact"/>
        <w:jc w:val="center"/>
        <w:rPr>
          <w:rFonts w:ascii="仿宋_GB2312" w:hAnsi="仿宋" w:eastAsia="仿宋_GB2312"/>
          <w:color w:val="000000"/>
          <w:kern w:val="0"/>
          <w:sz w:val="32"/>
          <w:szCs w:val="32"/>
        </w:rPr>
      </w:pPr>
      <w:r>
        <w:rPr>
          <w:rFonts w:hint="eastAsia" w:ascii="方正小标宋简体" w:hAnsi="黑体" w:eastAsia="方正小标宋简体" w:cs="宋体"/>
          <w:color w:val="000000"/>
          <w:kern w:val="0"/>
          <w:sz w:val="36"/>
          <w:szCs w:val="36"/>
        </w:rPr>
        <w:t>合作与交流类合同管理办法</w:t>
      </w:r>
    </w:p>
    <w:p w14:paraId="7E47798E">
      <w:pPr>
        <w:snapToGrid w:val="0"/>
        <w:spacing w:line="560" w:lineRule="exact"/>
        <w:jc w:val="center"/>
        <w:rPr>
          <w:rFonts w:ascii="Times New Roman" w:hAnsi="Times New Roman" w:eastAsia="FangSong_GB2312"/>
          <w:color w:val="000000" w:themeColor="text1"/>
          <w:sz w:val="32"/>
          <w:szCs w:val="32"/>
          <w14:textFill>
            <w14:solidFill>
              <w14:schemeClr w14:val="tx1"/>
            </w14:solidFill>
          </w14:textFill>
        </w:rPr>
      </w:pPr>
      <w:r>
        <w:rPr>
          <w:rFonts w:ascii="Times New Roman" w:hAnsi="Times New Roman" w:eastAsia="FangSong_GB2312"/>
          <w:color w:val="000000" w:themeColor="text1"/>
          <w:sz w:val="32"/>
          <w:szCs w:val="32"/>
          <w14:textFill>
            <w14:solidFill>
              <w14:schemeClr w14:val="tx1"/>
            </w14:solidFill>
          </w14:textFill>
        </w:rPr>
        <w:t>二〇</w:t>
      </w:r>
      <w:r>
        <w:rPr>
          <w:rFonts w:ascii="Times New Roman" w:hAnsi="Times New Roman" w:eastAsia="FangSong_GB2312"/>
          <w:color w:val="000000" w:themeColor="text1"/>
          <w:sz w:val="32"/>
          <w:szCs w:val="32"/>
          <w:lang w:eastAsia="zh-Hans"/>
          <w14:textFill>
            <w14:solidFill>
              <w14:schemeClr w14:val="tx1"/>
            </w14:solidFill>
          </w14:textFill>
        </w:rPr>
        <w:t>二</w:t>
      </w:r>
      <w:r>
        <w:rPr>
          <w:rFonts w:hint="eastAsia" w:ascii="Times New Roman" w:hAnsi="Times New Roman" w:eastAsia="FangSong_GB2312"/>
          <w:color w:val="000000" w:themeColor="text1"/>
          <w:sz w:val="32"/>
          <w:szCs w:val="32"/>
          <w:lang w:val="en-US" w:eastAsia="zh-CN"/>
          <w14:textFill>
            <w14:solidFill>
              <w14:schemeClr w14:val="tx1"/>
            </w14:solidFill>
          </w14:textFill>
        </w:rPr>
        <w:t>五</w:t>
      </w:r>
      <w:r>
        <w:rPr>
          <w:rFonts w:ascii="Times New Roman" w:hAnsi="Times New Roman" w:eastAsia="FangSong_GB2312"/>
          <w:color w:val="000000" w:themeColor="text1"/>
          <w:sz w:val="32"/>
          <w:szCs w:val="32"/>
          <w:lang w:eastAsia="zh-Hans"/>
          <w14:textFill>
            <w14:solidFill>
              <w14:schemeClr w14:val="tx1"/>
            </w14:solidFill>
          </w14:textFill>
        </w:rPr>
        <w:t>年第</w:t>
      </w:r>
      <w:r>
        <w:rPr>
          <w:rFonts w:hint="eastAsia" w:ascii="Times New Roman" w:hAnsi="Times New Roman" w:eastAsia="FangSong_GB2312"/>
          <w:color w:val="000000" w:themeColor="text1"/>
          <w:sz w:val="32"/>
          <w:szCs w:val="32"/>
          <w:lang w:val="en-US" w:eastAsia="zh-CN"/>
          <w14:textFill>
            <w14:solidFill>
              <w14:schemeClr w14:val="tx1"/>
            </w14:solidFill>
          </w14:textFill>
        </w:rPr>
        <w:t>七十一</w:t>
      </w:r>
      <w:r>
        <w:rPr>
          <w:rFonts w:ascii="Times New Roman" w:hAnsi="Times New Roman" w:eastAsia="FangSong_GB2312"/>
          <w:color w:val="000000" w:themeColor="text1"/>
          <w:sz w:val="32"/>
          <w:szCs w:val="32"/>
          <w:lang w:eastAsia="zh-Hans"/>
          <w14:textFill>
            <w14:solidFill>
              <w14:schemeClr w14:val="tx1"/>
            </w14:solidFill>
          </w14:textFill>
        </w:rPr>
        <w:t>次</w:t>
      </w:r>
      <w:r>
        <w:rPr>
          <w:rFonts w:ascii="Times New Roman" w:hAnsi="Times New Roman" w:eastAsia="FangSong_GB2312"/>
          <w:color w:val="000000" w:themeColor="text1"/>
          <w:sz w:val="32"/>
          <w:szCs w:val="32"/>
          <w14:textFill>
            <w14:solidFill>
              <w14:schemeClr w14:val="tx1"/>
            </w14:solidFill>
          </w14:textFill>
        </w:rPr>
        <w:t>党政联席会议</w:t>
      </w:r>
      <w:r>
        <w:rPr>
          <w:rFonts w:ascii="Times New Roman" w:hAnsi="Times New Roman" w:eastAsia="FangSong_GB2312"/>
          <w:color w:val="000000" w:themeColor="text1"/>
          <w:sz w:val="32"/>
          <w:szCs w:val="32"/>
          <w:lang w:eastAsia="zh-Hans"/>
          <w14:textFill>
            <w14:solidFill>
              <w14:schemeClr w14:val="tx1"/>
            </w14:solidFill>
          </w14:textFill>
        </w:rPr>
        <w:t>（</w:t>
      </w:r>
      <w:r>
        <w:rPr>
          <w:rFonts w:hint="eastAsia" w:ascii="Times New Roman" w:hAnsi="Times New Roman" w:eastAsia="FangSong_GB2312"/>
          <w:color w:val="000000" w:themeColor="text1"/>
          <w:sz w:val="32"/>
          <w:szCs w:val="32"/>
          <w:lang w:val="en-US" w:eastAsia="zh-CN"/>
          <w14:textFill>
            <w14:solidFill>
              <w14:schemeClr w14:val="tx1"/>
            </w14:solidFill>
          </w14:textFill>
        </w:rPr>
        <w:t>2025</w:t>
      </w:r>
      <w:r>
        <w:rPr>
          <w:rFonts w:ascii="Times New Roman" w:hAnsi="Times New Roman" w:eastAsia="FangSong_GB2312"/>
          <w:color w:val="000000" w:themeColor="text1"/>
          <w:sz w:val="32"/>
          <w:szCs w:val="32"/>
          <w:lang w:eastAsia="zh-Hans"/>
          <w14:textFill>
            <w14:solidFill>
              <w14:schemeClr w14:val="tx1"/>
            </w14:solidFill>
          </w14:textFill>
        </w:rPr>
        <w:t>年</w:t>
      </w:r>
      <w:r>
        <w:rPr>
          <w:rFonts w:hint="eastAsia" w:ascii="Times New Roman" w:hAnsi="Times New Roman" w:eastAsia="FangSong_GB2312"/>
          <w:color w:val="000000" w:themeColor="text1"/>
          <w:sz w:val="32"/>
          <w:szCs w:val="32"/>
          <w:lang w:val="en-US" w:eastAsia="zh-CN"/>
          <w14:textFill>
            <w14:solidFill>
              <w14:schemeClr w14:val="tx1"/>
            </w14:solidFill>
          </w14:textFill>
        </w:rPr>
        <w:t>12</w:t>
      </w:r>
      <w:r>
        <w:rPr>
          <w:rFonts w:ascii="Times New Roman" w:hAnsi="Times New Roman" w:eastAsia="FangSong_GB2312"/>
          <w:color w:val="000000" w:themeColor="text1"/>
          <w:sz w:val="32"/>
          <w:szCs w:val="32"/>
          <w:lang w:eastAsia="zh-Hans"/>
          <w14:textFill>
            <w14:solidFill>
              <w14:schemeClr w14:val="tx1"/>
            </w14:solidFill>
          </w14:textFill>
        </w:rPr>
        <w:t>月</w:t>
      </w:r>
      <w:r>
        <w:rPr>
          <w:rFonts w:hint="eastAsia" w:ascii="Times New Roman" w:hAnsi="Times New Roman" w:eastAsia="FangSong_GB2312"/>
          <w:color w:val="000000" w:themeColor="text1"/>
          <w:sz w:val="32"/>
          <w:szCs w:val="32"/>
          <w:lang w:val="en-US" w:eastAsia="zh-CN"/>
          <w14:textFill>
            <w14:solidFill>
              <w14:schemeClr w14:val="tx1"/>
            </w14:solidFill>
          </w14:textFill>
        </w:rPr>
        <w:t>17</w:t>
      </w:r>
      <w:r>
        <w:rPr>
          <w:rFonts w:ascii="Times New Roman" w:hAnsi="Times New Roman" w:eastAsia="FangSong_GB2312"/>
          <w:color w:val="000000" w:themeColor="text1"/>
          <w:sz w:val="32"/>
          <w:szCs w:val="32"/>
          <w:lang w:eastAsia="zh-Hans"/>
          <w14:textFill>
            <w14:solidFill>
              <w14:schemeClr w14:val="tx1"/>
            </w14:solidFill>
          </w14:textFill>
        </w:rPr>
        <w:t>日）</w:t>
      </w:r>
      <w:r>
        <w:rPr>
          <w:rFonts w:ascii="Times New Roman" w:hAnsi="Times New Roman" w:eastAsia="FangSong_GB2312"/>
          <w:color w:val="000000" w:themeColor="text1"/>
          <w:sz w:val="32"/>
          <w:szCs w:val="32"/>
          <w14:textFill>
            <w14:solidFill>
              <w14:schemeClr w14:val="tx1"/>
            </w14:solidFill>
          </w14:textFill>
        </w:rPr>
        <w:t>审议通过</w:t>
      </w:r>
    </w:p>
    <w:p w14:paraId="5103D2B6">
      <w:pPr>
        <w:spacing w:line="560" w:lineRule="exact"/>
        <w:ind w:firstLine="643" w:firstLineChars="200"/>
        <w:jc w:val="left"/>
        <w:rPr>
          <w:rFonts w:ascii="仿宋_GB2312" w:hAnsi="宋体" w:eastAsia="仿宋_GB2312" w:cs="宋体"/>
          <w:b/>
          <w:bCs/>
          <w:color w:val="000000"/>
          <w:kern w:val="0"/>
          <w:sz w:val="32"/>
          <w:szCs w:val="32"/>
        </w:rPr>
      </w:pPr>
    </w:p>
    <w:p w14:paraId="1E8E4017">
      <w:pPr>
        <w:spacing w:line="560" w:lineRule="exact"/>
        <w:ind w:firstLine="643" w:firstLineChars="200"/>
        <w:jc w:val="left"/>
        <w:rPr>
          <w:rFonts w:ascii="仿宋_GB2312" w:hAnsi="宋体" w:eastAsia="仿宋_GB2312"/>
          <w:color w:val="000000"/>
          <w:kern w:val="0"/>
          <w:sz w:val="32"/>
          <w:szCs w:val="32"/>
        </w:rPr>
      </w:pPr>
      <w:r>
        <w:rPr>
          <w:rFonts w:hint="eastAsia" w:ascii="仿宋_GB2312" w:hAnsi="宋体" w:eastAsia="仿宋_GB2312" w:cs="宋体"/>
          <w:b/>
          <w:bCs/>
          <w:color w:val="000000"/>
          <w:kern w:val="0"/>
          <w:sz w:val="32"/>
          <w:szCs w:val="32"/>
        </w:rPr>
        <w:t>第一条</w:t>
      </w:r>
      <w:r>
        <w:rPr>
          <w:rFonts w:hint="eastAsia" w:ascii="仿宋_GB2312" w:hAnsi="宋体" w:eastAsia="仿宋_GB2312" w:cs="宋体"/>
          <w:color w:val="000000"/>
          <w:kern w:val="0"/>
          <w:sz w:val="32"/>
          <w:szCs w:val="32"/>
        </w:rPr>
        <w:t xml:space="preserve"> </w:t>
      </w:r>
      <w:r>
        <w:rPr>
          <w:rFonts w:hint="eastAsia" w:ascii="仿宋_GB2312" w:hAnsi="宋体" w:eastAsia="仿宋_GB2312"/>
          <w:color w:val="000000"/>
          <w:kern w:val="0"/>
          <w:sz w:val="32"/>
          <w:szCs w:val="32"/>
        </w:rPr>
        <w:t>为进一步规范清华大学深圳国际研究生院（以下简称学院）国际、港澳台合作与交流类合同管理工作，根据《清华大学国际港澳台合作与交流类合同管理办法》《清华大学深圳国际研究生院合同管理规定》等相关规定，结合学院实际，制定本办法。</w:t>
      </w:r>
    </w:p>
    <w:p w14:paraId="2E6EA6BB">
      <w:pPr>
        <w:spacing w:line="560" w:lineRule="exact"/>
        <w:ind w:firstLine="643" w:firstLineChars="200"/>
        <w:jc w:val="left"/>
        <w:rPr>
          <w:rFonts w:hint="eastAsia" w:ascii="仿宋_GB2312" w:hAnsi="宋体" w:eastAsia="仿宋_GB2312"/>
          <w:color w:val="000000"/>
          <w:kern w:val="0"/>
          <w:sz w:val="32"/>
          <w:szCs w:val="32"/>
        </w:rPr>
      </w:pPr>
      <w:r>
        <w:rPr>
          <w:rFonts w:hint="eastAsia" w:ascii="仿宋_GB2312" w:hAnsi="宋体" w:eastAsia="仿宋_GB2312"/>
          <w:b/>
          <w:bCs/>
          <w:color w:val="000000"/>
          <w:kern w:val="0"/>
          <w:sz w:val="32"/>
          <w:szCs w:val="32"/>
        </w:rPr>
        <w:t>第二条</w:t>
      </w:r>
      <w:r>
        <w:rPr>
          <w:rFonts w:hint="eastAsia" w:ascii="仿宋_GB2312" w:hAnsi="宋体" w:eastAsia="仿宋_GB2312"/>
          <w:color w:val="000000"/>
          <w:kern w:val="0"/>
          <w:sz w:val="32"/>
          <w:szCs w:val="32"/>
        </w:rPr>
        <w:t xml:space="preserve"> 本办法适用于学院与境外自然人、法人和非法人组织等主体订立的下列国际、港澳台合作与交流类合同：</w:t>
      </w:r>
    </w:p>
    <w:p w14:paraId="65FF2AB3">
      <w:pPr>
        <w:spacing w:line="560" w:lineRule="exact"/>
        <w:ind w:firstLine="640" w:firstLineChars="200"/>
        <w:jc w:val="left"/>
        <w:rPr>
          <w:rFonts w:hint="eastAsia" w:ascii="仿宋_GB2312" w:hAnsi="宋体" w:eastAsia="仿宋_GB2312"/>
          <w:color w:val="000000"/>
          <w:kern w:val="0"/>
          <w:sz w:val="32"/>
          <w:szCs w:val="32"/>
        </w:rPr>
      </w:pPr>
      <w:r>
        <w:rPr>
          <w:rFonts w:hint="eastAsia" w:ascii="仿宋_GB2312" w:hAnsi="宋体" w:eastAsia="仿宋_GB2312"/>
          <w:color w:val="000000"/>
          <w:kern w:val="0"/>
          <w:sz w:val="32"/>
          <w:szCs w:val="32"/>
        </w:rPr>
        <w:t>（一）交流合作协议（备忘录）；</w:t>
      </w:r>
    </w:p>
    <w:p w14:paraId="0915FBE8">
      <w:pPr>
        <w:spacing w:line="560" w:lineRule="exact"/>
        <w:ind w:firstLine="640" w:firstLineChars="200"/>
        <w:jc w:val="left"/>
        <w:rPr>
          <w:rFonts w:hint="eastAsia" w:ascii="仿宋_GB2312" w:hAnsi="宋体" w:eastAsia="仿宋_GB2312"/>
          <w:color w:val="000000"/>
          <w:kern w:val="0"/>
          <w:sz w:val="32"/>
          <w:szCs w:val="32"/>
        </w:rPr>
      </w:pPr>
      <w:r>
        <w:rPr>
          <w:rFonts w:hint="eastAsia" w:ascii="仿宋_GB2312" w:hAnsi="宋体" w:eastAsia="仿宋_GB2312"/>
          <w:color w:val="000000"/>
          <w:kern w:val="0"/>
          <w:sz w:val="32"/>
          <w:szCs w:val="32"/>
        </w:rPr>
        <w:t>（二）学生国际化培养协议（含交换生协议、联合学位或双学位协议、联合培养协议等）；</w:t>
      </w:r>
    </w:p>
    <w:p w14:paraId="2B6DB5D2">
      <w:pPr>
        <w:spacing w:line="560" w:lineRule="exact"/>
        <w:ind w:firstLine="640" w:firstLineChars="200"/>
        <w:jc w:val="left"/>
        <w:rPr>
          <w:rFonts w:hint="eastAsia" w:ascii="仿宋_GB2312" w:hAnsi="宋体" w:eastAsia="仿宋_GB2312"/>
          <w:color w:val="000000"/>
          <w:kern w:val="0"/>
          <w:sz w:val="32"/>
          <w:szCs w:val="32"/>
        </w:rPr>
      </w:pPr>
      <w:r>
        <w:rPr>
          <w:rFonts w:hint="eastAsia" w:ascii="仿宋_GB2312" w:hAnsi="宋体" w:eastAsia="仿宋_GB2312"/>
          <w:color w:val="000000"/>
          <w:kern w:val="0"/>
          <w:sz w:val="32"/>
          <w:szCs w:val="32"/>
        </w:rPr>
        <w:t>（三）与境外高校或机构合作举办活动或交流项目协议；</w:t>
      </w:r>
    </w:p>
    <w:p w14:paraId="4CA4D3AB">
      <w:pPr>
        <w:spacing w:line="560" w:lineRule="exact"/>
        <w:ind w:firstLine="640" w:firstLineChars="200"/>
        <w:jc w:val="left"/>
        <w:rPr>
          <w:rFonts w:ascii="仿宋_GB2312" w:hAnsi="宋体" w:eastAsia="仿宋_GB2312"/>
          <w:color w:val="000000"/>
          <w:kern w:val="0"/>
          <w:sz w:val="32"/>
          <w:szCs w:val="32"/>
        </w:rPr>
      </w:pPr>
      <w:r>
        <w:rPr>
          <w:rFonts w:hint="eastAsia" w:ascii="仿宋_GB2312" w:hAnsi="宋体" w:eastAsia="仿宋_GB2312"/>
          <w:color w:val="000000"/>
          <w:kern w:val="0"/>
          <w:sz w:val="32"/>
          <w:szCs w:val="32"/>
        </w:rPr>
        <w:t>（四）其他可能对学院利益产生重大影响的国际、港澳台合作与交流类合同。</w:t>
      </w:r>
    </w:p>
    <w:p w14:paraId="7140673D">
      <w:pPr>
        <w:spacing w:line="560" w:lineRule="exact"/>
        <w:ind w:firstLine="643" w:firstLineChars="200"/>
        <w:jc w:val="left"/>
        <w:rPr>
          <w:rFonts w:ascii="仿宋_GB2312" w:hAnsi="宋体" w:eastAsia="仿宋_GB2312"/>
          <w:color w:val="000000"/>
          <w:kern w:val="0"/>
          <w:sz w:val="32"/>
          <w:szCs w:val="32"/>
        </w:rPr>
      </w:pPr>
      <w:r>
        <w:rPr>
          <w:rFonts w:hint="eastAsia" w:ascii="仿宋_GB2312" w:hAnsi="宋体" w:eastAsia="仿宋_GB2312" w:cs="宋体"/>
          <w:b/>
          <w:bCs/>
          <w:color w:val="000000"/>
          <w:kern w:val="0"/>
          <w:sz w:val="32"/>
          <w:szCs w:val="32"/>
        </w:rPr>
        <w:t>第三条</w:t>
      </w:r>
      <w:r>
        <w:rPr>
          <w:rFonts w:hint="eastAsia" w:ascii="仿宋_GB2312" w:hAnsi="宋体" w:eastAsia="仿宋_GB2312" w:cs="宋体"/>
          <w:color w:val="000000"/>
          <w:kern w:val="0"/>
          <w:sz w:val="32"/>
          <w:szCs w:val="32"/>
        </w:rPr>
        <w:t xml:space="preserve"> 全球事务办公室负责归口管理国际、港澳台合作与交流类合同。</w:t>
      </w:r>
    </w:p>
    <w:p w14:paraId="76F80059">
      <w:pPr>
        <w:spacing w:line="560" w:lineRule="exact"/>
        <w:ind w:firstLine="643" w:firstLineChars="200"/>
        <w:jc w:val="left"/>
        <w:rPr>
          <w:rFonts w:ascii="仿宋_GB2312" w:hAnsi="宋体" w:eastAsia="仿宋_GB2312" w:cs="宋体"/>
          <w:color w:val="000000"/>
          <w:kern w:val="0"/>
          <w:sz w:val="32"/>
          <w:szCs w:val="32"/>
        </w:rPr>
      </w:pPr>
      <w:r>
        <w:rPr>
          <w:rFonts w:hint="eastAsia" w:ascii="仿宋_GB2312" w:hAnsi="宋体" w:eastAsia="仿宋_GB2312" w:cs="宋体"/>
          <w:b/>
          <w:bCs/>
          <w:color w:val="000000"/>
          <w:kern w:val="0"/>
          <w:sz w:val="32"/>
          <w:szCs w:val="32"/>
        </w:rPr>
        <w:t>第四条</w:t>
      </w:r>
      <w:r>
        <w:rPr>
          <w:rFonts w:hint="eastAsia" w:ascii="仿宋_GB2312" w:hAnsi="宋体" w:eastAsia="仿宋_GB2312" w:cs="宋体"/>
          <w:color w:val="000000"/>
          <w:kern w:val="0"/>
          <w:sz w:val="32"/>
          <w:szCs w:val="32"/>
        </w:rPr>
        <w:t xml:space="preserve"> 国际、港澳台合作与交流类合同的承办单位具体负责所承担合同的谈判、起草、报批、履行以及争议处理等工作。</w:t>
      </w:r>
    </w:p>
    <w:p w14:paraId="4C0E3CB1">
      <w:pPr>
        <w:spacing w:line="560" w:lineRule="exact"/>
        <w:ind w:firstLine="643" w:firstLineChars="200"/>
        <w:jc w:val="left"/>
        <w:rPr>
          <w:rFonts w:ascii="仿宋_GB2312" w:hAnsi="宋体" w:eastAsia="仿宋_GB2312" w:cs="宋体"/>
          <w:color w:val="000000"/>
          <w:kern w:val="0"/>
          <w:sz w:val="32"/>
          <w:szCs w:val="32"/>
        </w:rPr>
      </w:pPr>
      <w:r>
        <w:rPr>
          <w:rFonts w:hint="eastAsia" w:ascii="仿宋_GB2312" w:hAnsi="宋体" w:eastAsia="仿宋_GB2312" w:cs="Arial"/>
          <w:b/>
          <w:bCs/>
          <w:color w:val="000000"/>
          <w:kern w:val="0"/>
          <w:sz w:val="32"/>
          <w:szCs w:val="32"/>
        </w:rPr>
        <w:t>第五条</w:t>
      </w:r>
      <w:r>
        <w:rPr>
          <w:rFonts w:hint="eastAsia" w:ascii="仿宋_GB2312" w:hAnsi="宋体" w:eastAsia="仿宋_GB2312" w:cs="Arial"/>
          <w:color w:val="000000"/>
          <w:kern w:val="0"/>
          <w:sz w:val="32"/>
          <w:szCs w:val="32"/>
        </w:rPr>
        <w:t xml:space="preserve"> </w:t>
      </w:r>
      <w:r>
        <w:rPr>
          <w:rFonts w:hint="eastAsia" w:ascii="仿宋_GB2312" w:hAnsi="宋体" w:eastAsia="仿宋_GB2312" w:cs="宋体"/>
          <w:color w:val="000000"/>
          <w:kern w:val="0"/>
          <w:sz w:val="32"/>
          <w:szCs w:val="32"/>
        </w:rPr>
        <w:t>国际、港澳台合作与交流类合同应当以书面形式订立，国家、行业、清华大学（以下简称学校）或者学院有合同示范文本的，原则上应当优先使用相应合同示范文本。</w:t>
      </w:r>
    </w:p>
    <w:p w14:paraId="12867EBB">
      <w:pPr>
        <w:numPr>
          <w:ilvl w:val="255"/>
          <w:numId w:val="0"/>
        </w:numPr>
        <w:spacing w:line="560" w:lineRule="exact"/>
        <w:ind w:firstLine="643" w:firstLineChars="200"/>
        <w:jc w:val="left"/>
        <w:rPr>
          <w:rFonts w:hint="eastAsia" w:ascii="仿宋_GB2312" w:hAnsi="宋体" w:eastAsia="仿宋_GB2312"/>
          <w:color w:val="000000"/>
          <w:kern w:val="0"/>
          <w:sz w:val="32"/>
          <w:szCs w:val="32"/>
        </w:rPr>
      </w:pPr>
      <w:r>
        <w:rPr>
          <w:rFonts w:hint="eastAsia" w:ascii="仿宋_GB2312" w:hAnsi="宋体" w:eastAsia="仿宋_GB2312" w:cs="宋体"/>
          <w:b/>
          <w:bCs/>
          <w:color w:val="000000"/>
          <w:kern w:val="0"/>
          <w:sz w:val="32"/>
          <w:szCs w:val="32"/>
        </w:rPr>
        <w:t xml:space="preserve">第六条 </w:t>
      </w:r>
      <w:r>
        <w:rPr>
          <w:rFonts w:hint="eastAsia" w:ascii="仿宋_GB2312" w:hAnsi="宋体" w:eastAsia="仿宋_GB2312"/>
          <w:color w:val="000000"/>
          <w:kern w:val="0"/>
          <w:sz w:val="32"/>
          <w:szCs w:val="32"/>
        </w:rPr>
        <w:t>国际、港澳台合作与交流类合同订立前，合同执行人（项目负责人）应当做出关联关系声明。存在关联关系的，应当采取以下方式之一进行关联交易评价，通过公平性评价的协议，可以继续履行合同审查手续：</w:t>
      </w:r>
    </w:p>
    <w:p w14:paraId="4CB87AEA">
      <w:pPr>
        <w:numPr>
          <w:ilvl w:val="255"/>
          <w:numId w:val="0"/>
        </w:numPr>
        <w:spacing w:line="560" w:lineRule="exact"/>
        <w:ind w:firstLine="640" w:firstLineChars="200"/>
        <w:jc w:val="left"/>
        <w:rPr>
          <w:rFonts w:hint="eastAsia" w:ascii="仿宋_GB2312" w:hAnsi="宋体" w:eastAsia="仿宋_GB2312"/>
          <w:color w:val="000000"/>
          <w:kern w:val="0"/>
          <w:sz w:val="32"/>
          <w:szCs w:val="32"/>
        </w:rPr>
      </w:pPr>
      <w:r>
        <w:rPr>
          <w:rFonts w:hint="eastAsia" w:ascii="仿宋_GB2312" w:hAnsi="宋体" w:eastAsia="仿宋_GB2312"/>
          <w:color w:val="000000"/>
          <w:kern w:val="0"/>
          <w:sz w:val="32"/>
          <w:szCs w:val="32"/>
        </w:rPr>
        <w:t>（一）由学校国际合作与交流处、港澳台办公室组建独立于合同双方的评审组进行评审；</w:t>
      </w:r>
    </w:p>
    <w:p w14:paraId="5C503893">
      <w:pPr>
        <w:numPr>
          <w:ilvl w:val="255"/>
          <w:numId w:val="0"/>
        </w:numPr>
        <w:spacing w:line="560" w:lineRule="exact"/>
        <w:ind w:firstLine="640" w:firstLineChars="200"/>
        <w:jc w:val="left"/>
        <w:rPr>
          <w:rFonts w:hint="eastAsia" w:ascii="仿宋_GB2312" w:hAnsi="宋体" w:eastAsia="仿宋_GB2312"/>
          <w:color w:val="000000"/>
          <w:kern w:val="0"/>
          <w:sz w:val="32"/>
          <w:szCs w:val="32"/>
        </w:rPr>
      </w:pPr>
      <w:r>
        <w:rPr>
          <w:rFonts w:hint="eastAsia" w:ascii="仿宋_GB2312" w:hAnsi="宋体" w:eastAsia="仿宋_GB2312"/>
          <w:color w:val="000000"/>
          <w:kern w:val="0"/>
          <w:sz w:val="32"/>
          <w:szCs w:val="32"/>
        </w:rPr>
        <w:t>（二）将关联交易信息在学校信息门户网站予以公示；</w:t>
      </w:r>
    </w:p>
    <w:p w14:paraId="0C9749E1">
      <w:pPr>
        <w:numPr>
          <w:ilvl w:val="255"/>
          <w:numId w:val="0"/>
        </w:numPr>
        <w:spacing w:line="560" w:lineRule="exact"/>
        <w:ind w:firstLine="640" w:firstLineChars="200"/>
        <w:jc w:val="left"/>
        <w:rPr>
          <w:rFonts w:hint="eastAsia" w:ascii="仿宋_GB2312" w:hAnsi="宋体" w:eastAsia="仿宋_GB2312"/>
          <w:color w:val="000000"/>
          <w:kern w:val="0"/>
          <w:sz w:val="32"/>
          <w:szCs w:val="32"/>
        </w:rPr>
      </w:pPr>
      <w:r>
        <w:rPr>
          <w:rFonts w:hint="eastAsia" w:ascii="仿宋_GB2312" w:hAnsi="宋体" w:eastAsia="仿宋_GB2312"/>
          <w:color w:val="000000"/>
          <w:kern w:val="0"/>
          <w:sz w:val="32"/>
          <w:szCs w:val="32"/>
        </w:rPr>
        <w:t>（三）以其他合理形式进行关联交易评价。</w:t>
      </w:r>
    </w:p>
    <w:p w14:paraId="23CAE893">
      <w:pPr>
        <w:numPr>
          <w:ilvl w:val="255"/>
          <w:numId w:val="0"/>
        </w:numPr>
        <w:spacing w:line="560" w:lineRule="exact"/>
        <w:ind w:firstLine="640" w:firstLineChars="200"/>
        <w:jc w:val="left"/>
        <w:rPr>
          <w:rFonts w:ascii="仿宋_GB2312" w:hAnsi="宋体" w:eastAsia="仿宋_GB2312" w:cs="宋体"/>
          <w:color w:val="000000"/>
          <w:kern w:val="0"/>
          <w:sz w:val="32"/>
          <w:szCs w:val="32"/>
        </w:rPr>
      </w:pPr>
      <w:r>
        <w:rPr>
          <w:rFonts w:hint="eastAsia" w:ascii="仿宋_GB2312" w:hAnsi="宋体" w:eastAsia="仿宋_GB2312"/>
          <w:color w:val="000000"/>
          <w:kern w:val="0"/>
          <w:sz w:val="32"/>
          <w:szCs w:val="32"/>
        </w:rPr>
        <w:t>因关联交易评价而产生的费用由承办单位承担。</w:t>
      </w:r>
    </w:p>
    <w:p w14:paraId="17B233B7">
      <w:pPr>
        <w:numPr>
          <w:ilvl w:val="255"/>
          <w:numId w:val="0"/>
        </w:numPr>
        <w:spacing w:line="560" w:lineRule="exact"/>
        <w:ind w:firstLine="643" w:firstLineChars="200"/>
        <w:jc w:val="left"/>
        <w:rPr>
          <w:rFonts w:hint="eastAsia" w:ascii="仿宋_GB2312" w:hAnsi="宋体" w:eastAsia="仿宋_GB2312" w:cs="宋体"/>
          <w:color w:val="000000"/>
          <w:kern w:val="0"/>
          <w:sz w:val="32"/>
          <w:szCs w:val="32"/>
        </w:rPr>
      </w:pPr>
      <w:r>
        <w:rPr>
          <w:rFonts w:hint="eastAsia" w:ascii="仿宋_GB2312" w:hAnsi="宋体" w:eastAsia="仿宋_GB2312" w:cs="宋体"/>
          <w:b/>
          <w:bCs/>
          <w:color w:val="000000"/>
          <w:kern w:val="0"/>
          <w:sz w:val="32"/>
          <w:szCs w:val="32"/>
        </w:rPr>
        <w:t>第七条</w:t>
      </w:r>
      <w:r>
        <w:rPr>
          <w:rFonts w:hint="eastAsia" w:ascii="仿宋_GB2312" w:hAnsi="宋体" w:eastAsia="仿宋_GB2312" w:cs="宋体"/>
          <w:color w:val="000000"/>
          <w:kern w:val="0"/>
          <w:sz w:val="32"/>
          <w:szCs w:val="32"/>
        </w:rPr>
        <w:t xml:space="preserve"> 全球事务办公室对承办单位提交的国际、港澳台合作与交流类合同文本以及相关证明材料进行审批。</w:t>
      </w:r>
    </w:p>
    <w:p w14:paraId="0C66936C">
      <w:pPr>
        <w:numPr>
          <w:ilvl w:val="255"/>
          <w:numId w:val="0"/>
        </w:numPr>
        <w:spacing w:line="560" w:lineRule="exact"/>
        <w:ind w:firstLine="640" w:firstLineChars="200"/>
        <w:jc w:val="left"/>
        <w:rPr>
          <w:rFonts w:ascii="仿宋_GB2312" w:hAnsi="宋体" w:eastAsia="仿宋_GB2312" w:cs="宋体"/>
          <w:color w:val="000000"/>
          <w:kern w:val="0"/>
          <w:sz w:val="32"/>
          <w:szCs w:val="32"/>
        </w:rPr>
      </w:pPr>
      <w:r>
        <w:rPr>
          <w:rFonts w:hint="eastAsia" w:ascii="仿宋_GB2312" w:hAnsi="宋体" w:eastAsia="仿宋_GB2312" w:cs="宋体"/>
          <w:color w:val="000000"/>
          <w:kern w:val="0"/>
          <w:sz w:val="32"/>
          <w:szCs w:val="32"/>
        </w:rPr>
        <w:t>在审查过程中，全球事务办公室认为必要的，可以提请相关职能部门会签。</w:t>
      </w:r>
    </w:p>
    <w:p w14:paraId="777FE914">
      <w:pPr>
        <w:spacing w:line="560" w:lineRule="exact"/>
        <w:ind w:firstLine="643" w:firstLineChars="200"/>
        <w:jc w:val="left"/>
        <w:rPr>
          <w:rFonts w:hint="eastAsia" w:ascii="仿宋_GB2312" w:hAnsi="宋体" w:eastAsia="仿宋_GB2312"/>
          <w:color w:val="000000"/>
          <w:kern w:val="0"/>
          <w:sz w:val="32"/>
          <w:szCs w:val="32"/>
        </w:rPr>
      </w:pPr>
      <w:r>
        <w:rPr>
          <w:rFonts w:hint="eastAsia" w:ascii="仿宋_GB2312" w:hAnsi="宋体" w:eastAsia="仿宋_GB2312"/>
          <w:b/>
          <w:bCs/>
          <w:color w:val="000000"/>
          <w:kern w:val="0"/>
          <w:sz w:val="32"/>
          <w:szCs w:val="32"/>
        </w:rPr>
        <w:t>第八条</w:t>
      </w:r>
      <w:r>
        <w:rPr>
          <w:rFonts w:hint="eastAsia" w:ascii="仿宋_GB2312" w:hAnsi="宋体" w:eastAsia="仿宋_GB2312"/>
          <w:color w:val="000000"/>
          <w:kern w:val="0"/>
          <w:sz w:val="32"/>
          <w:szCs w:val="32"/>
        </w:rPr>
        <w:t xml:space="preserve"> 承办单位在报请全球事务办公室审批国际、港澳台合作与交流类合同时，需填写涉外项目审批表，并提交如下材料：</w:t>
      </w:r>
    </w:p>
    <w:p w14:paraId="011D95B6">
      <w:pPr>
        <w:spacing w:line="560" w:lineRule="exact"/>
        <w:ind w:firstLine="640" w:firstLineChars="200"/>
        <w:jc w:val="left"/>
        <w:rPr>
          <w:rFonts w:hint="eastAsia" w:ascii="仿宋_GB2312" w:hAnsi="宋体" w:eastAsia="仿宋_GB2312"/>
          <w:color w:val="000000"/>
          <w:kern w:val="0"/>
          <w:sz w:val="32"/>
          <w:szCs w:val="32"/>
        </w:rPr>
      </w:pPr>
      <w:r>
        <w:rPr>
          <w:rFonts w:hint="eastAsia" w:ascii="仿宋_GB2312" w:hAnsi="宋体" w:eastAsia="仿宋_GB2312"/>
          <w:color w:val="000000"/>
          <w:kern w:val="0"/>
          <w:sz w:val="32"/>
          <w:szCs w:val="32"/>
        </w:rPr>
        <w:t>（一）与合同相对方协商一致的合同文本；</w:t>
      </w:r>
    </w:p>
    <w:p w14:paraId="67051AE4">
      <w:pPr>
        <w:spacing w:line="560" w:lineRule="exact"/>
        <w:ind w:firstLine="640" w:firstLineChars="200"/>
        <w:jc w:val="left"/>
        <w:rPr>
          <w:rFonts w:hint="eastAsia" w:ascii="仿宋_GB2312" w:hAnsi="宋体" w:eastAsia="仿宋_GB2312"/>
          <w:color w:val="000000"/>
          <w:kern w:val="0"/>
          <w:sz w:val="32"/>
          <w:szCs w:val="32"/>
        </w:rPr>
      </w:pPr>
      <w:r>
        <w:rPr>
          <w:rFonts w:hint="eastAsia" w:ascii="仿宋_GB2312" w:hAnsi="宋体" w:eastAsia="仿宋_GB2312"/>
          <w:color w:val="000000"/>
          <w:kern w:val="0"/>
          <w:sz w:val="32"/>
          <w:szCs w:val="32"/>
        </w:rPr>
        <w:t>（二）合同相对方的身份、资质证明材料；</w:t>
      </w:r>
    </w:p>
    <w:p w14:paraId="49E58A60">
      <w:pPr>
        <w:spacing w:line="560" w:lineRule="exact"/>
        <w:ind w:firstLine="640" w:firstLineChars="200"/>
        <w:jc w:val="left"/>
        <w:rPr>
          <w:rFonts w:hint="eastAsia" w:ascii="仿宋_GB2312" w:hAnsi="宋体" w:eastAsia="仿宋_GB2312"/>
          <w:color w:val="000000"/>
          <w:kern w:val="0"/>
          <w:sz w:val="32"/>
          <w:szCs w:val="32"/>
        </w:rPr>
      </w:pPr>
      <w:r>
        <w:rPr>
          <w:rFonts w:hint="eastAsia" w:ascii="仿宋_GB2312" w:hAnsi="宋体" w:eastAsia="仿宋_GB2312"/>
          <w:color w:val="000000"/>
          <w:kern w:val="0"/>
          <w:sz w:val="32"/>
          <w:szCs w:val="32"/>
        </w:rPr>
        <w:t>（三）关于合作背景、合同向对方简要介绍及合作必要性等相关说明的报文；</w:t>
      </w:r>
    </w:p>
    <w:p w14:paraId="05FA5940">
      <w:pPr>
        <w:spacing w:line="560" w:lineRule="exact"/>
        <w:ind w:firstLine="640" w:firstLineChars="200"/>
        <w:jc w:val="left"/>
        <w:rPr>
          <w:rFonts w:hint="eastAsia" w:ascii="仿宋_GB2312" w:hAnsi="宋体" w:eastAsia="仿宋_GB2312"/>
          <w:color w:val="000000"/>
          <w:kern w:val="0"/>
          <w:sz w:val="32"/>
          <w:szCs w:val="32"/>
        </w:rPr>
      </w:pPr>
      <w:r>
        <w:rPr>
          <w:rFonts w:hint="eastAsia" w:ascii="仿宋_GB2312" w:hAnsi="宋体" w:eastAsia="仿宋_GB2312"/>
          <w:color w:val="000000"/>
          <w:kern w:val="0"/>
          <w:sz w:val="32"/>
          <w:szCs w:val="32"/>
        </w:rPr>
        <w:t>（四）学校相关职能部门出具的项目批复意见（指联合学位、双学位或联合培养项目</w:t>
      </w:r>
      <w:r>
        <w:rPr>
          <w:rFonts w:hint="eastAsia" w:ascii="仿宋_GB2312" w:hAnsi="宋体" w:eastAsia="仿宋_GB2312"/>
          <w:color w:val="000000"/>
          <w:kern w:val="0"/>
          <w:sz w:val="32"/>
          <w:szCs w:val="32"/>
          <w:lang w:eastAsia="zh-CN"/>
        </w:rPr>
        <w:t>）</w:t>
      </w:r>
      <w:r>
        <w:rPr>
          <w:rFonts w:hint="eastAsia" w:ascii="仿宋_GB2312" w:hAnsi="宋体" w:eastAsia="仿宋_GB2312"/>
          <w:color w:val="000000"/>
          <w:kern w:val="0"/>
          <w:sz w:val="32"/>
          <w:szCs w:val="32"/>
        </w:rPr>
        <w:t>；</w:t>
      </w:r>
    </w:p>
    <w:p w14:paraId="6B6EB13E">
      <w:pPr>
        <w:spacing w:line="560" w:lineRule="exact"/>
        <w:ind w:firstLine="640" w:firstLineChars="200"/>
        <w:jc w:val="left"/>
        <w:rPr>
          <w:rFonts w:ascii="仿宋_GB2312" w:hAnsi="宋体" w:eastAsia="仿宋_GB2312"/>
          <w:color w:val="000000"/>
          <w:kern w:val="0"/>
          <w:sz w:val="32"/>
          <w:szCs w:val="32"/>
        </w:rPr>
      </w:pPr>
      <w:r>
        <w:rPr>
          <w:rFonts w:hint="eastAsia" w:ascii="仿宋_GB2312" w:hAnsi="宋体" w:eastAsia="仿宋_GB2312"/>
          <w:color w:val="000000"/>
          <w:kern w:val="0"/>
          <w:sz w:val="32"/>
          <w:szCs w:val="32"/>
        </w:rPr>
        <w:t>（五）其他相关材料。</w:t>
      </w:r>
    </w:p>
    <w:p w14:paraId="64F9DA77">
      <w:pPr>
        <w:spacing w:line="560" w:lineRule="exact"/>
        <w:ind w:firstLine="643" w:firstLineChars="200"/>
        <w:jc w:val="left"/>
        <w:rPr>
          <w:rFonts w:hint="eastAsia" w:ascii="仿宋_GB2312" w:hAnsi="宋体" w:eastAsia="仿宋_GB2312" w:cs="宋体"/>
          <w:color w:val="000000"/>
          <w:kern w:val="0"/>
          <w:sz w:val="32"/>
          <w:szCs w:val="32"/>
        </w:rPr>
      </w:pPr>
      <w:r>
        <w:rPr>
          <w:rFonts w:hint="eastAsia" w:ascii="仿宋_GB2312" w:hAnsi="宋体" w:eastAsia="仿宋_GB2312" w:cs="Arial"/>
          <w:b/>
          <w:bCs/>
          <w:color w:val="000000"/>
          <w:kern w:val="0"/>
          <w:sz w:val="32"/>
          <w:szCs w:val="32"/>
        </w:rPr>
        <w:t>第九条</w:t>
      </w:r>
      <w:r>
        <w:rPr>
          <w:rFonts w:hint="eastAsia" w:ascii="仿宋_GB2312" w:hAnsi="宋体" w:eastAsia="仿宋_GB2312" w:cs="Arial"/>
          <w:color w:val="000000"/>
          <w:kern w:val="0"/>
          <w:sz w:val="32"/>
          <w:szCs w:val="32"/>
        </w:rPr>
        <w:t xml:space="preserve"> </w:t>
      </w:r>
      <w:r>
        <w:rPr>
          <w:rFonts w:hint="eastAsia" w:ascii="仿宋_GB2312" w:hAnsi="宋体" w:eastAsia="仿宋_GB2312" w:cs="宋体"/>
          <w:color w:val="000000"/>
          <w:kern w:val="0"/>
          <w:sz w:val="32"/>
          <w:szCs w:val="32"/>
        </w:rPr>
        <w:t>全球事务办公室对承办单位提交的合同文本以及相关材料进行合法合规性审查，原则上应当于收到审查申请之日起五个工作日内反馈审查意见。承办单位修改合同或者补充材料后再次向全球事务办公室提交审查申请的，前述时限重新起算。</w:t>
      </w:r>
    </w:p>
    <w:p w14:paraId="7599BE0E">
      <w:pPr>
        <w:spacing w:line="560" w:lineRule="exact"/>
        <w:ind w:firstLine="640" w:firstLineChars="200"/>
        <w:jc w:val="left"/>
        <w:rPr>
          <w:rFonts w:ascii="仿宋_GB2312" w:hAnsi="宋体" w:eastAsia="仿宋_GB2312"/>
          <w:color w:val="000000"/>
          <w:kern w:val="0"/>
          <w:sz w:val="32"/>
          <w:szCs w:val="32"/>
        </w:rPr>
      </w:pPr>
      <w:r>
        <w:rPr>
          <w:rFonts w:hint="eastAsia" w:ascii="仿宋_GB2312" w:hAnsi="宋体" w:eastAsia="仿宋_GB2312" w:cs="宋体"/>
          <w:color w:val="000000"/>
          <w:kern w:val="0"/>
          <w:sz w:val="32"/>
          <w:szCs w:val="32"/>
        </w:rPr>
        <w:t>全球事务办公室完成合法合规性审查后，经学院分管院领导审批通过后，按规定程序报学校国际合作与交流处、港澳台办公室审批。如合同事项涉及学院“三重一大”的，还应报学院党政联席会议审批，再报学校审批。</w:t>
      </w:r>
    </w:p>
    <w:p w14:paraId="3D244058">
      <w:pPr>
        <w:spacing w:line="560" w:lineRule="exact"/>
        <w:ind w:firstLine="643" w:firstLineChars="200"/>
        <w:jc w:val="left"/>
        <w:rPr>
          <w:rFonts w:ascii="仿宋_GB2312" w:eastAsia="仿宋_GB2312"/>
          <w:color w:val="000000"/>
          <w:sz w:val="32"/>
          <w:szCs w:val="32"/>
        </w:rPr>
      </w:pPr>
      <w:r>
        <w:rPr>
          <w:rFonts w:hint="eastAsia" w:ascii="仿宋_GB2312" w:hAnsi="宋体" w:eastAsia="仿宋_GB2312" w:cs="宋体"/>
          <w:b/>
          <w:bCs/>
          <w:color w:val="000000"/>
          <w:kern w:val="0"/>
          <w:sz w:val="32"/>
          <w:szCs w:val="32"/>
        </w:rPr>
        <w:t xml:space="preserve">第十条 </w:t>
      </w:r>
      <w:r>
        <w:rPr>
          <w:rFonts w:hint="eastAsia" w:ascii="仿宋_GB2312" w:hAnsi="宋体" w:eastAsia="仿宋_GB2312" w:cs="宋体"/>
          <w:color w:val="000000"/>
          <w:kern w:val="0"/>
          <w:sz w:val="32"/>
          <w:szCs w:val="32"/>
        </w:rPr>
        <w:t>经学校国际交流与合作处审批通过后的国际、港澳台合作与交流类合同，由全球事务办公室统一登记、编号，由学校、学院分管领导或合同执行人（项目负责人）作为授权代表在合同文本上签字，如需盖章，按规定程序加盖合同专用章。</w:t>
      </w:r>
    </w:p>
    <w:p w14:paraId="345CB670">
      <w:pPr>
        <w:spacing w:line="560" w:lineRule="exact"/>
        <w:ind w:firstLine="643" w:firstLineChars="200"/>
        <w:jc w:val="left"/>
        <w:rPr>
          <w:rFonts w:hint="eastAsia" w:ascii="仿宋_GB2312" w:hAnsi="宋体" w:eastAsia="仿宋_GB2312"/>
          <w:color w:val="000000"/>
          <w:sz w:val="32"/>
          <w:szCs w:val="32"/>
        </w:rPr>
      </w:pPr>
      <w:r>
        <w:rPr>
          <w:rFonts w:hint="eastAsia" w:ascii="仿宋_GB2312" w:hAnsi="宋体" w:eastAsia="仿宋_GB2312" w:cs="宋体"/>
          <w:b/>
          <w:bCs/>
          <w:color w:val="000000"/>
          <w:kern w:val="0"/>
          <w:sz w:val="32"/>
          <w:szCs w:val="32"/>
        </w:rPr>
        <w:t>第十一条</w:t>
      </w:r>
      <w:r>
        <w:rPr>
          <w:rFonts w:hint="eastAsia" w:ascii="仿宋_GB2312" w:hAnsi="宋体" w:eastAsia="仿宋_GB2312" w:cs="宋体"/>
          <w:color w:val="000000"/>
          <w:kern w:val="0"/>
          <w:sz w:val="32"/>
          <w:szCs w:val="32"/>
        </w:rPr>
        <w:t xml:space="preserve"> </w:t>
      </w:r>
      <w:r>
        <w:rPr>
          <w:rFonts w:hint="eastAsia" w:ascii="仿宋_GB2312" w:hAnsi="宋体" w:eastAsia="仿宋_GB2312"/>
          <w:color w:val="000000"/>
          <w:sz w:val="32"/>
          <w:szCs w:val="32"/>
        </w:rPr>
        <w:t>合同生效后方可开始实际履行。合同主要权利义务已经开始实际履行或者已经履行完毕后签订合同的属于倒签，除出现突发事件、事故和紧急情况等无法立即签署合同的特定情形外，不得倒签合同，由直接负责人承担由此造成的责任。</w:t>
      </w:r>
    </w:p>
    <w:p w14:paraId="0ECB415E">
      <w:pPr>
        <w:spacing w:line="560" w:lineRule="exact"/>
        <w:ind w:firstLine="640" w:firstLineChars="200"/>
        <w:jc w:val="left"/>
        <w:rPr>
          <w:rFonts w:ascii="仿宋_GB2312" w:eastAsia="仿宋_GB2312"/>
          <w:color w:val="000000"/>
          <w:sz w:val="32"/>
          <w:szCs w:val="32"/>
        </w:rPr>
      </w:pPr>
      <w:r>
        <w:rPr>
          <w:rFonts w:hint="eastAsia" w:ascii="仿宋_GB2312" w:hAnsi="宋体" w:eastAsia="仿宋_GB2312"/>
          <w:color w:val="000000"/>
          <w:sz w:val="32"/>
          <w:szCs w:val="32"/>
        </w:rPr>
        <w:t>承办单位应当及时将合同倒签原因、直接责任人及采取措施等相关情况报学院党政联席会议审批，获得批准后将合同报学校审查，再签署合同。</w:t>
      </w:r>
    </w:p>
    <w:p w14:paraId="5B56F2BB">
      <w:pPr>
        <w:spacing w:line="560" w:lineRule="exact"/>
        <w:ind w:firstLine="643" w:firstLineChars="200"/>
        <w:jc w:val="left"/>
        <w:rPr>
          <w:rFonts w:ascii="仿宋_GB2312" w:hAnsi="宋体" w:eastAsia="仿宋_GB2312"/>
          <w:color w:val="000000"/>
          <w:sz w:val="32"/>
          <w:szCs w:val="32"/>
        </w:rPr>
      </w:pPr>
      <w:r>
        <w:rPr>
          <w:rFonts w:hint="eastAsia" w:ascii="仿宋_GB2312" w:eastAsia="仿宋_GB2312"/>
          <w:b/>
          <w:bCs/>
          <w:color w:val="000000"/>
          <w:sz w:val="32"/>
          <w:szCs w:val="32"/>
        </w:rPr>
        <w:t>第十二条</w:t>
      </w:r>
      <w:r>
        <w:rPr>
          <w:rFonts w:hint="eastAsia" w:ascii="仿宋_GB2312" w:eastAsia="仿宋_GB2312"/>
          <w:color w:val="000000"/>
          <w:sz w:val="32"/>
          <w:szCs w:val="32"/>
        </w:rPr>
        <w:t xml:space="preserve"> 合同履行过程中出现任何问题，导致无法按照原合同履行的，承办单位应当及时与合同相对方协商变更或者解除合同。变更或者解除合同的程序参照合同订立程序执行。</w:t>
      </w:r>
    </w:p>
    <w:p w14:paraId="7F032870">
      <w:pPr>
        <w:spacing w:line="560" w:lineRule="exact"/>
        <w:ind w:firstLine="643" w:firstLineChars="200"/>
        <w:jc w:val="left"/>
        <w:rPr>
          <w:rFonts w:ascii="仿宋_GB2312" w:eastAsia="仿宋_GB2312"/>
          <w:color w:val="000000"/>
          <w:sz w:val="32"/>
          <w:szCs w:val="32"/>
        </w:rPr>
      </w:pPr>
      <w:r>
        <w:rPr>
          <w:rFonts w:hint="eastAsia" w:ascii="仿宋_GB2312" w:eastAsia="仿宋_GB2312"/>
          <w:b/>
          <w:bCs/>
          <w:color w:val="000000"/>
          <w:sz w:val="32"/>
          <w:szCs w:val="32"/>
        </w:rPr>
        <w:t>第十三条</w:t>
      </w:r>
      <w:r>
        <w:rPr>
          <w:rFonts w:hint="eastAsia" w:ascii="仿宋_GB2312" w:eastAsia="仿宋_GB2312"/>
          <w:color w:val="000000"/>
          <w:sz w:val="32"/>
          <w:szCs w:val="32"/>
        </w:rPr>
        <w:t xml:space="preserve"> </w:t>
      </w:r>
      <w:r>
        <w:rPr>
          <w:rFonts w:hint="eastAsia" w:ascii="仿宋_GB2312" w:hAnsi="宋体" w:eastAsia="仿宋_GB2312" w:cs="宋体"/>
          <w:color w:val="000000"/>
          <w:kern w:val="0"/>
          <w:sz w:val="32"/>
          <w:szCs w:val="32"/>
        </w:rPr>
        <w:t>国际、港澳台合作与交流类合同生效后，承办单位应当定期向全球事务办公室报送合同履行及终止情况。</w:t>
      </w:r>
    </w:p>
    <w:p w14:paraId="600ADEC0">
      <w:pPr>
        <w:spacing w:line="560" w:lineRule="exact"/>
        <w:ind w:firstLine="643" w:firstLineChars="200"/>
        <w:jc w:val="left"/>
        <w:rPr>
          <w:rFonts w:ascii="仿宋_GB2312" w:hAnsi="宋体" w:eastAsia="仿宋_GB2312" w:cs="宋体"/>
          <w:color w:val="000000"/>
          <w:kern w:val="0"/>
          <w:sz w:val="32"/>
          <w:szCs w:val="32"/>
        </w:rPr>
      </w:pPr>
      <w:r>
        <w:rPr>
          <w:rFonts w:hint="eastAsia" w:ascii="仿宋_GB2312" w:hAnsi="宋体" w:eastAsia="仿宋_GB2312" w:cs="宋体"/>
          <w:b/>
          <w:bCs/>
          <w:color w:val="000000"/>
          <w:kern w:val="0"/>
          <w:sz w:val="32"/>
          <w:szCs w:val="32"/>
        </w:rPr>
        <w:t>第十四条</w:t>
      </w:r>
      <w:r>
        <w:rPr>
          <w:rFonts w:hint="eastAsia" w:ascii="仿宋_GB2312" w:hAnsi="宋体" w:eastAsia="仿宋_GB2312" w:cs="宋体"/>
          <w:color w:val="000000"/>
          <w:kern w:val="0"/>
          <w:sz w:val="32"/>
          <w:szCs w:val="32"/>
        </w:rPr>
        <w:t xml:space="preserve"> 国际、港澳台合作与交流类合同订立与履行过程中不得涉及国家秘密，各单位应遵守保密管理相关规定。</w:t>
      </w:r>
    </w:p>
    <w:p w14:paraId="03E584BB">
      <w:pPr>
        <w:spacing w:line="560" w:lineRule="exact"/>
        <w:ind w:firstLine="643" w:firstLineChars="200"/>
        <w:jc w:val="left"/>
        <w:rPr>
          <w:rFonts w:ascii="仿宋_GB2312" w:hAnsi="宋体" w:eastAsia="仿宋_GB2312"/>
          <w:color w:val="000000"/>
          <w:kern w:val="0"/>
          <w:sz w:val="32"/>
          <w:szCs w:val="32"/>
        </w:rPr>
      </w:pPr>
      <w:r>
        <w:rPr>
          <w:rFonts w:hint="eastAsia" w:ascii="仿宋_GB2312" w:hAnsi="宋体" w:eastAsia="仿宋_GB2312" w:cs="宋体"/>
          <w:b/>
          <w:bCs/>
          <w:color w:val="000000"/>
          <w:kern w:val="0"/>
          <w:sz w:val="32"/>
          <w:szCs w:val="32"/>
        </w:rPr>
        <w:t>第十五条</w:t>
      </w:r>
      <w:r>
        <w:rPr>
          <w:rFonts w:hint="eastAsia" w:ascii="仿宋_GB2312" w:hAnsi="宋体" w:eastAsia="仿宋_GB2312" w:cs="宋体"/>
          <w:color w:val="000000"/>
          <w:kern w:val="0"/>
          <w:sz w:val="32"/>
          <w:szCs w:val="32"/>
        </w:rPr>
        <w:t xml:space="preserve"> 本办法由全球事务办公室负责解释。</w:t>
      </w:r>
    </w:p>
    <w:p w14:paraId="171F7DEF">
      <w:pPr>
        <w:spacing w:line="560" w:lineRule="exact"/>
        <w:ind w:firstLine="643" w:firstLineChars="200"/>
        <w:jc w:val="left"/>
        <w:rPr>
          <w:rFonts w:ascii="仿宋_GB2312" w:eastAsia="仿宋_GB2312"/>
          <w:color w:val="000000"/>
          <w:sz w:val="32"/>
          <w:szCs w:val="32"/>
        </w:rPr>
      </w:pPr>
      <w:r>
        <w:rPr>
          <w:rFonts w:hint="eastAsia" w:ascii="仿宋_GB2312" w:hAnsi="宋体" w:eastAsia="仿宋_GB2312" w:cs="Arial"/>
          <w:b/>
          <w:bCs/>
          <w:color w:val="000000"/>
          <w:kern w:val="0"/>
          <w:sz w:val="32"/>
          <w:szCs w:val="32"/>
        </w:rPr>
        <w:t>第十六条</w:t>
      </w:r>
      <w:r>
        <w:rPr>
          <w:rFonts w:hint="eastAsia" w:ascii="仿宋_GB2312" w:hAnsi="宋体" w:eastAsia="仿宋_GB2312" w:cs="Arial"/>
          <w:color w:val="000000"/>
          <w:kern w:val="0"/>
          <w:sz w:val="32"/>
          <w:szCs w:val="32"/>
        </w:rPr>
        <w:t xml:space="preserve"> </w:t>
      </w:r>
      <w:r>
        <w:rPr>
          <w:rFonts w:hint="eastAsia" w:ascii="仿宋_GB2312" w:eastAsia="仿宋_GB2312"/>
          <w:color w:val="000000"/>
          <w:sz w:val="32"/>
          <w:szCs w:val="32"/>
        </w:rPr>
        <w:t>本办法自公布之日起施行。</w:t>
      </w:r>
    </w:p>
    <w:p w14:paraId="7E53C41C">
      <w:pPr>
        <w:spacing w:line="560" w:lineRule="exact"/>
        <w:ind w:firstLine="640" w:firstLineChars="200"/>
        <w:jc w:val="left"/>
        <w:rPr>
          <w:rFonts w:ascii="仿宋_GB2312" w:hAnsi="宋体" w:eastAsia="仿宋_GB2312"/>
          <w:color w:val="000000"/>
          <w:kern w:val="0"/>
          <w:sz w:val="32"/>
          <w:szCs w:val="32"/>
        </w:rPr>
      </w:pPr>
    </w:p>
    <w:p w14:paraId="0C04F663">
      <w:pPr>
        <w:spacing w:line="560" w:lineRule="exact"/>
        <w:jc w:val="left"/>
        <w:rPr>
          <w:rFonts w:ascii="仿宋_GB2312" w:hAnsi="宋体" w:eastAsia="仿宋_GB2312"/>
          <w:color w:val="000000"/>
          <w:sz w:val="32"/>
          <w:szCs w:val="32"/>
        </w:rPr>
      </w:pPr>
    </w:p>
    <w:p w14:paraId="356CFE12">
      <w:pPr>
        <w:spacing w:line="560" w:lineRule="exact"/>
        <w:jc w:val="left"/>
        <w:rPr>
          <w:rFonts w:ascii="宋体" w:hAnsi="宋体"/>
          <w:color w:val="000000"/>
          <w:sz w:val="24"/>
          <w:szCs w:val="24"/>
        </w:rPr>
      </w:pPr>
    </w:p>
    <w:p w14:paraId="5A2E61C5">
      <w:pPr>
        <w:widowControl/>
        <w:jc w:val="left"/>
        <w:rPr>
          <w:rFonts w:ascii="宋体" w:hAnsi="宋体"/>
          <w:color w:val="000000"/>
          <w:sz w:val="24"/>
          <w:szCs w:val="24"/>
        </w:rPr>
      </w:pPr>
      <w:r>
        <w:rPr>
          <w:rFonts w:hint="eastAsia" w:ascii="宋体" w:hAnsi="宋体"/>
          <w:color w:val="000000"/>
          <w:sz w:val="24"/>
          <w:szCs w:val="24"/>
        </w:rPr>
        <w:br w:type="page"/>
      </w:r>
    </w:p>
    <w:p w14:paraId="1B998E11">
      <w:pPr>
        <w:spacing w:line="560" w:lineRule="exact"/>
        <w:jc w:val="left"/>
        <w:rPr>
          <w:rFonts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附件</w:t>
      </w:r>
    </w:p>
    <w:p w14:paraId="28949C94">
      <w:pPr>
        <w:spacing w:line="560" w:lineRule="exact"/>
        <w:jc w:val="center"/>
        <w:rPr>
          <w:rFonts w:ascii="仿宋_GB2312" w:hAnsi="仿宋_GB2312" w:eastAsia="仿宋_GB2312" w:cs="仿宋_GB2312"/>
          <w:b/>
          <w:color w:val="000000"/>
          <w:sz w:val="24"/>
          <w:szCs w:val="24"/>
        </w:rPr>
      </w:pPr>
      <w:r>
        <w:rPr>
          <w:rFonts w:hint="eastAsia" w:ascii="仿宋_GB2312" w:hAnsi="仿宋_GB2312" w:eastAsia="仿宋_GB2312" w:cs="仿宋_GB2312"/>
          <w:b/>
          <w:color w:val="000000"/>
          <w:sz w:val="24"/>
          <w:szCs w:val="24"/>
        </w:rPr>
        <w:t>清华大学深圳国际研究生院涉外项目审批表</w:t>
      </w:r>
    </w:p>
    <w:p w14:paraId="6847A60A">
      <w:pPr>
        <w:spacing w:line="560" w:lineRule="exact"/>
        <w:jc w:val="center"/>
        <w:rPr>
          <w:rFonts w:ascii="宋体" w:hAnsi="宋体"/>
          <w:b/>
          <w:color w:val="000000"/>
          <w:sz w:val="24"/>
          <w:szCs w:val="24"/>
        </w:rPr>
      </w:pPr>
    </w:p>
    <w:tbl>
      <w:tblPr>
        <w:tblStyle w:val="20"/>
        <w:tblW w:w="7720" w:type="dxa"/>
        <w:tblInd w:w="119" w:type="dxa"/>
        <w:shd w:val="clear" w:color="auto" w:fill="FFFFFF"/>
        <w:tblLayout w:type="fixed"/>
        <w:tblCellMar>
          <w:top w:w="15" w:type="dxa"/>
          <w:left w:w="15" w:type="dxa"/>
          <w:bottom w:w="15" w:type="dxa"/>
          <w:right w:w="15" w:type="dxa"/>
        </w:tblCellMar>
      </w:tblPr>
      <w:tblGrid>
        <w:gridCol w:w="1584"/>
        <w:gridCol w:w="1520"/>
        <w:gridCol w:w="1073"/>
        <w:gridCol w:w="3543"/>
      </w:tblGrid>
      <w:tr w14:paraId="6082E906">
        <w:tblPrEx>
          <w:shd w:val="clear" w:color="auto" w:fill="FFFFFF"/>
          <w:tblCellMar>
            <w:top w:w="15" w:type="dxa"/>
            <w:left w:w="15" w:type="dxa"/>
            <w:bottom w:w="15" w:type="dxa"/>
            <w:right w:w="15" w:type="dxa"/>
          </w:tblCellMar>
        </w:tblPrEx>
        <w:tc>
          <w:tcPr>
            <w:tcW w:w="15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82849F">
            <w:pPr>
              <w:spacing w:line="560" w:lineRule="exact"/>
              <w:jc w:val="left"/>
              <w:rPr>
                <w:rFonts w:ascii="仿宋_GB2312" w:hAnsi="仿宋_GB2312" w:eastAsia="仿宋_GB2312" w:cs="仿宋_GB2312"/>
                <w:kern w:val="0"/>
                <w:sz w:val="24"/>
              </w:rPr>
            </w:pPr>
            <w:r>
              <w:rPr>
                <w:rFonts w:hint="eastAsia" w:ascii="仿宋_GB2312" w:hAnsi="仿宋_GB2312" w:eastAsia="仿宋_GB2312" w:cs="仿宋_GB2312"/>
                <w:kern w:val="0"/>
                <w:sz w:val="24"/>
              </w:rPr>
              <w:t>申请单位</w:t>
            </w:r>
            <w:r>
              <w:rPr>
                <w:rFonts w:ascii="仿宋_GB2312" w:hAnsi="仿宋_GB2312" w:eastAsia="仿宋_GB2312" w:cs="仿宋_GB2312"/>
                <w:kern w:val="0"/>
                <w:sz w:val="24"/>
              </w:rPr>
              <w:t xml:space="preserve"> </w:t>
            </w:r>
          </w:p>
        </w:tc>
        <w:tc>
          <w:tcPr>
            <w:tcW w:w="15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2691DD">
            <w:pPr>
              <w:spacing w:line="560" w:lineRule="exact"/>
              <w:jc w:val="left"/>
              <w:rPr>
                <w:rFonts w:ascii="仿宋_GB2312" w:hAnsi="仿宋_GB2312" w:eastAsia="仿宋_GB2312" w:cs="仿宋_GB2312"/>
                <w:kern w:val="0"/>
                <w:sz w:val="24"/>
              </w:rPr>
            </w:pPr>
          </w:p>
        </w:tc>
        <w:tc>
          <w:tcPr>
            <w:tcW w:w="1073" w:type="dxa"/>
            <w:tcBorders>
              <w:top w:val="single" w:color="000000" w:sz="4" w:space="0"/>
              <w:left w:val="single" w:color="000000" w:sz="4" w:space="0"/>
              <w:bottom w:val="single" w:color="000000" w:sz="4" w:space="0"/>
              <w:right w:val="single" w:color="auto" w:sz="4" w:space="0"/>
            </w:tcBorders>
            <w:shd w:val="clear" w:color="auto" w:fill="FFFFFF"/>
            <w:vAlign w:val="center"/>
          </w:tcPr>
          <w:p w14:paraId="58B6BDC6">
            <w:pPr>
              <w:spacing w:line="560" w:lineRule="exact"/>
              <w:jc w:val="left"/>
              <w:rPr>
                <w:rFonts w:ascii="仿宋_GB2312" w:hAnsi="仿宋_GB2312" w:eastAsia="仿宋_GB2312" w:cs="仿宋_GB2312"/>
                <w:kern w:val="0"/>
                <w:sz w:val="24"/>
              </w:rPr>
            </w:pPr>
            <w:r>
              <w:rPr>
                <w:rFonts w:hint="eastAsia" w:ascii="仿宋_GB2312" w:hAnsi="仿宋_GB2312" w:eastAsia="仿宋_GB2312" w:cs="仿宋_GB2312"/>
                <w:kern w:val="0"/>
                <w:sz w:val="24"/>
              </w:rPr>
              <w:t>送审时间</w:t>
            </w:r>
          </w:p>
        </w:tc>
        <w:tc>
          <w:tcPr>
            <w:tcW w:w="3543" w:type="dxa"/>
            <w:tcBorders>
              <w:top w:val="single" w:color="auto" w:sz="4" w:space="0"/>
              <w:left w:val="single" w:color="auto" w:sz="4" w:space="0"/>
              <w:bottom w:val="single" w:color="auto" w:sz="4" w:space="0"/>
              <w:right w:val="single" w:color="auto" w:sz="4" w:space="0"/>
            </w:tcBorders>
            <w:shd w:val="clear" w:color="auto" w:fill="FFFFFF"/>
            <w:vAlign w:val="center"/>
          </w:tcPr>
          <w:p w14:paraId="759B43BF">
            <w:pPr>
              <w:spacing w:line="560" w:lineRule="exact"/>
              <w:jc w:val="left"/>
              <w:rPr>
                <w:rFonts w:ascii="仿宋_GB2312" w:hAnsi="仿宋_GB2312" w:eastAsia="仿宋_GB2312" w:cs="仿宋_GB2312"/>
                <w:kern w:val="0"/>
                <w:sz w:val="24"/>
              </w:rPr>
            </w:pPr>
          </w:p>
        </w:tc>
      </w:tr>
      <w:tr w14:paraId="32478379">
        <w:tblPrEx>
          <w:shd w:val="clear" w:color="auto" w:fill="FFFFFF"/>
          <w:tblCellMar>
            <w:top w:w="15" w:type="dxa"/>
            <w:left w:w="15" w:type="dxa"/>
            <w:bottom w:w="15" w:type="dxa"/>
            <w:right w:w="15" w:type="dxa"/>
          </w:tblCellMar>
        </w:tblPrEx>
        <w:tc>
          <w:tcPr>
            <w:tcW w:w="15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328816">
            <w:pPr>
              <w:spacing w:line="560" w:lineRule="exact"/>
              <w:jc w:val="left"/>
              <w:rPr>
                <w:rFonts w:ascii="仿宋_GB2312" w:hAnsi="仿宋_GB2312" w:eastAsia="仿宋_GB2312" w:cs="仿宋_GB2312"/>
                <w:kern w:val="0"/>
                <w:sz w:val="24"/>
              </w:rPr>
            </w:pPr>
            <w:r>
              <w:rPr>
                <w:rFonts w:hint="eastAsia" w:ascii="仿宋_GB2312" w:hAnsi="仿宋_GB2312" w:eastAsia="仿宋_GB2312" w:cs="仿宋_GB2312"/>
                <w:kern w:val="0"/>
                <w:sz w:val="24"/>
              </w:rPr>
              <w:t>经办人</w:t>
            </w:r>
            <w:r>
              <w:rPr>
                <w:rFonts w:ascii="仿宋_GB2312" w:hAnsi="仿宋_GB2312" w:eastAsia="仿宋_GB2312" w:cs="仿宋_GB2312"/>
                <w:kern w:val="0"/>
                <w:sz w:val="24"/>
              </w:rPr>
              <w:t xml:space="preserve"> </w:t>
            </w:r>
          </w:p>
        </w:tc>
        <w:tc>
          <w:tcPr>
            <w:tcW w:w="15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9B85F7">
            <w:pPr>
              <w:spacing w:line="560" w:lineRule="exact"/>
              <w:jc w:val="left"/>
              <w:rPr>
                <w:rFonts w:ascii="仿宋_GB2312" w:hAnsi="仿宋_GB2312" w:eastAsia="仿宋_GB2312" w:cs="仿宋_GB2312"/>
                <w:kern w:val="0"/>
                <w:sz w:val="24"/>
              </w:rPr>
            </w:pPr>
          </w:p>
        </w:tc>
        <w:tc>
          <w:tcPr>
            <w:tcW w:w="107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6F23A1">
            <w:pPr>
              <w:spacing w:line="560" w:lineRule="exact"/>
              <w:jc w:val="left"/>
              <w:rPr>
                <w:rFonts w:ascii="仿宋_GB2312" w:hAnsi="仿宋_GB2312" w:eastAsia="仿宋_GB2312" w:cs="仿宋_GB2312"/>
                <w:kern w:val="0"/>
                <w:sz w:val="24"/>
              </w:rPr>
            </w:pPr>
            <w:r>
              <w:rPr>
                <w:rFonts w:hint="eastAsia" w:ascii="仿宋_GB2312" w:hAnsi="仿宋_GB2312" w:eastAsia="仿宋_GB2312" w:cs="仿宋_GB2312"/>
                <w:kern w:val="0"/>
                <w:sz w:val="24"/>
              </w:rPr>
              <w:t>联系电话</w:t>
            </w:r>
          </w:p>
        </w:tc>
        <w:tc>
          <w:tcPr>
            <w:tcW w:w="3543" w:type="dxa"/>
            <w:tcBorders>
              <w:top w:val="single" w:color="auto" w:sz="4" w:space="0"/>
              <w:left w:val="single" w:color="000000" w:sz="4" w:space="0"/>
              <w:bottom w:val="single" w:color="000000" w:sz="4" w:space="0"/>
              <w:right w:val="single" w:color="000000" w:sz="4" w:space="0"/>
            </w:tcBorders>
            <w:shd w:val="clear" w:color="auto" w:fill="FFFFFF"/>
            <w:vAlign w:val="center"/>
          </w:tcPr>
          <w:p w14:paraId="39B6BB98">
            <w:pPr>
              <w:spacing w:line="560" w:lineRule="exact"/>
              <w:jc w:val="left"/>
              <w:rPr>
                <w:rFonts w:ascii="仿宋_GB2312" w:hAnsi="仿宋_GB2312" w:eastAsia="仿宋_GB2312" w:cs="仿宋_GB2312"/>
                <w:kern w:val="0"/>
                <w:sz w:val="24"/>
              </w:rPr>
            </w:pPr>
          </w:p>
        </w:tc>
      </w:tr>
      <w:tr w14:paraId="006721E8">
        <w:tblPrEx>
          <w:shd w:val="clear" w:color="auto" w:fill="FFFFFF"/>
          <w:tblCellMar>
            <w:top w:w="15" w:type="dxa"/>
            <w:left w:w="15" w:type="dxa"/>
            <w:bottom w:w="15" w:type="dxa"/>
            <w:right w:w="15" w:type="dxa"/>
          </w:tblCellMar>
        </w:tblPrEx>
        <w:tc>
          <w:tcPr>
            <w:tcW w:w="15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8B76D8">
            <w:pPr>
              <w:spacing w:line="560" w:lineRule="exact"/>
              <w:jc w:val="left"/>
              <w:rPr>
                <w:rFonts w:ascii="仿宋_GB2312" w:hAnsi="仿宋_GB2312" w:eastAsia="仿宋_GB2312" w:cs="仿宋_GB2312"/>
                <w:kern w:val="0"/>
                <w:sz w:val="24"/>
              </w:rPr>
            </w:pPr>
            <w:r>
              <w:rPr>
                <w:rFonts w:hint="eastAsia" w:ascii="仿宋_GB2312" w:hAnsi="仿宋_GB2312" w:eastAsia="仿宋_GB2312" w:cs="仿宋_GB2312"/>
                <w:kern w:val="0"/>
                <w:sz w:val="24"/>
              </w:rPr>
              <w:t>相关文本名称</w:t>
            </w:r>
            <w:r>
              <w:rPr>
                <w:rFonts w:ascii="仿宋_GB2312" w:hAnsi="仿宋_GB2312" w:eastAsia="仿宋_GB2312" w:cs="仿宋_GB2312"/>
                <w:kern w:val="0"/>
                <w:sz w:val="24"/>
              </w:rPr>
              <w:t xml:space="preserve"> </w:t>
            </w:r>
          </w:p>
        </w:tc>
        <w:tc>
          <w:tcPr>
            <w:tcW w:w="6136"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D5B3E06">
            <w:pPr>
              <w:spacing w:line="560" w:lineRule="exact"/>
              <w:jc w:val="left"/>
              <w:rPr>
                <w:rFonts w:ascii="仿宋_GB2312" w:hAnsi="仿宋_GB2312" w:eastAsia="仿宋_GB2312" w:cs="仿宋_GB2312"/>
                <w:kern w:val="0"/>
                <w:sz w:val="24"/>
              </w:rPr>
            </w:pPr>
          </w:p>
        </w:tc>
      </w:tr>
      <w:tr w14:paraId="43558E55">
        <w:tblPrEx>
          <w:shd w:val="clear" w:color="auto" w:fill="FFFFFF"/>
          <w:tblCellMar>
            <w:top w:w="15" w:type="dxa"/>
            <w:left w:w="15" w:type="dxa"/>
            <w:bottom w:w="15" w:type="dxa"/>
            <w:right w:w="15" w:type="dxa"/>
          </w:tblCellMar>
        </w:tblPrEx>
        <w:tc>
          <w:tcPr>
            <w:tcW w:w="15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8C7DD4">
            <w:pPr>
              <w:spacing w:line="560" w:lineRule="exact"/>
              <w:jc w:val="left"/>
              <w:rPr>
                <w:rFonts w:ascii="仿宋_GB2312" w:hAnsi="仿宋_GB2312" w:eastAsia="仿宋_GB2312" w:cs="仿宋_GB2312"/>
                <w:kern w:val="0"/>
                <w:sz w:val="24"/>
              </w:rPr>
            </w:pPr>
            <w:r>
              <w:rPr>
                <w:rFonts w:hint="eastAsia" w:ascii="仿宋_GB2312" w:hAnsi="仿宋_GB2312" w:eastAsia="仿宋_GB2312" w:cs="仿宋_GB2312"/>
                <w:kern w:val="0"/>
                <w:sz w:val="24"/>
              </w:rPr>
              <w:t>文本份数</w:t>
            </w:r>
            <w:r>
              <w:rPr>
                <w:rFonts w:ascii="仿宋_GB2312" w:hAnsi="仿宋_GB2312" w:eastAsia="仿宋_GB2312" w:cs="仿宋_GB2312"/>
                <w:kern w:val="0"/>
                <w:sz w:val="24"/>
              </w:rPr>
              <w:t xml:space="preserve"> </w:t>
            </w:r>
          </w:p>
        </w:tc>
        <w:tc>
          <w:tcPr>
            <w:tcW w:w="6136"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BC3D881">
            <w:pPr>
              <w:spacing w:line="560" w:lineRule="exact"/>
              <w:jc w:val="left"/>
              <w:rPr>
                <w:rFonts w:ascii="仿宋_GB2312" w:hAnsi="仿宋_GB2312" w:eastAsia="仿宋_GB2312" w:cs="仿宋_GB2312"/>
                <w:kern w:val="0"/>
                <w:sz w:val="24"/>
              </w:rPr>
            </w:pPr>
          </w:p>
        </w:tc>
      </w:tr>
      <w:tr w14:paraId="22272E2B">
        <w:tblPrEx>
          <w:shd w:val="clear" w:color="auto" w:fill="FFFFFF"/>
          <w:tblCellMar>
            <w:top w:w="15" w:type="dxa"/>
            <w:left w:w="15" w:type="dxa"/>
            <w:bottom w:w="15" w:type="dxa"/>
            <w:right w:w="15" w:type="dxa"/>
          </w:tblCellMar>
        </w:tblPrEx>
        <w:tc>
          <w:tcPr>
            <w:tcW w:w="15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422B25">
            <w:pPr>
              <w:spacing w:line="560" w:lineRule="exact"/>
              <w:jc w:val="left"/>
              <w:rPr>
                <w:rFonts w:ascii="仿宋_GB2312" w:hAnsi="仿宋_GB2312" w:eastAsia="仿宋_GB2312" w:cs="仿宋_GB2312"/>
                <w:kern w:val="0"/>
                <w:sz w:val="24"/>
              </w:rPr>
            </w:pPr>
            <w:r>
              <w:rPr>
                <w:rFonts w:hint="eastAsia" w:ascii="仿宋_GB2312" w:hAnsi="仿宋_GB2312" w:eastAsia="仿宋_GB2312" w:cs="仿宋_GB2312"/>
                <w:kern w:val="0"/>
                <w:sz w:val="24"/>
              </w:rPr>
              <w:t>涉及金额</w:t>
            </w:r>
            <w:r>
              <w:rPr>
                <w:rFonts w:ascii="仿宋_GB2312" w:hAnsi="仿宋_GB2312" w:eastAsia="仿宋_GB2312" w:cs="仿宋_GB2312"/>
                <w:kern w:val="0"/>
                <w:sz w:val="24"/>
              </w:rPr>
              <w:t xml:space="preserve"> </w:t>
            </w:r>
          </w:p>
        </w:tc>
        <w:tc>
          <w:tcPr>
            <w:tcW w:w="15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7E033B">
            <w:pPr>
              <w:spacing w:line="560" w:lineRule="exact"/>
              <w:jc w:val="left"/>
              <w:rPr>
                <w:rFonts w:ascii="仿宋_GB2312" w:hAnsi="仿宋_GB2312" w:eastAsia="仿宋_GB2312" w:cs="仿宋_GB2312"/>
                <w:kern w:val="0"/>
                <w:sz w:val="24"/>
              </w:rPr>
            </w:pPr>
          </w:p>
        </w:tc>
        <w:tc>
          <w:tcPr>
            <w:tcW w:w="107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4ED1A4">
            <w:pPr>
              <w:spacing w:line="560" w:lineRule="exact"/>
              <w:jc w:val="left"/>
              <w:rPr>
                <w:rFonts w:ascii="仿宋_GB2312" w:hAnsi="仿宋_GB2312" w:eastAsia="仿宋_GB2312" w:cs="仿宋_GB2312"/>
                <w:kern w:val="0"/>
                <w:sz w:val="24"/>
              </w:rPr>
            </w:pPr>
            <w:r>
              <w:rPr>
                <w:rFonts w:hint="eastAsia" w:ascii="仿宋_GB2312" w:hAnsi="仿宋_GB2312" w:eastAsia="仿宋_GB2312" w:cs="仿宋_GB2312"/>
                <w:kern w:val="0"/>
                <w:sz w:val="24"/>
              </w:rPr>
              <w:t>文本有效期</w:t>
            </w:r>
            <w:r>
              <w:rPr>
                <w:rFonts w:ascii="仿宋_GB2312" w:hAnsi="仿宋_GB2312" w:eastAsia="仿宋_GB2312" w:cs="仿宋_GB2312"/>
                <w:kern w:val="0"/>
                <w:sz w:val="24"/>
              </w:rPr>
              <w:t xml:space="preserve"> </w:t>
            </w:r>
          </w:p>
        </w:tc>
        <w:tc>
          <w:tcPr>
            <w:tcW w:w="35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CD46F0">
            <w:pPr>
              <w:spacing w:line="560" w:lineRule="exact"/>
              <w:jc w:val="left"/>
              <w:rPr>
                <w:rFonts w:ascii="仿宋_GB2312" w:hAnsi="仿宋_GB2312" w:eastAsia="仿宋_GB2312" w:cs="仿宋_GB2312"/>
                <w:kern w:val="0"/>
                <w:sz w:val="24"/>
              </w:rPr>
            </w:pPr>
          </w:p>
        </w:tc>
      </w:tr>
      <w:tr w14:paraId="0AE1711E">
        <w:tblPrEx>
          <w:shd w:val="clear" w:color="auto" w:fill="FFFFFF"/>
          <w:tblCellMar>
            <w:top w:w="15" w:type="dxa"/>
            <w:left w:w="15" w:type="dxa"/>
            <w:bottom w:w="15" w:type="dxa"/>
            <w:right w:w="15" w:type="dxa"/>
          </w:tblCellMar>
        </w:tblPrEx>
        <w:trPr>
          <w:trHeight w:val="986" w:hRule="atLeast"/>
        </w:trPr>
        <w:tc>
          <w:tcPr>
            <w:tcW w:w="15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22FE50">
            <w:pPr>
              <w:spacing w:line="560" w:lineRule="exact"/>
              <w:jc w:val="left"/>
              <w:rPr>
                <w:rFonts w:ascii="仿宋_GB2312" w:hAnsi="仿宋_GB2312" w:eastAsia="仿宋_GB2312" w:cs="仿宋_GB2312"/>
                <w:kern w:val="0"/>
                <w:sz w:val="24"/>
              </w:rPr>
            </w:pPr>
            <w:r>
              <w:rPr>
                <w:rFonts w:hint="eastAsia" w:ascii="仿宋_GB2312" w:hAnsi="仿宋_GB2312" w:eastAsia="仿宋_GB2312" w:cs="仿宋_GB2312"/>
                <w:kern w:val="0"/>
                <w:sz w:val="24"/>
              </w:rPr>
              <w:t>文本内容（简要说明）</w:t>
            </w:r>
            <w:r>
              <w:rPr>
                <w:rFonts w:ascii="仿宋_GB2312" w:hAnsi="仿宋_GB2312" w:eastAsia="仿宋_GB2312" w:cs="仿宋_GB2312"/>
                <w:kern w:val="0"/>
                <w:sz w:val="24"/>
              </w:rPr>
              <w:t xml:space="preserve"> </w:t>
            </w:r>
          </w:p>
        </w:tc>
        <w:tc>
          <w:tcPr>
            <w:tcW w:w="6136"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D8322F8">
            <w:pPr>
              <w:spacing w:line="560" w:lineRule="exact"/>
              <w:jc w:val="left"/>
              <w:rPr>
                <w:rFonts w:ascii="仿宋_GB2312" w:hAnsi="仿宋_GB2312" w:eastAsia="仿宋_GB2312" w:cs="仿宋_GB2312"/>
                <w:kern w:val="0"/>
                <w:sz w:val="24"/>
              </w:rPr>
            </w:pPr>
            <w:r>
              <w:rPr>
                <w:rFonts w:hint="eastAsia" w:ascii="仿宋_GB2312" w:hAnsi="仿宋_GB2312" w:eastAsia="仿宋_GB2312" w:cs="仿宋_GB2312"/>
                <w:kern w:val="0"/>
                <w:sz w:val="24"/>
              </w:rPr>
              <w:t>学术互动、教师交流、联合培养、科学研究</w:t>
            </w:r>
          </w:p>
        </w:tc>
      </w:tr>
      <w:tr w14:paraId="6D548648">
        <w:tblPrEx>
          <w:shd w:val="clear" w:color="auto" w:fill="FFFFFF"/>
          <w:tblCellMar>
            <w:top w:w="15" w:type="dxa"/>
            <w:left w:w="15" w:type="dxa"/>
            <w:bottom w:w="15" w:type="dxa"/>
            <w:right w:w="15" w:type="dxa"/>
          </w:tblCellMar>
        </w:tblPrEx>
        <w:trPr>
          <w:trHeight w:val="384" w:hRule="atLeast"/>
        </w:trPr>
        <w:tc>
          <w:tcPr>
            <w:tcW w:w="1584" w:type="dxa"/>
            <w:vMerge w:val="restart"/>
            <w:tcBorders>
              <w:top w:val="single" w:color="000000" w:sz="4" w:space="0"/>
              <w:left w:val="single" w:color="000000" w:sz="4" w:space="0"/>
              <w:right w:val="single" w:color="000000" w:sz="4" w:space="0"/>
            </w:tcBorders>
            <w:shd w:val="clear" w:color="auto" w:fill="FFFFFF"/>
            <w:vAlign w:val="center"/>
          </w:tcPr>
          <w:p w14:paraId="05BD4A64">
            <w:pPr>
              <w:spacing w:line="560" w:lineRule="exact"/>
              <w:jc w:val="left"/>
              <w:rPr>
                <w:rFonts w:ascii="仿宋_GB2312" w:hAnsi="仿宋_GB2312" w:eastAsia="仿宋_GB2312" w:cs="仿宋_GB2312"/>
                <w:kern w:val="0"/>
                <w:sz w:val="24"/>
              </w:rPr>
            </w:pPr>
            <w:r>
              <w:rPr>
                <w:rFonts w:hint="eastAsia" w:ascii="仿宋_GB2312" w:hAnsi="仿宋_GB2312" w:eastAsia="仿宋_GB2312" w:cs="仿宋_GB2312"/>
                <w:kern w:val="0"/>
                <w:sz w:val="24"/>
              </w:rPr>
              <w:t>相关材料清单</w:t>
            </w:r>
          </w:p>
        </w:tc>
        <w:tc>
          <w:tcPr>
            <w:tcW w:w="15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DBA489">
            <w:pPr>
              <w:spacing w:line="560" w:lineRule="exact"/>
              <w:jc w:val="left"/>
              <w:rPr>
                <w:rFonts w:ascii="仿宋_GB2312" w:hAnsi="仿宋_GB2312" w:eastAsia="仿宋_GB2312" w:cs="仿宋_GB2312"/>
                <w:kern w:val="0"/>
                <w:sz w:val="24"/>
              </w:rPr>
            </w:pPr>
          </w:p>
        </w:tc>
        <w:tc>
          <w:tcPr>
            <w:tcW w:w="4616"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0A43FD2E">
            <w:pPr>
              <w:spacing w:line="560" w:lineRule="exact"/>
              <w:jc w:val="left"/>
              <w:rPr>
                <w:rFonts w:ascii="仿宋_GB2312" w:hAnsi="仿宋_GB2312" w:eastAsia="仿宋_GB2312" w:cs="仿宋_GB2312"/>
                <w:kern w:val="0"/>
                <w:sz w:val="24"/>
              </w:rPr>
            </w:pPr>
            <w:r>
              <w:rPr>
                <w:rFonts w:hint="eastAsia" w:ascii="仿宋_GB2312" w:hAnsi="仿宋_GB2312" w:eastAsia="仿宋_GB2312" w:cs="仿宋_GB2312"/>
                <w:kern w:val="0"/>
                <w:sz w:val="24"/>
              </w:rPr>
              <w:t>一式</w:t>
            </w:r>
            <w:r>
              <w:rPr>
                <w:rFonts w:ascii="仿宋_GB2312" w:hAnsi="仿宋_GB2312" w:eastAsia="仿宋_GB2312" w:cs="仿宋_GB2312"/>
                <w:kern w:val="0"/>
                <w:sz w:val="24"/>
              </w:rPr>
              <w:t xml:space="preserve"> </w:t>
            </w:r>
            <w:r>
              <w:rPr>
                <w:rFonts w:hint="eastAsia" w:ascii="仿宋_GB2312" w:hAnsi="仿宋_GB2312" w:eastAsia="仿宋_GB2312" w:cs="仿宋_GB2312"/>
                <w:kern w:val="0"/>
                <w:sz w:val="24"/>
              </w:rPr>
              <w:t>份，每份</w:t>
            </w:r>
            <w:r>
              <w:rPr>
                <w:rFonts w:ascii="仿宋_GB2312" w:hAnsi="仿宋_GB2312" w:eastAsia="仿宋_GB2312" w:cs="仿宋_GB2312"/>
                <w:kern w:val="0"/>
                <w:sz w:val="24"/>
              </w:rPr>
              <w:t xml:space="preserve"> </w:t>
            </w:r>
            <w:r>
              <w:rPr>
                <w:rFonts w:hint="eastAsia" w:ascii="仿宋_GB2312" w:hAnsi="仿宋_GB2312" w:eastAsia="仿宋_GB2312" w:cs="仿宋_GB2312"/>
                <w:kern w:val="0"/>
                <w:sz w:val="24"/>
              </w:rPr>
              <w:t>页</w:t>
            </w:r>
          </w:p>
        </w:tc>
      </w:tr>
      <w:tr w14:paraId="3F921FC2">
        <w:tblPrEx>
          <w:shd w:val="clear" w:color="auto" w:fill="FFFFFF"/>
          <w:tblCellMar>
            <w:top w:w="15" w:type="dxa"/>
            <w:left w:w="15" w:type="dxa"/>
            <w:bottom w:w="15" w:type="dxa"/>
            <w:right w:w="15" w:type="dxa"/>
          </w:tblCellMar>
        </w:tblPrEx>
        <w:trPr>
          <w:trHeight w:val="389" w:hRule="atLeast"/>
        </w:trPr>
        <w:tc>
          <w:tcPr>
            <w:tcW w:w="1584" w:type="dxa"/>
            <w:vMerge w:val="continue"/>
            <w:tcBorders>
              <w:left w:val="single" w:color="000000" w:sz="4" w:space="0"/>
              <w:right w:val="single" w:color="000000" w:sz="4" w:space="0"/>
            </w:tcBorders>
            <w:shd w:val="clear" w:color="auto" w:fill="FFFFFF"/>
            <w:vAlign w:val="center"/>
          </w:tcPr>
          <w:p w14:paraId="5EB05750">
            <w:pPr>
              <w:spacing w:line="560" w:lineRule="exact"/>
              <w:jc w:val="left"/>
              <w:rPr>
                <w:rFonts w:ascii="仿宋_GB2312" w:hAnsi="仿宋_GB2312" w:eastAsia="仿宋_GB2312" w:cs="仿宋_GB2312"/>
                <w:kern w:val="0"/>
                <w:sz w:val="24"/>
              </w:rPr>
            </w:pPr>
          </w:p>
        </w:tc>
        <w:tc>
          <w:tcPr>
            <w:tcW w:w="15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128C47">
            <w:pPr>
              <w:spacing w:line="560" w:lineRule="exact"/>
              <w:jc w:val="left"/>
              <w:rPr>
                <w:rFonts w:ascii="仿宋_GB2312" w:hAnsi="仿宋_GB2312" w:eastAsia="仿宋_GB2312" w:cs="仿宋_GB2312"/>
                <w:kern w:val="0"/>
                <w:sz w:val="20"/>
                <w:szCs w:val="20"/>
              </w:rPr>
            </w:pPr>
          </w:p>
        </w:tc>
        <w:tc>
          <w:tcPr>
            <w:tcW w:w="4616"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189C4F12">
            <w:pPr>
              <w:spacing w:line="560" w:lineRule="exact"/>
              <w:jc w:val="left"/>
              <w:rPr>
                <w:rFonts w:ascii="仿宋_GB2312" w:hAnsi="仿宋_GB2312" w:eastAsia="仿宋_GB2312" w:cs="仿宋_GB2312"/>
                <w:kern w:val="0"/>
                <w:sz w:val="20"/>
                <w:szCs w:val="20"/>
              </w:rPr>
            </w:pPr>
            <w:r>
              <w:rPr>
                <w:rFonts w:hint="eastAsia" w:ascii="仿宋_GB2312" w:hAnsi="仿宋_GB2312" w:eastAsia="仿宋_GB2312" w:cs="仿宋_GB2312"/>
                <w:kern w:val="0"/>
                <w:sz w:val="24"/>
              </w:rPr>
              <w:t>一式</w:t>
            </w:r>
            <w:r>
              <w:rPr>
                <w:rFonts w:ascii="仿宋_GB2312" w:hAnsi="仿宋_GB2312" w:eastAsia="仿宋_GB2312" w:cs="仿宋_GB2312"/>
                <w:kern w:val="0"/>
                <w:sz w:val="24"/>
              </w:rPr>
              <w:t xml:space="preserve"> </w:t>
            </w:r>
            <w:r>
              <w:rPr>
                <w:rFonts w:hint="eastAsia" w:ascii="仿宋_GB2312" w:hAnsi="仿宋_GB2312" w:eastAsia="仿宋_GB2312" w:cs="仿宋_GB2312"/>
                <w:kern w:val="0"/>
                <w:sz w:val="24"/>
              </w:rPr>
              <w:t>份，每份</w:t>
            </w:r>
            <w:r>
              <w:rPr>
                <w:rFonts w:ascii="仿宋_GB2312" w:hAnsi="仿宋_GB2312" w:eastAsia="仿宋_GB2312" w:cs="仿宋_GB2312"/>
                <w:kern w:val="0"/>
                <w:sz w:val="24"/>
              </w:rPr>
              <w:t xml:space="preserve"> </w:t>
            </w:r>
            <w:r>
              <w:rPr>
                <w:rFonts w:hint="eastAsia" w:ascii="仿宋_GB2312" w:hAnsi="仿宋_GB2312" w:eastAsia="仿宋_GB2312" w:cs="仿宋_GB2312"/>
                <w:kern w:val="0"/>
                <w:sz w:val="24"/>
              </w:rPr>
              <w:t>页</w:t>
            </w:r>
          </w:p>
        </w:tc>
      </w:tr>
      <w:tr w14:paraId="25B70E2D">
        <w:tblPrEx>
          <w:shd w:val="clear" w:color="auto" w:fill="FFFFFF"/>
          <w:tblCellMar>
            <w:top w:w="15" w:type="dxa"/>
            <w:left w:w="15" w:type="dxa"/>
            <w:bottom w:w="15" w:type="dxa"/>
            <w:right w:w="15" w:type="dxa"/>
          </w:tblCellMar>
        </w:tblPrEx>
        <w:trPr>
          <w:trHeight w:val="389" w:hRule="atLeast"/>
        </w:trPr>
        <w:tc>
          <w:tcPr>
            <w:tcW w:w="1584" w:type="dxa"/>
            <w:vMerge w:val="continue"/>
            <w:tcBorders>
              <w:left w:val="single" w:color="000000" w:sz="4" w:space="0"/>
              <w:bottom w:val="single" w:color="000000" w:sz="4" w:space="0"/>
              <w:right w:val="single" w:color="000000" w:sz="4" w:space="0"/>
            </w:tcBorders>
            <w:shd w:val="clear" w:color="auto" w:fill="FFFFFF"/>
            <w:vAlign w:val="center"/>
          </w:tcPr>
          <w:p w14:paraId="63D9347C">
            <w:pPr>
              <w:spacing w:line="560" w:lineRule="exact"/>
              <w:jc w:val="left"/>
              <w:rPr>
                <w:rFonts w:ascii="仿宋_GB2312" w:hAnsi="仿宋_GB2312" w:eastAsia="仿宋_GB2312" w:cs="仿宋_GB2312"/>
                <w:kern w:val="0"/>
                <w:sz w:val="24"/>
              </w:rPr>
            </w:pPr>
          </w:p>
        </w:tc>
        <w:tc>
          <w:tcPr>
            <w:tcW w:w="15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BF5F2D">
            <w:pPr>
              <w:spacing w:line="560" w:lineRule="exact"/>
              <w:jc w:val="left"/>
              <w:rPr>
                <w:rFonts w:ascii="仿宋_GB2312" w:hAnsi="仿宋_GB2312" w:eastAsia="仿宋_GB2312" w:cs="仿宋_GB2312"/>
                <w:kern w:val="0"/>
                <w:sz w:val="24"/>
              </w:rPr>
            </w:pPr>
          </w:p>
        </w:tc>
        <w:tc>
          <w:tcPr>
            <w:tcW w:w="4616"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2EB30AEE">
            <w:pPr>
              <w:spacing w:line="560" w:lineRule="exact"/>
              <w:jc w:val="left"/>
              <w:rPr>
                <w:rFonts w:ascii="仿宋_GB2312" w:hAnsi="仿宋_GB2312" w:eastAsia="仿宋_GB2312" w:cs="仿宋_GB2312"/>
                <w:kern w:val="0"/>
                <w:sz w:val="24"/>
              </w:rPr>
            </w:pPr>
            <w:r>
              <w:rPr>
                <w:rFonts w:hint="eastAsia" w:ascii="仿宋_GB2312" w:hAnsi="仿宋_GB2312" w:eastAsia="仿宋_GB2312" w:cs="仿宋_GB2312"/>
                <w:kern w:val="0"/>
                <w:sz w:val="24"/>
              </w:rPr>
              <w:t>一式</w:t>
            </w:r>
            <w:r>
              <w:rPr>
                <w:rFonts w:ascii="仿宋_GB2312" w:hAnsi="仿宋_GB2312" w:eastAsia="仿宋_GB2312" w:cs="仿宋_GB2312"/>
                <w:kern w:val="0"/>
                <w:sz w:val="24"/>
              </w:rPr>
              <w:t xml:space="preserve"> </w:t>
            </w:r>
            <w:r>
              <w:rPr>
                <w:rFonts w:hint="eastAsia" w:ascii="仿宋_GB2312" w:hAnsi="仿宋_GB2312" w:eastAsia="仿宋_GB2312" w:cs="仿宋_GB2312"/>
                <w:kern w:val="0"/>
                <w:sz w:val="24"/>
              </w:rPr>
              <w:t>份，每份</w:t>
            </w:r>
            <w:r>
              <w:rPr>
                <w:rFonts w:ascii="仿宋_GB2312" w:hAnsi="仿宋_GB2312" w:eastAsia="仿宋_GB2312" w:cs="仿宋_GB2312"/>
                <w:kern w:val="0"/>
                <w:sz w:val="24"/>
              </w:rPr>
              <w:t xml:space="preserve"> </w:t>
            </w:r>
            <w:r>
              <w:rPr>
                <w:rFonts w:hint="eastAsia" w:ascii="仿宋_GB2312" w:hAnsi="仿宋_GB2312" w:eastAsia="仿宋_GB2312" w:cs="仿宋_GB2312"/>
                <w:kern w:val="0"/>
                <w:sz w:val="24"/>
              </w:rPr>
              <w:t>页</w:t>
            </w:r>
          </w:p>
        </w:tc>
      </w:tr>
      <w:tr w14:paraId="302741E4">
        <w:tblPrEx>
          <w:shd w:val="clear" w:color="auto" w:fill="FFFFFF"/>
          <w:tblCellMar>
            <w:top w:w="15" w:type="dxa"/>
            <w:left w:w="15" w:type="dxa"/>
            <w:bottom w:w="15" w:type="dxa"/>
            <w:right w:w="15" w:type="dxa"/>
          </w:tblCellMar>
        </w:tblPrEx>
        <w:trPr>
          <w:trHeight w:val="53" w:hRule="atLeast"/>
        </w:trPr>
        <w:tc>
          <w:tcPr>
            <w:tcW w:w="15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A79349">
            <w:pPr>
              <w:spacing w:line="560" w:lineRule="exact"/>
              <w:jc w:val="left"/>
              <w:rPr>
                <w:rFonts w:ascii="仿宋_GB2312" w:hAnsi="仿宋_GB2312" w:eastAsia="仿宋_GB2312" w:cs="仿宋_GB2312"/>
                <w:kern w:val="0"/>
                <w:sz w:val="24"/>
              </w:rPr>
            </w:pPr>
            <w:r>
              <w:rPr>
                <w:rFonts w:hint="eastAsia" w:ascii="仿宋_GB2312" w:hAnsi="仿宋_GB2312" w:eastAsia="仿宋_GB2312" w:cs="仿宋_GB2312"/>
                <w:kern w:val="0"/>
                <w:sz w:val="24"/>
              </w:rPr>
              <w:t>项目描述</w:t>
            </w:r>
          </w:p>
        </w:tc>
        <w:tc>
          <w:tcPr>
            <w:tcW w:w="6136"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9CA478A">
            <w:pPr>
              <w:pStyle w:val="12"/>
              <w:spacing w:line="560" w:lineRule="exact"/>
              <w:ind w:left="0" w:right="223"/>
              <w:rPr>
                <w:rFonts w:ascii="仿宋_GB2312" w:hAnsi="仿宋_GB2312" w:eastAsia="仿宋_GB2312" w:cs="仿宋_GB2312"/>
                <w:color w:val="000000"/>
              </w:rPr>
            </w:pPr>
          </w:p>
        </w:tc>
      </w:tr>
      <w:tr w14:paraId="642374BF">
        <w:tblPrEx>
          <w:shd w:val="clear" w:color="auto" w:fill="FFFFFF"/>
          <w:tblCellMar>
            <w:top w:w="15" w:type="dxa"/>
            <w:left w:w="15" w:type="dxa"/>
            <w:bottom w:w="15" w:type="dxa"/>
            <w:right w:w="15" w:type="dxa"/>
          </w:tblCellMar>
        </w:tblPrEx>
        <w:tc>
          <w:tcPr>
            <w:tcW w:w="15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17899D">
            <w:pPr>
              <w:spacing w:line="560" w:lineRule="exact"/>
              <w:jc w:val="left"/>
              <w:rPr>
                <w:rFonts w:ascii="仿宋_GB2312" w:hAnsi="仿宋_GB2312" w:eastAsia="仿宋_GB2312" w:cs="仿宋_GB2312"/>
                <w:kern w:val="0"/>
                <w:sz w:val="24"/>
              </w:rPr>
            </w:pPr>
            <w:r>
              <w:rPr>
                <w:rFonts w:hint="eastAsia" w:ascii="仿宋_GB2312" w:hAnsi="仿宋_GB2312" w:eastAsia="仿宋_GB2312" w:cs="仿宋_GB2312"/>
                <w:kern w:val="0"/>
                <w:sz w:val="24"/>
              </w:rPr>
              <w:t>申请单位意见</w:t>
            </w:r>
          </w:p>
        </w:tc>
        <w:tc>
          <w:tcPr>
            <w:tcW w:w="6136"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B07384F">
            <w:pPr>
              <w:pStyle w:val="17"/>
              <w:widowControl w:val="0"/>
              <w:spacing w:before="0" w:beforeAutospacing="0" w:after="0" w:afterAutospacing="0" w:line="560" w:lineRule="exact"/>
              <w:rPr>
                <w:rFonts w:ascii="仿宋_GB2312" w:hAnsi="仿宋_GB2312" w:eastAsia="仿宋_GB2312" w:cs="仿宋_GB2312"/>
              </w:rPr>
            </w:pPr>
            <w:r>
              <w:rPr>
                <w:rFonts w:ascii="仿宋_GB2312" w:hAnsi="仿宋_GB2312" w:eastAsia="仿宋_GB2312" w:cs="仿宋_GB2312"/>
              </w:rPr>
              <w:t>1、</w:t>
            </w:r>
            <w:r>
              <w:rPr>
                <w:rFonts w:hint="eastAsia" w:ascii="仿宋_GB2312" w:hAnsi="仿宋_GB2312" w:eastAsia="仿宋_GB2312" w:cs="仿宋_GB2312"/>
              </w:rPr>
              <w:t>本单位已认真了解合作方基本情况并确认双方合作的可行性</w:t>
            </w:r>
            <w:r>
              <w:rPr>
                <w:rFonts w:ascii="仿宋_GB2312" w:hAnsi="仿宋_GB2312" w:eastAsia="仿宋_GB2312" w:cs="仿宋_GB2312"/>
              </w:rPr>
              <w:t>; 2</w:t>
            </w:r>
            <w:r>
              <w:rPr>
                <w:rFonts w:hint="eastAsia" w:ascii="仿宋_GB2312" w:hAnsi="仿宋_GB2312" w:eastAsia="仿宋_GB2312" w:cs="仿宋_GB2312"/>
              </w:rPr>
              <w:t>、保证项目合同</w:t>
            </w:r>
            <w:r>
              <w:rPr>
                <w:rFonts w:ascii="仿宋_GB2312" w:hAnsi="仿宋_GB2312" w:eastAsia="仿宋_GB2312" w:cs="仿宋_GB2312"/>
              </w:rPr>
              <w:t>/协议/备忘录文本不用于商业性宣传、营利性活动及其他影响学院声誉的活动。 3</w:t>
            </w:r>
            <w:r>
              <w:rPr>
                <w:rFonts w:hint="eastAsia" w:ascii="仿宋_GB2312" w:hAnsi="仿宋_GB2312" w:eastAsia="仿宋_GB2312" w:cs="仿宋_GB2312"/>
              </w:rPr>
              <w:t>、不涉及“一中一台”“两个中国”及其他涉外敏感问题。</w:t>
            </w:r>
          </w:p>
          <w:p w14:paraId="1F07F44F">
            <w:pPr>
              <w:spacing w:line="560" w:lineRule="exact"/>
              <w:jc w:val="left"/>
              <w:rPr>
                <w:rFonts w:ascii="仿宋_GB2312" w:hAnsi="仿宋_GB2312" w:eastAsia="仿宋_GB2312" w:cs="仿宋_GB2312"/>
                <w:kern w:val="0"/>
                <w:sz w:val="24"/>
              </w:rPr>
            </w:pPr>
            <w:r>
              <w:rPr>
                <w:rFonts w:hint="eastAsia" w:ascii="仿宋_GB2312" w:hAnsi="仿宋_GB2312" w:eastAsia="仿宋_GB2312" w:cs="仿宋_GB2312"/>
                <w:kern w:val="0"/>
                <w:sz w:val="24"/>
              </w:rPr>
              <w:t>项目负责人签字</w:t>
            </w:r>
            <w:r>
              <w:rPr>
                <w:rFonts w:ascii="仿宋_GB2312" w:hAnsi="仿宋_GB2312" w:eastAsia="仿宋_GB2312" w:cs="仿宋_GB2312"/>
                <w:kern w:val="0"/>
                <w:sz w:val="24"/>
              </w:rPr>
              <w:t xml:space="preserve">:              日期: </w:t>
            </w:r>
          </w:p>
          <w:p w14:paraId="0F344ABA">
            <w:pPr>
              <w:spacing w:line="560" w:lineRule="exact"/>
              <w:jc w:val="left"/>
              <w:rPr>
                <w:rFonts w:ascii="仿宋_GB2312" w:hAnsi="仿宋_GB2312" w:eastAsia="仿宋_GB2312" w:cs="仿宋_GB2312"/>
                <w:kern w:val="0"/>
                <w:sz w:val="24"/>
              </w:rPr>
            </w:pPr>
            <w:r>
              <w:rPr>
                <w:rFonts w:hint="eastAsia" w:ascii="仿宋_GB2312" w:hAnsi="仿宋_GB2312" w:eastAsia="仿宋_GB2312" w:cs="仿宋_GB2312"/>
                <w:kern w:val="0"/>
                <w:sz w:val="24"/>
              </w:rPr>
              <w:t>学科负责人签字</w:t>
            </w:r>
            <w:r>
              <w:rPr>
                <w:rFonts w:ascii="仿宋_GB2312" w:hAnsi="仿宋_GB2312" w:eastAsia="仿宋_GB2312" w:cs="仿宋_GB2312"/>
                <w:kern w:val="0"/>
                <w:sz w:val="24"/>
              </w:rPr>
              <w:t xml:space="preserve">:              </w:t>
            </w:r>
            <w:r>
              <w:rPr>
                <w:rFonts w:hint="eastAsia" w:ascii="仿宋_GB2312" w:hAnsi="仿宋_GB2312" w:eastAsia="仿宋_GB2312" w:cs="仿宋_GB2312"/>
                <w:kern w:val="0"/>
                <w:sz w:val="24"/>
              </w:rPr>
              <w:t>日期</w:t>
            </w:r>
            <w:r>
              <w:rPr>
                <w:rFonts w:ascii="仿宋_GB2312" w:hAnsi="仿宋_GB2312" w:eastAsia="仿宋_GB2312" w:cs="仿宋_GB2312"/>
                <w:kern w:val="0"/>
                <w:sz w:val="24"/>
              </w:rPr>
              <w:t>:</w:t>
            </w:r>
          </w:p>
        </w:tc>
      </w:tr>
      <w:tr w14:paraId="525B5405">
        <w:tblPrEx>
          <w:shd w:val="clear" w:color="auto" w:fill="FFFFFF"/>
          <w:tblCellMar>
            <w:top w:w="15" w:type="dxa"/>
            <w:left w:w="15" w:type="dxa"/>
            <w:bottom w:w="15" w:type="dxa"/>
            <w:right w:w="15" w:type="dxa"/>
          </w:tblCellMar>
        </w:tblPrEx>
        <w:trPr>
          <w:trHeight w:val="1259" w:hRule="atLeast"/>
        </w:trPr>
        <w:tc>
          <w:tcPr>
            <w:tcW w:w="15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429F8D">
            <w:pPr>
              <w:spacing w:line="560" w:lineRule="exact"/>
              <w:jc w:val="left"/>
              <w:rPr>
                <w:rFonts w:ascii="仿宋_GB2312" w:hAnsi="仿宋_GB2312" w:eastAsia="仿宋_GB2312" w:cs="仿宋_GB2312"/>
                <w:kern w:val="0"/>
                <w:sz w:val="24"/>
              </w:rPr>
            </w:pPr>
            <w:r>
              <w:rPr>
                <w:rFonts w:hint="eastAsia" w:ascii="仿宋_GB2312" w:hAnsi="仿宋_GB2312" w:eastAsia="仿宋_GB2312" w:cs="仿宋_GB2312"/>
                <w:kern w:val="0"/>
                <w:sz w:val="24"/>
              </w:rPr>
              <w:t>相关部门会签意见</w:t>
            </w:r>
            <w:r>
              <w:rPr>
                <w:rFonts w:ascii="仿宋_GB2312" w:hAnsi="仿宋_GB2312" w:eastAsia="仿宋_GB2312" w:cs="仿宋_GB2312"/>
                <w:kern w:val="0"/>
                <w:sz w:val="24"/>
              </w:rPr>
              <w:t xml:space="preserve"> </w:t>
            </w:r>
          </w:p>
        </w:tc>
        <w:tc>
          <w:tcPr>
            <w:tcW w:w="6136"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9EFA7BB">
            <w:pPr>
              <w:spacing w:line="560" w:lineRule="exact"/>
              <w:jc w:val="left"/>
              <w:rPr>
                <w:rFonts w:ascii="仿宋_GB2312" w:hAnsi="仿宋_GB2312" w:eastAsia="仿宋_GB2312" w:cs="仿宋_GB2312"/>
                <w:kern w:val="0"/>
                <w:sz w:val="24"/>
              </w:rPr>
            </w:pPr>
          </w:p>
          <w:p w14:paraId="7A02A405">
            <w:pPr>
              <w:spacing w:line="560" w:lineRule="exact"/>
              <w:jc w:val="left"/>
              <w:rPr>
                <w:rFonts w:ascii="仿宋_GB2312" w:hAnsi="仿宋_GB2312" w:eastAsia="仿宋_GB2312" w:cs="仿宋_GB2312"/>
                <w:kern w:val="0"/>
                <w:sz w:val="24"/>
                <w:szCs w:val="24"/>
                <w14:ligatures w14:val="standardContextual"/>
              </w:rPr>
            </w:pPr>
            <w:r>
              <w:rPr>
                <w:rFonts w:hint="eastAsia" w:ascii="仿宋_GB2312" w:hAnsi="仿宋_GB2312" w:eastAsia="仿宋_GB2312" w:cs="仿宋_GB2312"/>
                <w:kern w:val="0"/>
                <w:sz w:val="24"/>
              </w:rPr>
              <w:t>负责人签字</w:t>
            </w:r>
            <w:r>
              <w:rPr>
                <w:rFonts w:ascii="仿宋_GB2312" w:hAnsi="仿宋_GB2312" w:eastAsia="仿宋_GB2312" w:cs="仿宋_GB2312"/>
                <w:kern w:val="0"/>
                <w:sz w:val="24"/>
              </w:rPr>
              <w:t xml:space="preserve">:                  日期: </w:t>
            </w:r>
          </w:p>
        </w:tc>
      </w:tr>
      <w:tr w14:paraId="14A34101">
        <w:tblPrEx>
          <w:shd w:val="clear" w:color="auto" w:fill="FFFFFF"/>
          <w:tblCellMar>
            <w:top w:w="15" w:type="dxa"/>
            <w:left w:w="15" w:type="dxa"/>
            <w:bottom w:w="15" w:type="dxa"/>
            <w:right w:w="15" w:type="dxa"/>
          </w:tblCellMar>
        </w:tblPrEx>
        <w:tc>
          <w:tcPr>
            <w:tcW w:w="1584" w:type="dxa"/>
            <w:tcBorders>
              <w:top w:val="single" w:color="000000" w:sz="4" w:space="0"/>
              <w:left w:val="single" w:color="000000" w:sz="4" w:space="0"/>
              <w:right w:val="single" w:color="000000" w:sz="4" w:space="0"/>
            </w:tcBorders>
            <w:shd w:val="clear" w:color="auto" w:fill="FFFFFF"/>
            <w:vAlign w:val="center"/>
          </w:tcPr>
          <w:p w14:paraId="14B31591">
            <w:pPr>
              <w:spacing w:line="560" w:lineRule="exact"/>
              <w:jc w:val="left"/>
              <w:rPr>
                <w:rFonts w:ascii="仿宋_GB2312" w:hAnsi="仿宋_GB2312" w:eastAsia="仿宋_GB2312" w:cs="仿宋_GB2312"/>
                <w:kern w:val="0"/>
                <w:sz w:val="24"/>
              </w:rPr>
            </w:pPr>
            <w:r>
              <w:rPr>
                <w:rFonts w:hint="eastAsia" w:ascii="仿宋_GB2312" w:hAnsi="仿宋_GB2312" w:eastAsia="仿宋_GB2312" w:cs="仿宋_GB2312"/>
                <w:kern w:val="0"/>
                <w:sz w:val="24"/>
              </w:rPr>
              <w:t>全球事务办审批意见</w:t>
            </w:r>
            <w:r>
              <w:rPr>
                <w:rFonts w:ascii="仿宋_GB2312" w:hAnsi="仿宋_GB2312" w:eastAsia="仿宋_GB2312" w:cs="仿宋_GB2312"/>
                <w:kern w:val="0"/>
                <w:sz w:val="24"/>
              </w:rPr>
              <w:t xml:space="preserve"> </w:t>
            </w:r>
          </w:p>
        </w:tc>
        <w:tc>
          <w:tcPr>
            <w:tcW w:w="15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4F15AC">
            <w:pPr>
              <w:spacing w:line="560" w:lineRule="exact"/>
              <w:jc w:val="left"/>
              <w:rPr>
                <w:rFonts w:ascii="仿宋_GB2312" w:hAnsi="仿宋_GB2312" w:eastAsia="仿宋_GB2312" w:cs="仿宋_GB2312"/>
                <w:kern w:val="0"/>
                <w:sz w:val="24"/>
              </w:rPr>
            </w:pPr>
            <w:r>
              <w:rPr>
                <w:rFonts w:hint="eastAsia" w:ascii="仿宋_GB2312" w:hAnsi="仿宋_GB2312" w:eastAsia="仿宋_GB2312" w:cs="仿宋_GB2312"/>
                <w:kern w:val="0"/>
                <w:sz w:val="24"/>
              </w:rPr>
              <w:t>经办人：</w:t>
            </w:r>
          </w:p>
        </w:tc>
        <w:tc>
          <w:tcPr>
            <w:tcW w:w="107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FF3197">
            <w:pPr>
              <w:spacing w:line="560" w:lineRule="exact"/>
              <w:jc w:val="left"/>
              <w:rPr>
                <w:rFonts w:ascii="仿宋_GB2312" w:hAnsi="仿宋_GB2312" w:eastAsia="仿宋_GB2312" w:cs="仿宋_GB2312"/>
                <w:kern w:val="0"/>
                <w:sz w:val="24"/>
              </w:rPr>
            </w:pPr>
            <w:r>
              <w:rPr>
                <w:rFonts w:hint="eastAsia" w:ascii="仿宋_GB2312" w:hAnsi="仿宋_GB2312" w:eastAsia="仿宋_GB2312" w:cs="仿宋_GB2312"/>
                <w:kern w:val="0"/>
                <w:sz w:val="24"/>
              </w:rPr>
              <w:t>联系电话</w:t>
            </w:r>
          </w:p>
        </w:tc>
        <w:tc>
          <w:tcPr>
            <w:tcW w:w="35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1E39FC">
            <w:pPr>
              <w:spacing w:line="560" w:lineRule="exact"/>
              <w:jc w:val="left"/>
              <w:rPr>
                <w:rFonts w:ascii="仿宋_GB2312" w:hAnsi="仿宋_GB2312" w:eastAsia="仿宋_GB2312" w:cs="仿宋_GB2312"/>
                <w:kern w:val="0"/>
                <w:sz w:val="24"/>
              </w:rPr>
            </w:pPr>
          </w:p>
        </w:tc>
      </w:tr>
      <w:tr w14:paraId="642B807D">
        <w:tblPrEx>
          <w:shd w:val="clear" w:color="auto" w:fill="FFFFFF"/>
          <w:tblCellMar>
            <w:top w:w="15" w:type="dxa"/>
            <w:left w:w="15" w:type="dxa"/>
            <w:bottom w:w="15" w:type="dxa"/>
            <w:right w:w="15" w:type="dxa"/>
          </w:tblCellMar>
        </w:tblPrEx>
        <w:tc>
          <w:tcPr>
            <w:tcW w:w="1584" w:type="dxa"/>
            <w:tcBorders>
              <w:left w:val="single" w:color="000000" w:sz="4" w:space="0"/>
              <w:right w:val="single" w:color="000000" w:sz="4" w:space="0"/>
            </w:tcBorders>
            <w:shd w:val="clear" w:color="auto" w:fill="FFFFFF"/>
            <w:vAlign w:val="center"/>
          </w:tcPr>
          <w:p w14:paraId="56018FA4">
            <w:pPr>
              <w:spacing w:line="560" w:lineRule="exact"/>
              <w:jc w:val="left"/>
              <w:rPr>
                <w:rFonts w:ascii="仿宋_GB2312" w:hAnsi="仿宋_GB2312" w:eastAsia="仿宋_GB2312" w:cs="仿宋_GB2312"/>
                <w:kern w:val="0"/>
                <w:sz w:val="24"/>
              </w:rPr>
            </w:pPr>
          </w:p>
        </w:tc>
        <w:tc>
          <w:tcPr>
            <w:tcW w:w="6136"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4F05CF9">
            <w:pPr>
              <w:spacing w:line="560" w:lineRule="exact"/>
              <w:jc w:val="left"/>
              <w:rPr>
                <w:rFonts w:ascii="仿宋_GB2312" w:hAnsi="仿宋_GB2312" w:eastAsia="仿宋_GB2312" w:cs="仿宋_GB2312"/>
                <w:kern w:val="0"/>
                <w:sz w:val="24"/>
              </w:rPr>
            </w:pPr>
            <w:r>
              <w:rPr>
                <w:rFonts w:hint="eastAsia" w:ascii="仿宋_GB2312" w:hAnsi="仿宋_GB2312" w:eastAsia="仿宋_GB2312" w:cs="仿宋_GB2312"/>
                <w:kern w:val="0"/>
                <w:sz w:val="24"/>
              </w:rPr>
              <w:t>文件编号：</w:t>
            </w:r>
          </w:p>
        </w:tc>
      </w:tr>
      <w:tr w14:paraId="7813862E">
        <w:tblPrEx>
          <w:shd w:val="clear" w:color="auto" w:fill="FFFFFF"/>
          <w:tblCellMar>
            <w:top w:w="15" w:type="dxa"/>
            <w:left w:w="15" w:type="dxa"/>
            <w:bottom w:w="15" w:type="dxa"/>
            <w:right w:w="15" w:type="dxa"/>
          </w:tblCellMar>
        </w:tblPrEx>
        <w:trPr>
          <w:trHeight w:val="1323" w:hRule="atLeast"/>
        </w:trPr>
        <w:tc>
          <w:tcPr>
            <w:tcW w:w="1584" w:type="dxa"/>
            <w:tcBorders>
              <w:left w:val="single" w:color="000000" w:sz="4" w:space="0"/>
              <w:bottom w:val="single" w:color="000000" w:sz="4" w:space="0"/>
              <w:right w:val="single" w:color="000000" w:sz="4" w:space="0"/>
            </w:tcBorders>
            <w:shd w:val="clear" w:color="auto" w:fill="FFFFFF"/>
            <w:vAlign w:val="center"/>
          </w:tcPr>
          <w:p w14:paraId="73ED38EA">
            <w:pPr>
              <w:spacing w:line="560" w:lineRule="exact"/>
              <w:jc w:val="left"/>
              <w:rPr>
                <w:rFonts w:ascii="仿宋_GB2312" w:hAnsi="仿宋_GB2312" w:eastAsia="仿宋_GB2312" w:cs="仿宋_GB2312"/>
                <w:kern w:val="0"/>
                <w:sz w:val="24"/>
              </w:rPr>
            </w:pPr>
          </w:p>
        </w:tc>
        <w:tc>
          <w:tcPr>
            <w:tcW w:w="6136"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EAD4C5C">
            <w:pPr>
              <w:spacing w:line="560" w:lineRule="exact"/>
              <w:jc w:val="left"/>
              <w:rPr>
                <w:rFonts w:ascii="仿宋_GB2312" w:hAnsi="仿宋_GB2312" w:eastAsia="仿宋_GB2312" w:cs="仿宋_GB2312"/>
                <w:kern w:val="0"/>
                <w:sz w:val="24"/>
              </w:rPr>
            </w:pPr>
          </w:p>
          <w:p w14:paraId="0957603C">
            <w:pPr>
              <w:spacing w:line="560" w:lineRule="exact"/>
              <w:jc w:val="left"/>
              <w:rPr>
                <w:rFonts w:ascii="仿宋_GB2312" w:hAnsi="仿宋_GB2312" w:eastAsia="仿宋_GB2312" w:cs="仿宋_GB2312"/>
                <w:kern w:val="0"/>
                <w:sz w:val="24"/>
                <w:szCs w:val="24"/>
                <w14:ligatures w14:val="standardContextual"/>
              </w:rPr>
            </w:pPr>
            <w:r>
              <w:rPr>
                <w:rFonts w:hint="eastAsia" w:ascii="仿宋_GB2312" w:hAnsi="仿宋_GB2312" w:eastAsia="仿宋_GB2312" w:cs="仿宋_GB2312"/>
                <w:kern w:val="0"/>
                <w:sz w:val="24"/>
              </w:rPr>
              <w:t>负责人签字</w:t>
            </w:r>
            <w:r>
              <w:rPr>
                <w:rFonts w:ascii="仿宋_GB2312" w:hAnsi="仿宋_GB2312" w:eastAsia="仿宋_GB2312" w:cs="仿宋_GB2312"/>
                <w:kern w:val="0"/>
                <w:sz w:val="24"/>
              </w:rPr>
              <w:t xml:space="preserve">:                  日期: </w:t>
            </w:r>
          </w:p>
        </w:tc>
      </w:tr>
      <w:tr w14:paraId="6B116404">
        <w:tblPrEx>
          <w:shd w:val="clear" w:color="auto" w:fill="FFFFFF"/>
          <w:tblCellMar>
            <w:top w:w="15" w:type="dxa"/>
            <w:left w:w="15" w:type="dxa"/>
            <w:bottom w:w="15" w:type="dxa"/>
            <w:right w:w="15" w:type="dxa"/>
          </w:tblCellMar>
        </w:tblPrEx>
        <w:trPr>
          <w:trHeight w:val="1398" w:hRule="atLeast"/>
        </w:trPr>
        <w:tc>
          <w:tcPr>
            <w:tcW w:w="15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0F8F3E">
            <w:pPr>
              <w:spacing w:line="560" w:lineRule="exact"/>
              <w:jc w:val="left"/>
              <w:rPr>
                <w:rFonts w:ascii="仿宋_GB2312" w:hAnsi="仿宋_GB2312" w:eastAsia="仿宋_GB2312" w:cs="仿宋_GB2312"/>
                <w:kern w:val="0"/>
                <w:sz w:val="24"/>
              </w:rPr>
            </w:pPr>
            <w:r>
              <w:rPr>
                <w:rFonts w:hint="eastAsia" w:ascii="仿宋_GB2312" w:hAnsi="仿宋_GB2312" w:eastAsia="仿宋_GB2312" w:cs="仿宋_GB2312"/>
                <w:kern w:val="0"/>
                <w:sz w:val="24"/>
              </w:rPr>
              <w:t>分管院领导意见</w:t>
            </w:r>
            <w:r>
              <w:rPr>
                <w:rFonts w:ascii="仿宋_GB2312" w:hAnsi="仿宋_GB2312" w:eastAsia="仿宋_GB2312" w:cs="仿宋_GB2312"/>
                <w:kern w:val="0"/>
                <w:sz w:val="24"/>
              </w:rPr>
              <w:t xml:space="preserve"> </w:t>
            </w:r>
          </w:p>
        </w:tc>
        <w:tc>
          <w:tcPr>
            <w:tcW w:w="6136"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FF7132B">
            <w:pPr>
              <w:spacing w:line="560" w:lineRule="exact"/>
              <w:jc w:val="left"/>
              <w:rPr>
                <w:rFonts w:ascii="仿宋_GB2312" w:hAnsi="仿宋_GB2312" w:eastAsia="仿宋_GB2312" w:cs="仿宋_GB2312"/>
                <w:kern w:val="0"/>
                <w:sz w:val="24"/>
              </w:rPr>
            </w:pPr>
          </w:p>
          <w:p w14:paraId="14A723B4">
            <w:pPr>
              <w:spacing w:line="560" w:lineRule="exact"/>
              <w:jc w:val="left"/>
              <w:rPr>
                <w:rFonts w:ascii="仿宋_GB2312" w:hAnsi="仿宋_GB2312" w:eastAsia="仿宋_GB2312" w:cs="仿宋_GB2312"/>
                <w:kern w:val="0"/>
                <w:sz w:val="24"/>
              </w:rPr>
            </w:pPr>
            <w:r>
              <w:rPr>
                <w:rFonts w:hint="eastAsia" w:ascii="仿宋_GB2312" w:hAnsi="仿宋_GB2312" w:eastAsia="仿宋_GB2312" w:cs="仿宋_GB2312"/>
                <w:kern w:val="0"/>
                <w:sz w:val="24"/>
              </w:rPr>
              <w:t>签字</w:t>
            </w:r>
            <w:r>
              <w:rPr>
                <w:rFonts w:ascii="仿宋_GB2312" w:hAnsi="仿宋_GB2312" w:eastAsia="仿宋_GB2312" w:cs="仿宋_GB2312"/>
                <w:kern w:val="0"/>
                <w:sz w:val="24"/>
              </w:rPr>
              <w:t xml:space="preserve">:                        日期: </w:t>
            </w:r>
          </w:p>
        </w:tc>
      </w:tr>
    </w:tbl>
    <w:p w14:paraId="50B6D7D4">
      <w:pPr>
        <w:spacing w:line="560" w:lineRule="exact"/>
      </w:pPr>
    </w:p>
    <w:sectPr>
      <w:footerReference r:id="rId5" w:type="default"/>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endnote>
  <w:endnote w:type="continuationSeparator"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FangSong_GB2312">
    <w:altName w:val="仿宋_GB2312"/>
    <w:panose1 w:val="02010609030101010101"/>
    <w:charset w:val="86"/>
    <w:family w:val="modern"/>
    <w:pitch w:val="default"/>
    <w:sig w:usb0="00000000" w:usb1="0000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Times New Roman Regular">
    <w:altName w:val="Times New Roman"/>
    <w:panose1 w:val="02020503050405090304"/>
    <w:charset w:val="00"/>
    <w:family w:val="auto"/>
    <w:pitch w:val="default"/>
    <w:sig w:usb0="00000000" w:usb1="00000000" w:usb2="00000001" w:usb3="00000000" w:csb0="400001BF" w:csb1="DFF7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95ACDB">
    <w:pPr>
      <w:pStyle w:val="1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9AD98BC">
                          <w:pPr>
                            <w:pStyle w:val="14"/>
                            <w:rPr>
                              <w:rFonts w:ascii="Times New Roman Regular" w:hAnsi="Times New Roman Regular" w:cs="Times New Roman Regular"/>
                              <w:sz w:val="21"/>
                              <w:szCs w:val="21"/>
                            </w:rPr>
                          </w:pPr>
                          <w:r>
                            <w:rPr>
                              <w:rFonts w:ascii="Times New Roman Regular" w:hAnsi="Times New Roman Regular" w:cs="Times New Roman Regular"/>
                              <w:sz w:val="21"/>
                              <w:szCs w:val="21"/>
                            </w:rPr>
                            <w:t xml:space="preserve">— </w:t>
                          </w:r>
                          <w:r>
                            <w:rPr>
                              <w:rFonts w:ascii="Times New Roman Regular" w:hAnsi="Times New Roman Regular" w:cs="Times New Roman Regular"/>
                              <w:sz w:val="21"/>
                              <w:szCs w:val="21"/>
                            </w:rPr>
                            <w:fldChar w:fldCharType="begin"/>
                          </w:r>
                          <w:r>
                            <w:rPr>
                              <w:rFonts w:ascii="Times New Roman Regular" w:hAnsi="Times New Roman Regular" w:cs="Times New Roman Regular"/>
                              <w:sz w:val="21"/>
                              <w:szCs w:val="21"/>
                            </w:rPr>
                            <w:instrText xml:space="preserve"> PAGE  \* MERGEFORMAT </w:instrText>
                          </w:r>
                          <w:r>
                            <w:rPr>
                              <w:rFonts w:ascii="Times New Roman Regular" w:hAnsi="Times New Roman Regular" w:cs="Times New Roman Regular"/>
                              <w:sz w:val="21"/>
                              <w:szCs w:val="21"/>
                            </w:rPr>
                            <w:fldChar w:fldCharType="separate"/>
                          </w:r>
                          <w:r>
                            <w:rPr>
                              <w:rFonts w:ascii="Times New Roman Regular" w:hAnsi="Times New Roman Regular" w:cs="Times New Roman Regular"/>
                              <w:sz w:val="21"/>
                              <w:szCs w:val="21"/>
                            </w:rPr>
                            <w:t>2</w:t>
                          </w:r>
                          <w:r>
                            <w:rPr>
                              <w:rFonts w:ascii="Times New Roman Regular" w:hAnsi="Times New Roman Regular" w:cs="Times New Roman Regular"/>
                              <w:sz w:val="21"/>
                              <w:szCs w:val="21"/>
                            </w:rPr>
                            <w:fldChar w:fldCharType="end"/>
                          </w:r>
                          <w:r>
                            <w:rPr>
                              <w:rFonts w:ascii="Times New Roman Regular" w:hAnsi="Times New Roman Regular" w:cs="Times New Roman Regular"/>
                              <w:sz w:val="21"/>
                              <w:szCs w:val="21"/>
                            </w:rPr>
                            <w:t xml:space="preserve"> —</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39AD98BC">
                    <w:pPr>
                      <w:pStyle w:val="14"/>
                      <w:rPr>
                        <w:rFonts w:ascii="Times New Roman Regular" w:hAnsi="Times New Roman Regular" w:cs="Times New Roman Regular"/>
                        <w:sz w:val="21"/>
                        <w:szCs w:val="21"/>
                      </w:rPr>
                    </w:pPr>
                    <w:r>
                      <w:rPr>
                        <w:rFonts w:ascii="Times New Roman Regular" w:hAnsi="Times New Roman Regular" w:cs="Times New Roman Regular"/>
                        <w:sz w:val="21"/>
                        <w:szCs w:val="21"/>
                      </w:rPr>
                      <w:t xml:space="preserve">— </w:t>
                    </w:r>
                    <w:r>
                      <w:rPr>
                        <w:rFonts w:ascii="Times New Roman Regular" w:hAnsi="Times New Roman Regular" w:cs="Times New Roman Regular"/>
                        <w:sz w:val="21"/>
                        <w:szCs w:val="21"/>
                      </w:rPr>
                      <w:fldChar w:fldCharType="begin"/>
                    </w:r>
                    <w:r>
                      <w:rPr>
                        <w:rFonts w:ascii="Times New Roman Regular" w:hAnsi="Times New Roman Regular" w:cs="Times New Roman Regular"/>
                        <w:sz w:val="21"/>
                        <w:szCs w:val="21"/>
                      </w:rPr>
                      <w:instrText xml:space="preserve"> PAGE  \* MERGEFORMAT </w:instrText>
                    </w:r>
                    <w:r>
                      <w:rPr>
                        <w:rFonts w:ascii="Times New Roman Regular" w:hAnsi="Times New Roman Regular" w:cs="Times New Roman Regular"/>
                        <w:sz w:val="21"/>
                        <w:szCs w:val="21"/>
                      </w:rPr>
                      <w:fldChar w:fldCharType="separate"/>
                    </w:r>
                    <w:r>
                      <w:rPr>
                        <w:rFonts w:ascii="Times New Roman Regular" w:hAnsi="Times New Roman Regular" w:cs="Times New Roman Regular"/>
                        <w:sz w:val="21"/>
                        <w:szCs w:val="21"/>
                      </w:rPr>
                      <w:t>2</w:t>
                    </w:r>
                    <w:r>
                      <w:rPr>
                        <w:rFonts w:ascii="Times New Roman Regular" w:hAnsi="Times New Roman Regular" w:cs="Times New Roman Regular"/>
                        <w:sz w:val="21"/>
                        <w:szCs w:val="21"/>
                      </w:rPr>
                      <w:fldChar w:fldCharType="end"/>
                    </w:r>
                    <w:r>
                      <w:rPr>
                        <w:rFonts w:ascii="Times New Roman Regular" w:hAnsi="Times New Roman Regular" w:cs="Times New Roman Regular"/>
                        <w:sz w:val="21"/>
                        <w:szCs w:val="21"/>
                      </w:rPr>
                      <w:t xml:space="preserve"> —</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footnote>
  <w:footnote w:type="continuationSeparator" w:id="1">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6A38"/>
    <w:rsid w:val="00066091"/>
    <w:rsid w:val="00076651"/>
    <w:rsid w:val="000862C1"/>
    <w:rsid w:val="00097220"/>
    <w:rsid w:val="00115438"/>
    <w:rsid w:val="0011612E"/>
    <w:rsid w:val="00181D67"/>
    <w:rsid w:val="001A1A18"/>
    <w:rsid w:val="001C4E8E"/>
    <w:rsid w:val="001C7303"/>
    <w:rsid w:val="002305EE"/>
    <w:rsid w:val="00247734"/>
    <w:rsid w:val="0028646E"/>
    <w:rsid w:val="002A00D0"/>
    <w:rsid w:val="002A668F"/>
    <w:rsid w:val="002E54A2"/>
    <w:rsid w:val="00323298"/>
    <w:rsid w:val="00346A38"/>
    <w:rsid w:val="003777F0"/>
    <w:rsid w:val="0042230E"/>
    <w:rsid w:val="00465D63"/>
    <w:rsid w:val="004A5AB4"/>
    <w:rsid w:val="004D379E"/>
    <w:rsid w:val="004D527F"/>
    <w:rsid w:val="005654AF"/>
    <w:rsid w:val="005B1DE9"/>
    <w:rsid w:val="005D3121"/>
    <w:rsid w:val="005E0C34"/>
    <w:rsid w:val="005E46BC"/>
    <w:rsid w:val="006F64A5"/>
    <w:rsid w:val="00703087"/>
    <w:rsid w:val="00741B2B"/>
    <w:rsid w:val="00793989"/>
    <w:rsid w:val="007B1300"/>
    <w:rsid w:val="007B4D25"/>
    <w:rsid w:val="007C491E"/>
    <w:rsid w:val="008338F5"/>
    <w:rsid w:val="00882330"/>
    <w:rsid w:val="0089492E"/>
    <w:rsid w:val="008A7E2A"/>
    <w:rsid w:val="008D258B"/>
    <w:rsid w:val="0092206D"/>
    <w:rsid w:val="00994CD8"/>
    <w:rsid w:val="009F7DE5"/>
    <w:rsid w:val="00A842FA"/>
    <w:rsid w:val="00AA25A4"/>
    <w:rsid w:val="00AB057E"/>
    <w:rsid w:val="00B26FBB"/>
    <w:rsid w:val="00B91DC3"/>
    <w:rsid w:val="00BF0337"/>
    <w:rsid w:val="00C64007"/>
    <w:rsid w:val="00CA0CFA"/>
    <w:rsid w:val="00CC206F"/>
    <w:rsid w:val="00CE1DCC"/>
    <w:rsid w:val="00CF6913"/>
    <w:rsid w:val="00E63EAA"/>
    <w:rsid w:val="00F027AE"/>
    <w:rsid w:val="00F32534"/>
    <w:rsid w:val="00F47F75"/>
    <w:rsid w:val="00FE073C"/>
    <w:rsid w:val="00FE793D"/>
    <w:rsid w:val="04E06056"/>
    <w:rsid w:val="1EDF6DE2"/>
    <w:rsid w:val="3E965C8A"/>
    <w:rsid w:val="3FEB2C0D"/>
    <w:rsid w:val="4CBF5240"/>
    <w:rsid w:val="57CFE994"/>
    <w:rsid w:val="5CB7E6FE"/>
    <w:rsid w:val="60F976E2"/>
    <w:rsid w:val="63E6C3D2"/>
    <w:rsid w:val="6ECF2209"/>
    <w:rsid w:val="75FE24E9"/>
    <w:rsid w:val="75FF1019"/>
    <w:rsid w:val="767E0A78"/>
    <w:rsid w:val="76FF921C"/>
    <w:rsid w:val="77FFFBF7"/>
    <w:rsid w:val="7BFEF6C6"/>
    <w:rsid w:val="7BFFC786"/>
    <w:rsid w:val="7EFF2327"/>
    <w:rsid w:val="7FDC461D"/>
    <w:rsid w:val="7FFC58CD"/>
    <w:rsid w:val="9AAB996C"/>
    <w:rsid w:val="ADFBE6D1"/>
    <w:rsid w:val="BFF42D7A"/>
    <w:rsid w:val="D7E77471"/>
    <w:rsid w:val="E139A3A2"/>
    <w:rsid w:val="F7BD2FF2"/>
    <w:rsid w:val="F95F91C0"/>
    <w:rsid w:val="FD7735D0"/>
    <w:rsid w:val="FFDC7C45"/>
    <w:rsid w:val="FFF761C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semiHidden="0"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iPriority="5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link w:val="31"/>
    <w:qFormat/>
    <w:uiPriority w:val="9"/>
    <w:pPr>
      <w:keepNext/>
      <w:keepLines/>
      <w:spacing w:before="480" w:after="80" w:line="278" w:lineRule="auto"/>
      <w:jc w:val="left"/>
      <w:outlineLvl w:val="0"/>
    </w:pPr>
    <w:rPr>
      <w:rFonts w:asciiTheme="majorHAnsi" w:hAnsiTheme="majorHAnsi" w:eastAsiaTheme="majorEastAsia" w:cstheme="majorBidi"/>
      <w:color w:val="376092" w:themeColor="accent1" w:themeShade="BF"/>
      <w:sz w:val="48"/>
      <w:szCs w:val="48"/>
      <w14:ligatures w14:val="standardContextual"/>
    </w:rPr>
  </w:style>
  <w:style w:type="paragraph" w:styleId="3">
    <w:name w:val="heading 2"/>
    <w:basedOn w:val="1"/>
    <w:next w:val="1"/>
    <w:link w:val="32"/>
    <w:semiHidden/>
    <w:unhideWhenUsed/>
    <w:qFormat/>
    <w:uiPriority w:val="9"/>
    <w:pPr>
      <w:keepNext/>
      <w:keepLines/>
      <w:spacing w:before="160" w:after="80" w:line="278" w:lineRule="auto"/>
      <w:jc w:val="left"/>
      <w:outlineLvl w:val="1"/>
    </w:pPr>
    <w:rPr>
      <w:rFonts w:asciiTheme="majorHAnsi" w:hAnsiTheme="majorHAnsi" w:eastAsiaTheme="majorEastAsia" w:cstheme="majorBidi"/>
      <w:color w:val="376092" w:themeColor="accent1" w:themeShade="BF"/>
      <w:sz w:val="40"/>
      <w:szCs w:val="40"/>
      <w14:ligatures w14:val="standardContextual"/>
    </w:rPr>
  </w:style>
  <w:style w:type="paragraph" w:styleId="4">
    <w:name w:val="heading 3"/>
    <w:basedOn w:val="1"/>
    <w:next w:val="1"/>
    <w:link w:val="33"/>
    <w:semiHidden/>
    <w:unhideWhenUsed/>
    <w:qFormat/>
    <w:uiPriority w:val="9"/>
    <w:pPr>
      <w:keepNext/>
      <w:keepLines/>
      <w:spacing w:before="160" w:after="80" w:line="278" w:lineRule="auto"/>
      <w:jc w:val="left"/>
      <w:outlineLvl w:val="2"/>
    </w:pPr>
    <w:rPr>
      <w:rFonts w:asciiTheme="majorHAnsi" w:hAnsiTheme="majorHAnsi" w:eastAsiaTheme="majorEastAsia" w:cstheme="majorBidi"/>
      <w:color w:val="376092" w:themeColor="accent1" w:themeShade="BF"/>
      <w:sz w:val="32"/>
      <w:szCs w:val="32"/>
      <w14:ligatures w14:val="standardContextual"/>
    </w:rPr>
  </w:style>
  <w:style w:type="paragraph" w:styleId="5">
    <w:name w:val="heading 4"/>
    <w:basedOn w:val="1"/>
    <w:next w:val="1"/>
    <w:link w:val="34"/>
    <w:semiHidden/>
    <w:unhideWhenUsed/>
    <w:qFormat/>
    <w:uiPriority w:val="9"/>
    <w:pPr>
      <w:keepNext/>
      <w:keepLines/>
      <w:spacing w:before="80" w:after="40" w:line="278" w:lineRule="auto"/>
      <w:jc w:val="left"/>
      <w:outlineLvl w:val="3"/>
    </w:pPr>
    <w:rPr>
      <w:rFonts w:asciiTheme="minorHAnsi" w:hAnsiTheme="minorHAnsi" w:eastAsiaTheme="minorEastAsia" w:cstheme="majorBidi"/>
      <w:color w:val="376092" w:themeColor="accent1" w:themeShade="BF"/>
      <w:sz w:val="28"/>
      <w:szCs w:val="28"/>
      <w14:ligatures w14:val="standardContextual"/>
    </w:rPr>
  </w:style>
  <w:style w:type="paragraph" w:styleId="6">
    <w:name w:val="heading 5"/>
    <w:basedOn w:val="1"/>
    <w:next w:val="1"/>
    <w:link w:val="35"/>
    <w:semiHidden/>
    <w:unhideWhenUsed/>
    <w:qFormat/>
    <w:uiPriority w:val="9"/>
    <w:pPr>
      <w:keepNext/>
      <w:keepLines/>
      <w:spacing w:before="80" w:after="40" w:line="278" w:lineRule="auto"/>
      <w:jc w:val="left"/>
      <w:outlineLvl w:val="4"/>
    </w:pPr>
    <w:rPr>
      <w:rFonts w:asciiTheme="minorHAnsi" w:hAnsiTheme="minorHAnsi" w:eastAsiaTheme="minorEastAsia" w:cstheme="majorBidi"/>
      <w:color w:val="376092" w:themeColor="accent1" w:themeShade="BF"/>
      <w:sz w:val="24"/>
      <w:szCs w:val="24"/>
      <w14:ligatures w14:val="standardContextual"/>
    </w:rPr>
  </w:style>
  <w:style w:type="paragraph" w:styleId="7">
    <w:name w:val="heading 6"/>
    <w:basedOn w:val="1"/>
    <w:next w:val="1"/>
    <w:link w:val="36"/>
    <w:semiHidden/>
    <w:unhideWhenUsed/>
    <w:qFormat/>
    <w:uiPriority w:val="9"/>
    <w:pPr>
      <w:keepNext/>
      <w:keepLines/>
      <w:spacing w:before="40" w:line="278" w:lineRule="auto"/>
      <w:jc w:val="left"/>
      <w:outlineLvl w:val="5"/>
    </w:pPr>
    <w:rPr>
      <w:rFonts w:asciiTheme="minorHAnsi" w:hAnsiTheme="minorHAnsi" w:eastAsiaTheme="minorEastAsia" w:cstheme="majorBidi"/>
      <w:b/>
      <w:bCs/>
      <w:color w:val="376092" w:themeColor="accent1" w:themeShade="BF"/>
      <w:sz w:val="22"/>
      <w:szCs w:val="24"/>
      <w14:ligatures w14:val="standardContextual"/>
    </w:rPr>
  </w:style>
  <w:style w:type="paragraph" w:styleId="8">
    <w:name w:val="heading 7"/>
    <w:basedOn w:val="1"/>
    <w:next w:val="1"/>
    <w:link w:val="37"/>
    <w:semiHidden/>
    <w:unhideWhenUsed/>
    <w:qFormat/>
    <w:uiPriority w:val="9"/>
    <w:pPr>
      <w:keepNext/>
      <w:keepLines/>
      <w:spacing w:before="40" w:line="278" w:lineRule="auto"/>
      <w:jc w:val="left"/>
      <w:outlineLvl w:val="6"/>
    </w:pPr>
    <w:rPr>
      <w:rFonts w:asciiTheme="minorHAnsi" w:hAnsiTheme="minorHAnsi" w:eastAsiaTheme="minorEastAsia" w:cstheme="majorBidi"/>
      <w:b/>
      <w:bCs/>
      <w:color w:val="595959" w:themeColor="text1" w:themeTint="A6"/>
      <w:sz w:val="22"/>
      <w:szCs w:val="24"/>
      <w14:textFill>
        <w14:solidFill>
          <w14:schemeClr w14:val="tx1">
            <w14:lumMod w14:val="65000"/>
            <w14:lumOff w14:val="35000"/>
          </w14:schemeClr>
        </w14:solidFill>
      </w14:textFill>
      <w14:ligatures w14:val="standardContextual"/>
    </w:rPr>
  </w:style>
  <w:style w:type="paragraph" w:styleId="9">
    <w:name w:val="heading 8"/>
    <w:basedOn w:val="1"/>
    <w:next w:val="1"/>
    <w:link w:val="38"/>
    <w:semiHidden/>
    <w:unhideWhenUsed/>
    <w:qFormat/>
    <w:uiPriority w:val="9"/>
    <w:pPr>
      <w:keepNext/>
      <w:keepLines/>
      <w:spacing w:line="278" w:lineRule="auto"/>
      <w:jc w:val="left"/>
      <w:outlineLvl w:val="7"/>
    </w:pPr>
    <w:rPr>
      <w:rFonts w:asciiTheme="minorHAnsi" w:hAnsiTheme="minorHAnsi" w:eastAsiaTheme="minorEastAsia" w:cstheme="majorBidi"/>
      <w:color w:val="595959" w:themeColor="text1" w:themeTint="A6"/>
      <w:sz w:val="22"/>
      <w:szCs w:val="24"/>
      <w14:textFill>
        <w14:solidFill>
          <w14:schemeClr w14:val="tx1">
            <w14:lumMod w14:val="65000"/>
            <w14:lumOff w14:val="35000"/>
          </w14:schemeClr>
        </w14:solidFill>
      </w14:textFill>
      <w14:ligatures w14:val="standardContextual"/>
    </w:rPr>
  </w:style>
  <w:style w:type="paragraph" w:styleId="10">
    <w:name w:val="heading 9"/>
    <w:basedOn w:val="1"/>
    <w:next w:val="1"/>
    <w:link w:val="39"/>
    <w:semiHidden/>
    <w:unhideWhenUsed/>
    <w:qFormat/>
    <w:uiPriority w:val="9"/>
    <w:pPr>
      <w:keepNext/>
      <w:keepLines/>
      <w:spacing w:line="278" w:lineRule="auto"/>
      <w:jc w:val="left"/>
      <w:outlineLvl w:val="8"/>
    </w:pPr>
    <w:rPr>
      <w:rFonts w:asciiTheme="minorHAnsi" w:hAnsiTheme="minorHAnsi" w:eastAsiaTheme="majorEastAsia" w:cstheme="majorBidi"/>
      <w:color w:val="595959" w:themeColor="text1" w:themeTint="A6"/>
      <w:sz w:val="22"/>
      <w:szCs w:val="24"/>
      <w14:textFill>
        <w14:solidFill>
          <w14:schemeClr w14:val="tx1">
            <w14:lumMod w14:val="65000"/>
            <w14:lumOff w14:val="35000"/>
          </w14:schemeClr>
        </w14:solidFill>
      </w14:textFill>
      <w14:ligatures w14:val="standardContextual"/>
    </w:rPr>
  </w:style>
  <w:style w:type="character" w:default="1" w:styleId="21">
    <w:name w:val="Default Paragraph Font"/>
    <w:unhideWhenUsed/>
    <w:uiPriority w:val="1"/>
  </w:style>
  <w:style w:type="table" w:default="1" w:styleId="20">
    <w:name w:val="Normal Table"/>
    <w:semiHidden/>
    <w:unhideWhenUsed/>
    <w:qFormat/>
    <w:uiPriority w:val="99"/>
    <w:tblPr>
      <w:tblCellMar>
        <w:top w:w="0" w:type="dxa"/>
        <w:left w:w="108" w:type="dxa"/>
        <w:bottom w:w="0" w:type="dxa"/>
        <w:right w:w="108" w:type="dxa"/>
      </w:tblCellMar>
    </w:tblPr>
  </w:style>
  <w:style w:type="paragraph" w:styleId="11">
    <w:name w:val="annotation text"/>
    <w:basedOn w:val="1"/>
    <w:link w:val="29"/>
    <w:unhideWhenUsed/>
    <w:qFormat/>
    <w:uiPriority w:val="99"/>
    <w:pPr>
      <w:jc w:val="left"/>
    </w:pPr>
  </w:style>
  <w:style w:type="paragraph" w:styleId="12">
    <w:name w:val="Body Text"/>
    <w:basedOn w:val="1"/>
    <w:link w:val="28"/>
    <w:qFormat/>
    <w:uiPriority w:val="1"/>
    <w:pPr>
      <w:ind w:left="1260"/>
    </w:pPr>
    <w:rPr>
      <w:rFonts w:ascii="宋体" w:hAnsi="宋体" w:cstheme="minorBidi"/>
      <w:sz w:val="24"/>
      <w:szCs w:val="24"/>
    </w:rPr>
  </w:style>
  <w:style w:type="paragraph" w:styleId="13">
    <w:name w:val="Balloon Text"/>
    <w:basedOn w:val="1"/>
    <w:link w:val="26"/>
    <w:semiHidden/>
    <w:unhideWhenUsed/>
    <w:qFormat/>
    <w:uiPriority w:val="99"/>
    <w:rPr>
      <w:sz w:val="18"/>
      <w:szCs w:val="18"/>
    </w:rPr>
  </w:style>
  <w:style w:type="paragraph" w:styleId="14">
    <w:name w:val="footer"/>
    <w:basedOn w:val="1"/>
    <w:link w:val="25"/>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15">
    <w:name w:val="header"/>
    <w:basedOn w:val="1"/>
    <w:link w:val="24"/>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16">
    <w:name w:val="Subtitle"/>
    <w:basedOn w:val="1"/>
    <w:next w:val="1"/>
    <w:link w:val="41"/>
    <w:qFormat/>
    <w:uiPriority w:val="11"/>
    <w:pPr>
      <w:spacing w:after="160" w:line="278" w:lineRule="auto"/>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14:ligatures w14:val="standardContextual"/>
    </w:rPr>
  </w:style>
  <w:style w:type="paragraph" w:styleId="17">
    <w:name w:val="Normal (Web)"/>
    <w:basedOn w:val="1"/>
    <w:unhideWhenUsed/>
    <w:qFormat/>
    <w:uiPriority w:val="99"/>
    <w:pPr>
      <w:widowControl/>
      <w:spacing w:before="100" w:beforeAutospacing="1" w:after="100" w:afterAutospacing="1"/>
      <w:jc w:val="left"/>
    </w:pPr>
    <w:rPr>
      <w:rFonts w:ascii="宋体" w:hAnsi="宋体" w:cs="宋体"/>
      <w:kern w:val="0"/>
      <w:sz w:val="24"/>
      <w:szCs w:val="24"/>
    </w:rPr>
  </w:style>
  <w:style w:type="paragraph" w:styleId="18">
    <w:name w:val="Title"/>
    <w:basedOn w:val="1"/>
    <w:next w:val="1"/>
    <w:link w:val="40"/>
    <w:qFormat/>
    <w:uiPriority w:val="10"/>
    <w:pPr>
      <w:spacing w:after="80"/>
      <w:contextualSpacing/>
      <w:jc w:val="center"/>
    </w:pPr>
    <w:rPr>
      <w:rFonts w:asciiTheme="majorHAnsi" w:hAnsiTheme="majorHAnsi" w:eastAsiaTheme="majorEastAsia" w:cstheme="majorBidi"/>
      <w:spacing w:val="-10"/>
      <w:kern w:val="28"/>
      <w:sz w:val="56"/>
      <w:szCs w:val="56"/>
      <w14:ligatures w14:val="standardContextual"/>
    </w:rPr>
  </w:style>
  <w:style w:type="paragraph" w:styleId="19">
    <w:name w:val="annotation subject"/>
    <w:basedOn w:val="11"/>
    <w:next w:val="11"/>
    <w:link w:val="30"/>
    <w:semiHidden/>
    <w:unhideWhenUsed/>
    <w:qFormat/>
    <w:uiPriority w:val="99"/>
    <w:rPr>
      <w:b/>
      <w:bCs/>
    </w:rPr>
  </w:style>
  <w:style w:type="character" w:styleId="22">
    <w:name w:val="Hyperlink"/>
    <w:basedOn w:val="21"/>
    <w:semiHidden/>
    <w:unhideWhenUsed/>
    <w:qFormat/>
    <w:uiPriority w:val="99"/>
    <w:rPr>
      <w:color w:val="0000FF"/>
      <w:u w:val="single"/>
    </w:rPr>
  </w:style>
  <w:style w:type="character" w:styleId="23">
    <w:name w:val="annotation reference"/>
    <w:basedOn w:val="21"/>
    <w:semiHidden/>
    <w:unhideWhenUsed/>
    <w:qFormat/>
    <w:uiPriority w:val="99"/>
    <w:rPr>
      <w:sz w:val="21"/>
      <w:szCs w:val="21"/>
    </w:rPr>
  </w:style>
  <w:style w:type="character" w:customStyle="1" w:styleId="24">
    <w:name w:val="页眉 字符"/>
    <w:basedOn w:val="21"/>
    <w:link w:val="15"/>
    <w:qFormat/>
    <w:uiPriority w:val="99"/>
    <w:rPr>
      <w:sz w:val="18"/>
      <w:szCs w:val="18"/>
    </w:rPr>
  </w:style>
  <w:style w:type="character" w:customStyle="1" w:styleId="25">
    <w:name w:val="页脚 字符"/>
    <w:basedOn w:val="21"/>
    <w:link w:val="14"/>
    <w:qFormat/>
    <w:uiPriority w:val="99"/>
    <w:rPr>
      <w:sz w:val="18"/>
      <w:szCs w:val="18"/>
    </w:rPr>
  </w:style>
  <w:style w:type="character" w:customStyle="1" w:styleId="26">
    <w:name w:val="批注框文本 字符"/>
    <w:basedOn w:val="21"/>
    <w:link w:val="13"/>
    <w:semiHidden/>
    <w:qFormat/>
    <w:uiPriority w:val="99"/>
    <w:rPr>
      <w:rFonts w:ascii="Calibri" w:hAnsi="Calibri" w:eastAsia="宋体" w:cs="Times New Roman"/>
      <w:sz w:val="18"/>
      <w:szCs w:val="18"/>
    </w:rPr>
  </w:style>
  <w:style w:type="paragraph" w:customStyle="1" w:styleId="27">
    <w:name w:val="修订1"/>
    <w:hidden/>
    <w:semiHidden/>
    <w:qFormat/>
    <w:uiPriority w:val="99"/>
    <w:rPr>
      <w:rFonts w:ascii="Calibri" w:hAnsi="Calibri" w:eastAsia="宋体" w:cs="Times New Roman"/>
      <w:kern w:val="2"/>
      <w:sz w:val="21"/>
      <w:szCs w:val="22"/>
      <w:lang w:val="en-US" w:eastAsia="zh-CN" w:bidi="ar-SA"/>
    </w:rPr>
  </w:style>
  <w:style w:type="character" w:customStyle="1" w:styleId="28">
    <w:name w:val="正文文本 字符"/>
    <w:basedOn w:val="21"/>
    <w:link w:val="12"/>
    <w:qFormat/>
    <w:uiPriority w:val="1"/>
    <w:rPr>
      <w:rFonts w:ascii="宋体" w:hAnsi="宋体" w:eastAsia="宋体"/>
      <w:sz w:val="24"/>
      <w:szCs w:val="24"/>
    </w:rPr>
  </w:style>
  <w:style w:type="character" w:customStyle="1" w:styleId="29">
    <w:name w:val="批注文字 字符"/>
    <w:basedOn w:val="21"/>
    <w:link w:val="11"/>
    <w:qFormat/>
    <w:uiPriority w:val="99"/>
    <w:rPr>
      <w:rFonts w:ascii="Calibri" w:hAnsi="Calibri" w:eastAsia="宋体" w:cs="Times New Roman"/>
    </w:rPr>
  </w:style>
  <w:style w:type="character" w:customStyle="1" w:styleId="30">
    <w:name w:val="批注主题 字符"/>
    <w:basedOn w:val="29"/>
    <w:link w:val="19"/>
    <w:semiHidden/>
    <w:qFormat/>
    <w:uiPriority w:val="99"/>
    <w:rPr>
      <w:rFonts w:ascii="Calibri" w:hAnsi="Calibri" w:eastAsia="宋体" w:cs="Times New Roman"/>
      <w:b/>
      <w:bCs/>
    </w:rPr>
  </w:style>
  <w:style w:type="character" w:customStyle="1" w:styleId="31">
    <w:name w:val="标题 1 字符"/>
    <w:basedOn w:val="21"/>
    <w:link w:val="2"/>
    <w:qFormat/>
    <w:uiPriority w:val="9"/>
    <w:rPr>
      <w:rFonts w:asciiTheme="majorHAnsi" w:hAnsiTheme="majorHAnsi" w:eastAsiaTheme="majorEastAsia" w:cstheme="majorBidi"/>
      <w:color w:val="376092" w:themeColor="accent1" w:themeShade="BF"/>
      <w:kern w:val="2"/>
      <w:sz w:val="48"/>
      <w:szCs w:val="48"/>
      <w14:ligatures w14:val="standardContextual"/>
    </w:rPr>
  </w:style>
  <w:style w:type="character" w:customStyle="1" w:styleId="32">
    <w:name w:val="标题 2 字符"/>
    <w:basedOn w:val="21"/>
    <w:link w:val="3"/>
    <w:semiHidden/>
    <w:qFormat/>
    <w:uiPriority w:val="9"/>
    <w:rPr>
      <w:rFonts w:asciiTheme="majorHAnsi" w:hAnsiTheme="majorHAnsi" w:eastAsiaTheme="majorEastAsia" w:cstheme="majorBidi"/>
      <w:color w:val="376092" w:themeColor="accent1" w:themeShade="BF"/>
      <w:kern w:val="2"/>
      <w:sz w:val="40"/>
      <w:szCs w:val="40"/>
      <w14:ligatures w14:val="standardContextual"/>
    </w:rPr>
  </w:style>
  <w:style w:type="character" w:customStyle="1" w:styleId="33">
    <w:name w:val="标题 3 字符"/>
    <w:basedOn w:val="21"/>
    <w:link w:val="4"/>
    <w:semiHidden/>
    <w:qFormat/>
    <w:uiPriority w:val="9"/>
    <w:rPr>
      <w:rFonts w:asciiTheme="majorHAnsi" w:hAnsiTheme="majorHAnsi" w:eastAsiaTheme="majorEastAsia" w:cstheme="majorBidi"/>
      <w:color w:val="376092" w:themeColor="accent1" w:themeShade="BF"/>
      <w:sz w:val="32"/>
      <w:szCs w:val="32"/>
      <w14:ligatures w14:val="standardContextual"/>
    </w:rPr>
  </w:style>
  <w:style w:type="character" w:customStyle="1" w:styleId="34">
    <w:name w:val="标题 4 字符"/>
    <w:basedOn w:val="21"/>
    <w:link w:val="5"/>
    <w:semiHidden/>
    <w:qFormat/>
    <w:uiPriority w:val="9"/>
    <w:rPr>
      <w:rFonts w:cstheme="majorBidi"/>
      <w:color w:val="376092" w:themeColor="accent1" w:themeShade="BF"/>
      <w:sz w:val="28"/>
      <w:szCs w:val="28"/>
      <w14:ligatures w14:val="standardContextual"/>
    </w:rPr>
  </w:style>
  <w:style w:type="character" w:customStyle="1" w:styleId="35">
    <w:name w:val="标题 5 字符"/>
    <w:basedOn w:val="21"/>
    <w:link w:val="6"/>
    <w:semiHidden/>
    <w:qFormat/>
    <w:uiPriority w:val="9"/>
    <w:rPr>
      <w:rFonts w:cstheme="majorBidi"/>
      <w:color w:val="376092" w:themeColor="accent1" w:themeShade="BF"/>
      <w:sz w:val="24"/>
      <w:szCs w:val="24"/>
      <w14:ligatures w14:val="standardContextual"/>
    </w:rPr>
  </w:style>
  <w:style w:type="character" w:customStyle="1" w:styleId="36">
    <w:name w:val="标题 6 字符"/>
    <w:basedOn w:val="21"/>
    <w:link w:val="7"/>
    <w:semiHidden/>
    <w:qFormat/>
    <w:uiPriority w:val="9"/>
    <w:rPr>
      <w:rFonts w:cstheme="majorBidi"/>
      <w:b/>
      <w:bCs/>
      <w:color w:val="376092" w:themeColor="accent1" w:themeShade="BF"/>
      <w:sz w:val="22"/>
      <w:szCs w:val="24"/>
      <w14:ligatures w14:val="standardContextual"/>
    </w:rPr>
  </w:style>
  <w:style w:type="character" w:customStyle="1" w:styleId="37">
    <w:name w:val="标题 7 字符"/>
    <w:basedOn w:val="21"/>
    <w:link w:val="8"/>
    <w:semiHidden/>
    <w:qFormat/>
    <w:uiPriority w:val="9"/>
    <w:rPr>
      <w:rFonts w:cstheme="majorBidi"/>
      <w:b/>
      <w:bCs/>
      <w:color w:val="595959" w:themeColor="text1" w:themeTint="A6"/>
      <w:sz w:val="22"/>
      <w:szCs w:val="24"/>
      <w14:textFill>
        <w14:solidFill>
          <w14:schemeClr w14:val="tx1">
            <w14:lumMod w14:val="65000"/>
            <w14:lumOff w14:val="35000"/>
          </w14:schemeClr>
        </w14:solidFill>
      </w14:textFill>
      <w14:ligatures w14:val="standardContextual"/>
    </w:rPr>
  </w:style>
  <w:style w:type="character" w:customStyle="1" w:styleId="38">
    <w:name w:val="标题 8 字符"/>
    <w:basedOn w:val="21"/>
    <w:link w:val="9"/>
    <w:semiHidden/>
    <w:qFormat/>
    <w:uiPriority w:val="9"/>
    <w:rPr>
      <w:rFonts w:cstheme="majorBidi"/>
      <w:color w:val="595959" w:themeColor="text1" w:themeTint="A6"/>
      <w:sz w:val="22"/>
      <w:szCs w:val="24"/>
      <w14:textFill>
        <w14:solidFill>
          <w14:schemeClr w14:val="tx1">
            <w14:lumMod w14:val="65000"/>
            <w14:lumOff w14:val="35000"/>
          </w14:schemeClr>
        </w14:solidFill>
      </w14:textFill>
      <w14:ligatures w14:val="standardContextual"/>
    </w:rPr>
  </w:style>
  <w:style w:type="character" w:customStyle="1" w:styleId="39">
    <w:name w:val="标题 9 字符"/>
    <w:basedOn w:val="21"/>
    <w:link w:val="10"/>
    <w:semiHidden/>
    <w:qFormat/>
    <w:uiPriority w:val="9"/>
    <w:rPr>
      <w:rFonts w:eastAsiaTheme="majorEastAsia" w:cstheme="majorBidi"/>
      <w:color w:val="595959" w:themeColor="text1" w:themeTint="A6"/>
      <w:sz w:val="22"/>
      <w:szCs w:val="24"/>
      <w14:textFill>
        <w14:solidFill>
          <w14:schemeClr w14:val="tx1">
            <w14:lumMod w14:val="65000"/>
            <w14:lumOff w14:val="35000"/>
          </w14:schemeClr>
        </w14:solidFill>
      </w14:textFill>
      <w14:ligatures w14:val="standardContextual"/>
    </w:rPr>
  </w:style>
  <w:style w:type="character" w:customStyle="1" w:styleId="40">
    <w:name w:val="标题 字符"/>
    <w:basedOn w:val="21"/>
    <w:link w:val="18"/>
    <w:qFormat/>
    <w:uiPriority w:val="10"/>
    <w:rPr>
      <w:rFonts w:asciiTheme="majorHAnsi" w:hAnsiTheme="majorHAnsi" w:eastAsiaTheme="majorEastAsia" w:cstheme="majorBidi"/>
      <w:spacing w:val="-10"/>
      <w:kern w:val="28"/>
      <w:sz w:val="56"/>
      <w:szCs w:val="56"/>
      <w14:ligatures w14:val="standardContextual"/>
    </w:rPr>
  </w:style>
  <w:style w:type="character" w:customStyle="1" w:styleId="41">
    <w:name w:val="副标题 字符"/>
    <w:basedOn w:val="21"/>
    <w:link w:val="16"/>
    <w:qFormat/>
    <w:uiPriority w:val="11"/>
    <w:rPr>
      <w:rFonts w:asciiTheme="majorHAnsi" w:hAnsiTheme="majorHAnsi" w:eastAsiaTheme="majorEastAsia" w:cstheme="majorBidi"/>
      <w:color w:val="595959" w:themeColor="text1" w:themeTint="A6"/>
      <w:spacing w:val="15"/>
      <w:kern w:val="2"/>
      <w:sz w:val="28"/>
      <w:szCs w:val="28"/>
      <w14:textFill>
        <w14:solidFill>
          <w14:schemeClr w14:val="tx1">
            <w14:lumMod w14:val="65000"/>
            <w14:lumOff w14:val="35000"/>
          </w14:schemeClr>
        </w14:solidFill>
      </w14:textFill>
      <w14:ligatures w14:val="standardContextual"/>
    </w:rPr>
  </w:style>
  <w:style w:type="paragraph" w:styleId="42">
    <w:name w:val="Quote"/>
    <w:basedOn w:val="1"/>
    <w:next w:val="1"/>
    <w:link w:val="43"/>
    <w:qFormat/>
    <w:uiPriority w:val="29"/>
    <w:pPr>
      <w:spacing w:before="160" w:after="160" w:line="278" w:lineRule="auto"/>
      <w:jc w:val="center"/>
    </w:pPr>
    <w:rPr>
      <w:rFonts w:asciiTheme="minorHAnsi" w:hAnsiTheme="minorHAnsi" w:eastAsiaTheme="minorEastAsia" w:cstheme="minorBidi"/>
      <w:i/>
      <w:iCs/>
      <w:color w:val="404040" w:themeColor="text1" w:themeTint="BF"/>
      <w:sz w:val="22"/>
      <w:szCs w:val="24"/>
      <w14:textFill>
        <w14:solidFill>
          <w14:schemeClr w14:val="tx1">
            <w14:lumMod w14:val="75000"/>
            <w14:lumOff w14:val="25000"/>
          </w14:schemeClr>
        </w14:solidFill>
      </w14:textFill>
      <w14:ligatures w14:val="standardContextual"/>
    </w:rPr>
  </w:style>
  <w:style w:type="character" w:customStyle="1" w:styleId="43">
    <w:name w:val="引用 字符"/>
    <w:basedOn w:val="21"/>
    <w:link w:val="42"/>
    <w:uiPriority w:val="29"/>
    <w:rPr>
      <w:i/>
      <w:iCs/>
      <w:color w:val="404040" w:themeColor="text1" w:themeTint="BF"/>
      <w:kern w:val="2"/>
      <w:sz w:val="22"/>
      <w:szCs w:val="24"/>
      <w14:textFill>
        <w14:solidFill>
          <w14:schemeClr w14:val="tx1">
            <w14:lumMod w14:val="75000"/>
            <w14:lumOff w14:val="25000"/>
          </w14:schemeClr>
        </w14:solidFill>
      </w14:textFill>
      <w14:ligatures w14:val="standardContextual"/>
    </w:rPr>
  </w:style>
  <w:style w:type="paragraph" w:styleId="44">
    <w:name w:val="List Paragraph"/>
    <w:basedOn w:val="1"/>
    <w:qFormat/>
    <w:uiPriority w:val="34"/>
    <w:pPr>
      <w:spacing w:after="160" w:line="278" w:lineRule="auto"/>
      <w:ind w:left="720"/>
      <w:contextualSpacing/>
      <w:jc w:val="left"/>
    </w:pPr>
    <w:rPr>
      <w:rFonts w:asciiTheme="minorHAnsi" w:hAnsiTheme="minorHAnsi" w:eastAsiaTheme="minorEastAsia" w:cstheme="minorBidi"/>
      <w:sz w:val="22"/>
      <w:szCs w:val="24"/>
      <w14:ligatures w14:val="standardContextual"/>
    </w:rPr>
  </w:style>
  <w:style w:type="character" w:customStyle="1" w:styleId="45">
    <w:name w:val="明显强调1"/>
    <w:basedOn w:val="21"/>
    <w:qFormat/>
    <w:uiPriority w:val="21"/>
    <w:rPr>
      <w:i/>
      <w:iCs/>
      <w:color w:val="376092" w:themeColor="accent1" w:themeShade="BF"/>
    </w:rPr>
  </w:style>
  <w:style w:type="paragraph" w:styleId="46">
    <w:name w:val="Intense Quote"/>
    <w:basedOn w:val="1"/>
    <w:next w:val="1"/>
    <w:link w:val="47"/>
    <w:qFormat/>
    <w:uiPriority w:val="30"/>
    <w:pPr>
      <w:pBdr>
        <w:top w:val="single" w:color="366091" w:themeColor="accent1" w:themeShade="BF" w:sz="4" w:space="10"/>
        <w:bottom w:val="single" w:color="366091" w:themeColor="accent1" w:themeShade="BF" w:sz="4" w:space="10"/>
      </w:pBdr>
      <w:spacing w:before="360" w:after="360" w:line="278" w:lineRule="auto"/>
      <w:ind w:left="864" w:right="864"/>
      <w:jc w:val="center"/>
    </w:pPr>
    <w:rPr>
      <w:rFonts w:asciiTheme="minorHAnsi" w:hAnsiTheme="minorHAnsi" w:eastAsiaTheme="minorEastAsia" w:cstheme="minorBidi"/>
      <w:i/>
      <w:iCs/>
      <w:color w:val="376092" w:themeColor="accent1" w:themeShade="BF"/>
      <w:sz w:val="22"/>
      <w:szCs w:val="24"/>
      <w14:ligatures w14:val="standardContextual"/>
    </w:rPr>
  </w:style>
  <w:style w:type="character" w:customStyle="1" w:styleId="47">
    <w:name w:val="明显引用 字符"/>
    <w:basedOn w:val="21"/>
    <w:link w:val="46"/>
    <w:qFormat/>
    <w:uiPriority w:val="30"/>
    <w:rPr>
      <w:i/>
      <w:iCs/>
      <w:color w:val="376092" w:themeColor="accent1" w:themeShade="BF"/>
      <w:kern w:val="2"/>
      <w:sz w:val="22"/>
      <w:szCs w:val="24"/>
      <w14:ligatures w14:val="standardContextual"/>
    </w:rPr>
  </w:style>
  <w:style w:type="character" w:customStyle="1" w:styleId="48">
    <w:name w:val="明显参考1"/>
    <w:basedOn w:val="21"/>
    <w:qFormat/>
    <w:uiPriority w:val="32"/>
    <w:rPr>
      <w:b/>
      <w:bCs/>
      <w:smallCaps/>
      <w:color w:val="376092" w:themeColor="accent1" w:themeShade="BF"/>
      <w:spacing w:val="5"/>
    </w:rPr>
  </w:style>
  <w:style w:type="paragraph" w:customStyle="1" w:styleId="49">
    <w:name w:val="arti_metas"/>
    <w:basedOn w:val="1"/>
    <w:qFormat/>
    <w:uiPriority w:val="0"/>
    <w:pPr>
      <w:widowControl/>
      <w:spacing w:before="100" w:beforeAutospacing="1" w:after="100" w:afterAutospacing="1"/>
      <w:jc w:val="left"/>
    </w:pPr>
    <w:rPr>
      <w:rFonts w:ascii="宋体" w:hAnsi="宋体" w:cs="宋体"/>
      <w:kern w:val="0"/>
      <w:sz w:val="24"/>
      <w:szCs w:val="24"/>
    </w:rPr>
  </w:style>
  <w:style w:type="character" w:customStyle="1" w:styleId="50">
    <w:name w:val="arti_publisher"/>
    <w:basedOn w:val="21"/>
    <w:uiPriority w:val="0"/>
  </w:style>
  <w:style w:type="character" w:customStyle="1" w:styleId="51">
    <w:name w:val="arti_update"/>
    <w:basedOn w:val="21"/>
    <w:qFormat/>
    <w:uiPriority w:val="0"/>
  </w:style>
  <w:style w:type="character" w:customStyle="1" w:styleId="52">
    <w:name w:val="arti_views"/>
    <w:basedOn w:val="21"/>
    <w:qFormat/>
    <w:uiPriority w:val="0"/>
  </w:style>
  <w:style w:type="character" w:customStyle="1" w:styleId="53">
    <w:name w:val="wp_visitcount"/>
    <w:basedOn w:val="21"/>
    <w:uiPriority w:val="0"/>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http://schemas.openxmlformats.org/officeDocument/2006/bibliography" xmlns:b="http://schemas.openxmlformats.org/officeDocument/2006/bibliography" Version="6" StyleName="APA" SelectedStyle="/APASixthEditionOfficeOnline.xsl"/>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0367A4D8-67EB-49EF-860D-8B0B0FAF51F3}">
  <ds:schemaRefs/>
</ds:datastoreItem>
</file>

<file path=docProps/app.xml><?xml version="1.0" encoding="utf-8"?>
<Properties xmlns="http://schemas.openxmlformats.org/officeDocument/2006/extended-properties" xmlns:vt="http://schemas.openxmlformats.org/officeDocument/2006/docPropsVTypes">
  <Template>Normal</Template>
  <Company>Lenovo</Company>
  <Pages>6</Pages>
  <Words>1954</Words>
  <Characters>1962</Characters>
  <Lines>15</Lines>
  <Paragraphs>4</Paragraphs>
  <TotalTime>0</TotalTime>
  <ScaleCrop>false</ScaleCrop>
  <LinksUpToDate>false</LinksUpToDate>
  <CharactersWithSpaces>2089</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2025-12-26T22:43:00Z</dcterms:created>
  <dc:creator>lenovo</dc:creator>
  <cp:lastModifiedBy>maojie</cp:lastModifiedBy>
  <dcterms:modified xsi:type="dcterms:W3CDTF">2026-01-27T05:54:04Z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D493A65FC9FF797564532A69AF1C04B9_43</vt:lpwstr>
  </property>
  <property fmtid="{D5CDD505-2E9C-101B-9397-08002B2CF9AE}" pid="4" name="KSOTemplateDocerSaveRecord">
    <vt:lpwstr>eyJoZGlkIjoiM2M1MTExOWE5ZGVmNzcwM2FhZDgzMTI4OGU2OGRiOWMiLCJ1c2VySWQiOiIyNDk0NzU3ODcifQ==</vt:lpwstr>
  </property>
</Properties>
</file>