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80747">
      <w:pPr>
        <w:widowControl w:val="0"/>
        <w:kinsoku/>
        <w:autoSpaceDE/>
        <w:autoSpaceDN/>
        <w:adjustRightInd/>
        <w:snapToGrid/>
        <w:spacing w:after="0" w:afterLines="0" w:line="560" w:lineRule="exact"/>
        <w:ind w:firstLine="0" w:firstLineChars="0"/>
        <w:jc w:val="right"/>
        <w:textAlignment w:val="auto"/>
        <w:rPr>
          <w:rFonts w:hint="eastAsia" w:ascii="仿宋_GB2312" w:hAnsi="仿宋_GB2312" w:eastAsia="仿宋_GB2312" w:cs="仿宋_GB2312"/>
          <w:snapToGrid/>
          <w:color w:val="000000"/>
          <w:kern w:val="2"/>
          <w:sz w:val="32"/>
          <w:szCs w:val="32"/>
          <w:lang w:val="en-US" w:eastAsia="zh-CN"/>
        </w:rPr>
      </w:pPr>
    </w:p>
    <w:p w14:paraId="02DB1452">
      <w:pPr>
        <w:widowControl w:val="0"/>
        <w:kinsoku/>
        <w:autoSpaceDE/>
        <w:autoSpaceDN/>
        <w:adjustRightInd/>
        <w:snapToGrid/>
        <w:spacing w:after="0" w:afterLines="0" w:line="560" w:lineRule="exact"/>
        <w:ind w:firstLine="0" w:firstLineChars="0"/>
        <w:jc w:val="right"/>
        <w:textAlignment w:val="auto"/>
        <w:rPr>
          <w:rFonts w:hint="eastAsia" w:ascii="Times New Roman" w:hAnsi="Times New Roman" w:eastAsia="方正小标宋简体" w:cs="Times New Roman"/>
          <w:sz w:val="36"/>
          <w:szCs w:val="36"/>
        </w:rPr>
      </w:pPr>
      <w:r>
        <w:rPr>
          <w:rFonts w:hint="eastAsia" w:ascii="仿宋_GB2312" w:hAnsi="仿宋_GB2312" w:eastAsia="仿宋_GB2312" w:cs="仿宋_GB2312"/>
          <w:snapToGrid/>
          <w:color w:val="000000"/>
          <w:kern w:val="2"/>
          <w:sz w:val="32"/>
          <w:szCs w:val="32"/>
          <w:lang w:val="en-US" w:eastAsia="zh-CN"/>
        </w:rPr>
        <w:t>清深国院规〔2026〕61</w:t>
      </w:r>
      <w:bookmarkStart w:id="0" w:name="_GoBack"/>
      <w:bookmarkEnd w:id="0"/>
      <w:r>
        <w:rPr>
          <w:rFonts w:hint="eastAsia" w:ascii="仿宋_GB2312" w:hAnsi="仿宋_GB2312" w:eastAsia="仿宋_GB2312" w:cs="仿宋_GB2312"/>
          <w:snapToGrid/>
          <w:color w:val="000000"/>
          <w:kern w:val="2"/>
          <w:sz w:val="32"/>
          <w:szCs w:val="32"/>
          <w:lang w:val="en-US" w:eastAsia="zh-CN"/>
        </w:rPr>
        <w:t>号</w:t>
      </w:r>
    </w:p>
    <w:p w14:paraId="30BB4779">
      <w:pPr>
        <w:spacing w:line="560" w:lineRule="exact"/>
        <w:jc w:val="center"/>
        <w:rPr>
          <w:rFonts w:hint="eastAsia" w:ascii="Times New Roman" w:hAnsi="Times New Roman" w:eastAsia="方正小标宋简体" w:cs="Times New Roman"/>
          <w:sz w:val="36"/>
          <w:szCs w:val="36"/>
        </w:rPr>
      </w:pPr>
    </w:p>
    <w:p w14:paraId="283EA461">
      <w:pPr>
        <w:spacing w:line="560" w:lineRule="exact"/>
        <w:jc w:val="center"/>
        <w:rPr>
          <w:rFonts w:hint="eastAsia" w:ascii="Times New Roman" w:hAnsi="Times New Roman" w:eastAsia="方正小标宋简体" w:cs="Times New Roman"/>
          <w:sz w:val="36"/>
          <w:szCs w:val="36"/>
        </w:rPr>
      </w:pPr>
      <w:r>
        <w:rPr>
          <w:rFonts w:hint="eastAsia" w:ascii="Times New Roman" w:hAnsi="Times New Roman" w:eastAsia="方正小标宋简体" w:cs="Times New Roman"/>
          <w:sz w:val="36"/>
          <w:szCs w:val="36"/>
        </w:rPr>
        <w:t>清华大学深圳国际研究生院</w:t>
      </w:r>
      <w:r>
        <w:rPr>
          <w:rFonts w:hint="eastAsia" w:ascii="Times New Roman" w:hAnsi="Times New Roman" w:eastAsia="方正小标宋简体" w:cs="Times New Roman"/>
          <w:sz w:val="36"/>
          <w:szCs w:val="36"/>
          <w:lang w:val="en-US" w:eastAsia="zh-CN"/>
        </w:rPr>
        <w:t>审计结果运用</w:t>
      </w:r>
      <w:r>
        <w:rPr>
          <w:rFonts w:hint="eastAsia" w:ascii="Times New Roman" w:hAnsi="Times New Roman" w:eastAsia="方正小标宋简体" w:cs="Times New Roman"/>
          <w:sz w:val="36"/>
          <w:szCs w:val="36"/>
        </w:rPr>
        <w:t>办法</w:t>
      </w:r>
    </w:p>
    <w:p w14:paraId="61643F68">
      <w:pPr>
        <w:spacing w:line="560" w:lineRule="exact"/>
        <w:jc w:val="center"/>
        <w:rPr>
          <w:rFonts w:hint="default" w:ascii="仿宋_GB2312" w:eastAsia="仿宋_GB2312"/>
          <w:sz w:val="30"/>
          <w:szCs w:val="30"/>
          <w:lang w:val="en-US" w:eastAsia="zh-CN"/>
        </w:rPr>
      </w:pPr>
      <w:r>
        <w:rPr>
          <w:rFonts w:hint="eastAsia" w:ascii="仿宋_GB2312" w:eastAsia="仿宋_GB2312"/>
          <w:sz w:val="30"/>
          <w:szCs w:val="30"/>
        </w:rPr>
        <w:t>二</w:t>
      </w:r>
      <w:r>
        <w:rPr>
          <w:rFonts w:hint="eastAsia" w:ascii="仿宋_GB2312" w:hAnsi="仿宋_GB2312" w:eastAsia="仿宋_GB2312" w:cs="仿宋_GB2312"/>
          <w:color w:val="000000"/>
          <w:sz w:val="30"/>
          <w:szCs w:val="30"/>
        </w:rPr>
        <w:t>〇</w:t>
      </w:r>
      <w:r>
        <w:rPr>
          <w:rFonts w:hint="eastAsia" w:ascii="仿宋_GB2312" w:eastAsia="仿宋_GB2312"/>
          <w:sz w:val="30"/>
          <w:szCs w:val="30"/>
        </w:rPr>
        <w:t>二</w:t>
      </w:r>
      <w:r>
        <w:rPr>
          <w:rFonts w:hint="eastAsia" w:ascii="仿宋_GB2312" w:eastAsia="仿宋_GB2312"/>
          <w:sz w:val="30"/>
          <w:szCs w:val="30"/>
          <w:lang w:val="en-US" w:eastAsia="zh-CN"/>
        </w:rPr>
        <w:t>六</w:t>
      </w:r>
      <w:r>
        <w:rPr>
          <w:rFonts w:hint="eastAsia" w:ascii="仿宋_GB2312" w:eastAsia="仿宋_GB2312"/>
          <w:sz w:val="30"/>
          <w:szCs w:val="30"/>
        </w:rPr>
        <w:t>年第</w:t>
      </w:r>
      <w:r>
        <w:rPr>
          <w:rFonts w:hint="eastAsia" w:ascii="仿宋_GB2312" w:eastAsia="仿宋_GB2312"/>
          <w:sz w:val="30"/>
          <w:szCs w:val="30"/>
          <w:lang w:val="en-US" w:eastAsia="zh-CN"/>
        </w:rPr>
        <w:t>十五</w:t>
      </w:r>
      <w:r>
        <w:rPr>
          <w:rFonts w:hint="eastAsia" w:ascii="仿宋_GB2312" w:eastAsia="仿宋_GB2312"/>
          <w:sz w:val="30"/>
          <w:szCs w:val="30"/>
        </w:rPr>
        <w:t>次</w:t>
      </w:r>
      <w:r>
        <w:rPr>
          <w:rFonts w:hint="eastAsia" w:ascii="仿宋_GB2312" w:eastAsia="仿宋_GB2312"/>
          <w:sz w:val="30"/>
          <w:szCs w:val="30"/>
          <w:lang w:val="en-US" w:eastAsia="zh-CN"/>
        </w:rPr>
        <w:t>党政联席</w:t>
      </w:r>
      <w:r>
        <w:rPr>
          <w:rFonts w:hint="eastAsia" w:ascii="仿宋_GB2312" w:eastAsia="仿宋_GB2312"/>
          <w:sz w:val="30"/>
          <w:szCs w:val="30"/>
        </w:rPr>
        <w:t>会</w:t>
      </w:r>
      <w:r>
        <w:rPr>
          <w:rFonts w:hint="eastAsia" w:ascii="仿宋_GB2312" w:eastAsia="仿宋_GB2312"/>
          <w:sz w:val="30"/>
          <w:szCs w:val="30"/>
          <w:lang w:val="en-US" w:eastAsia="zh-CN"/>
        </w:rPr>
        <w:t>议</w:t>
      </w:r>
      <w:r>
        <w:rPr>
          <w:rFonts w:hint="eastAsia" w:ascii="仿宋_GB2312" w:eastAsia="仿宋_GB2312"/>
          <w:sz w:val="30"/>
          <w:szCs w:val="30"/>
        </w:rPr>
        <w:t>（202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5</w:t>
      </w:r>
      <w:r>
        <w:rPr>
          <w:rFonts w:hint="eastAsia" w:ascii="仿宋_GB2312" w:eastAsia="仿宋_GB2312"/>
          <w:sz w:val="30"/>
          <w:szCs w:val="30"/>
        </w:rPr>
        <w:t>月</w:t>
      </w:r>
      <w:r>
        <w:rPr>
          <w:rFonts w:hint="eastAsia" w:ascii="仿宋_GB2312" w:eastAsia="仿宋_GB2312"/>
          <w:sz w:val="30"/>
          <w:szCs w:val="30"/>
          <w:lang w:val="en-US" w:eastAsia="zh-CN"/>
        </w:rPr>
        <w:t>5</w:t>
      </w:r>
      <w:r>
        <w:rPr>
          <w:rFonts w:hint="eastAsia" w:ascii="仿宋_GB2312" w:eastAsia="仿宋_GB2312"/>
          <w:sz w:val="30"/>
          <w:szCs w:val="30"/>
        </w:rPr>
        <w:t>日）</w:t>
      </w:r>
      <w:r>
        <w:rPr>
          <w:rFonts w:hint="eastAsia" w:ascii="仿宋_GB2312" w:eastAsia="仿宋_GB2312"/>
          <w:sz w:val="30"/>
          <w:szCs w:val="30"/>
          <w:lang w:val="en-US" w:eastAsia="zh-CN"/>
        </w:rPr>
        <w:t>审议通过</w:t>
      </w:r>
    </w:p>
    <w:p w14:paraId="7335B46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p>
    <w:p w14:paraId="75EDBF0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第一条</w:t>
      </w:r>
      <w:r>
        <w:rPr>
          <w:rFonts w:hint="eastAsia" w:ascii="仿宋_GB2312" w:hAnsi="仿宋_GB2312" w:eastAsia="仿宋_GB2312" w:cs="仿宋_GB2312"/>
          <w:color w:val="000000" w:themeColor="text1"/>
          <w:sz w:val="32"/>
          <w:szCs w:val="32"/>
          <w14:textFill>
            <w14:solidFill>
              <w14:schemeClr w14:val="tx1"/>
            </w14:solidFill>
          </w14:textFill>
        </w:rPr>
        <w:t xml:space="preserve">  为进一步规范学院审计结果运用，提升审计整改工作质量和效果，全面履行审计监督职能，切实提高审计效能，根据《审计署关于内部审计工作的规定》《教育部经济责任审计整改工作办法》《清华大学内部审计工作规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以及</w:t>
      </w:r>
      <w:r>
        <w:rPr>
          <w:rFonts w:hint="eastAsia" w:ascii="仿宋_GB2312" w:hAnsi="仿宋_GB2312" w:eastAsia="仿宋_GB2312" w:cs="仿宋_GB2312"/>
          <w:color w:val="000000" w:themeColor="text1"/>
          <w:sz w:val="32"/>
          <w:szCs w:val="32"/>
          <w14:textFill>
            <w14:solidFill>
              <w14:schemeClr w14:val="tx1"/>
            </w14:solidFill>
          </w14:textFill>
        </w:rPr>
        <w:t>《清华大学</w:t>
      </w:r>
      <w:r>
        <w:rPr>
          <w:rFonts w:hint="eastAsia" w:ascii="仿宋_GB2312" w:hAnsi="仿宋_GB2312" w:eastAsia="仿宋_GB2312" w:cs="仿宋_GB2312"/>
          <w:color w:val="000000" w:themeColor="text1"/>
          <w:sz w:val="32"/>
          <w:szCs w:val="32"/>
          <w:lang w:bidi="ar"/>
          <w14:textFill>
            <w14:solidFill>
              <w14:schemeClr w14:val="tx1"/>
            </w14:solidFill>
          </w14:textFill>
        </w:rPr>
        <w:t>深圳国际研究生院</w:t>
      </w:r>
      <w:r>
        <w:rPr>
          <w:rFonts w:hint="eastAsia" w:ascii="仿宋_GB2312" w:hAnsi="仿宋_GB2312" w:eastAsia="仿宋_GB2312" w:cs="仿宋_GB2312"/>
          <w:color w:val="000000" w:themeColor="text1"/>
          <w:sz w:val="32"/>
          <w:szCs w:val="32"/>
          <w14:textFill>
            <w14:solidFill>
              <w14:schemeClr w14:val="tx1"/>
            </w14:solidFill>
          </w14:textFill>
        </w:rPr>
        <w:t>内部审计工作</w:t>
      </w:r>
      <w:r>
        <w:rPr>
          <w:rFonts w:hint="eastAsia" w:ascii="仿宋_GB2312" w:hAnsi="仿宋_GB2312" w:eastAsia="仿宋_GB2312" w:cs="仿宋_GB2312"/>
          <w:color w:val="000000" w:themeColor="text1"/>
          <w:sz w:val="32"/>
          <w:szCs w:val="32"/>
          <w:lang w:bidi="ar"/>
          <w14:textFill>
            <w14:solidFill>
              <w14:schemeClr w14:val="tx1"/>
            </w14:solidFill>
          </w14:textFill>
        </w:rPr>
        <w:t>实施细则</w:t>
      </w:r>
      <w:r>
        <w:rPr>
          <w:rFonts w:hint="eastAsia" w:ascii="仿宋_GB2312" w:hAnsi="仿宋_GB2312" w:eastAsia="仿宋_GB2312" w:cs="仿宋_GB2312"/>
          <w:color w:val="000000" w:themeColor="text1"/>
          <w:sz w:val="32"/>
          <w:szCs w:val="32"/>
          <w14:textFill>
            <w14:solidFill>
              <w14:schemeClr w14:val="tx1"/>
            </w14:solidFill>
          </w14:textFill>
        </w:rPr>
        <w:t>》等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有</w:t>
      </w:r>
      <w:r>
        <w:rPr>
          <w:rFonts w:hint="eastAsia" w:ascii="仿宋_GB2312" w:hAnsi="仿宋_GB2312" w:eastAsia="仿宋_GB2312" w:cs="仿宋_GB2312"/>
          <w:color w:val="000000" w:themeColor="text1"/>
          <w:sz w:val="32"/>
          <w:szCs w:val="32"/>
          <w14:textFill>
            <w14:solidFill>
              <w14:schemeClr w14:val="tx1"/>
            </w14:solidFill>
          </w14:textFill>
        </w:rPr>
        <w:t>关规定，结合学院实际，制定本办法。</w:t>
      </w:r>
    </w:p>
    <w:p w14:paraId="6806F55E">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第二条</w:t>
      </w:r>
      <w:r>
        <w:rPr>
          <w:rFonts w:hint="eastAsia" w:ascii="仿宋_GB2312" w:hAnsi="仿宋_GB2312" w:eastAsia="仿宋_GB2312" w:cs="仿宋_GB2312"/>
          <w:color w:val="000000" w:themeColor="text1"/>
          <w:sz w:val="32"/>
          <w:szCs w:val="32"/>
          <w14:textFill>
            <w14:solidFill>
              <w14:schemeClr w14:val="tx1"/>
            </w14:solidFill>
          </w14:textFill>
        </w:rPr>
        <w:t xml:space="preserve">  本办法所称审计结果，是指内部审计形成的审计结论性文书所反映的内容和事项。 </w:t>
      </w:r>
    </w:p>
    <w:p w14:paraId="0F55769C">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第三条</w:t>
      </w:r>
      <w:r>
        <w:rPr>
          <w:rFonts w:hint="eastAsia" w:ascii="仿宋_GB2312" w:hAnsi="仿宋_GB2312" w:eastAsia="仿宋_GB2312" w:cs="仿宋_GB2312"/>
          <w:color w:val="000000" w:themeColor="text1"/>
          <w:sz w:val="32"/>
          <w:szCs w:val="32"/>
          <w14:textFill>
            <w14:solidFill>
              <w14:schemeClr w14:val="tx1"/>
            </w14:solidFill>
          </w14:textFill>
        </w:rPr>
        <w:t xml:space="preserve">  审计结果运用坚持实事求是、客观公正，适度公开、注重保密的原则，坚持协调运作、成果共享的原则。</w:t>
      </w:r>
    </w:p>
    <w:p w14:paraId="3CB58AAF">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第四条</w:t>
      </w:r>
      <w:r>
        <w:rPr>
          <w:rFonts w:hint="eastAsia" w:ascii="仿宋_GB2312" w:hAnsi="仿宋_GB2312" w:eastAsia="仿宋_GB2312" w:cs="仿宋_GB2312"/>
          <w:color w:val="000000" w:themeColor="text1"/>
          <w:sz w:val="32"/>
          <w:szCs w:val="32"/>
          <w14:textFill>
            <w14:solidFill>
              <w14:schemeClr w14:val="tx1"/>
            </w14:solidFill>
          </w14:textFill>
        </w:rPr>
        <w:t xml:space="preserve">  审计结果包括</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050FBA62">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（一）学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院</w:t>
      </w:r>
      <w:r>
        <w:rPr>
          <w:rFonts w:hint="eastAsia" w:ascii="仿宋_GB2312" w:hAnsi="仿宋_GB2312" w:eastAsia="仿宋_GB2312" w:cs="仿宋_GB2312"/>
          <w:color w:val="000000" w:themeColor="text1"/>
          <w:sz w:val="32"/>
          <w:szCs w:val="32"/>
          <w:lang w:eastAsia="zh-CN"/>
          <w14:textFill>
            <w14:solidFill>
              <w14:schemeClr w14:val="tx1"/>
            </w14:solidFill>
          </w14:textFill>
        </w:rPr>
        <w:t>及二级单位贯彻落实国家有关重大政策措施情况的审计结果；</w:t>
      </w:r>
    </w:p>
    <w:p w14:paraId="5AC4704D">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（二）学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院</w:t>
      </w:r>
      <w:r>
        <w:rPr>
          <w:rFonts w:hint="eastAsia" w:ascii="仿宋_GB2312" w:hAnsi="仿宋_GB2312" w:eastAsia="仿宋_GB2312" w:cs="仿宋_GB2312"/>
          <w:color w:val="000000" w:themeColor="text1"/>
          <w:sz w:val="32"/>
          <w:szCs w:val="32"/>
          <w:lang w:eastAsia="zh-CN"/>
          <w14:textFill>
            <w14:solidFill>
              <w14:schemeClr w14:val="tx1"/>
            </w14:solidFill>
          </w14:textFill>
        </w:rPr>
        <w:t>及二级单位发展规划、重大决策措施落实以及年度计划执行情况的审计结果；</w:t>
      </w:r>
    </w:p>
    <w:p w14:paraId="4D822BE8">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（三）学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院</w:t>
      </w:r>
      <w:r>
        <w:rPr>
          <w:rFonts w:hint="eastAsia" w:ascii="仿宋_GB2312" w:hAnsi="仿宋_GB2312" w:eastAsia="仿宋_GB2312" w:cs="仿宋_GB2312"/>
          <w:color w:val="000000" w:themeColor="text1"/>
          <w:sz w:val="32"/>
          <w:szCs w:val="32"/>
          <w:lang w:eastAsia="zh-CN"/>
          <w14:textFill>
            <w14:solidFill>
              <w14:schemeClr w14:val="tx1"/>
            </w14:solidFill>
          </w14:textFill>
        </w:rPr>
        <w:t>及二级单位的财务收支和资源配置管理情况的审计结果；</w:t>
      </w:r>
    </w:p>
    <w:p w14:paraId="29309A05">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（四）学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院</w:t>
      </w:r>
      <w:r>
        <w:rPr>
          <w:rFonts w:hint="eastAsia" w:ascii="仿宋_GB2312" w:hAnsi="仿宋_GB2312" w:eastAsia="仿宋_GB2312" w:cs="仿宋_GB2312"/>
          <w:color w:val="000000" w:themeColor="text1"/>
          <w:sz w:val="32"/>
          <w:szCs w:val="32"/>
          <w:lang w:eastAsia="zh-CN"/>
          <w14:textFill>
            <w14:solidFill>
              <w14:schemeClr w14:val="tx1"/>
            </w14:solidFill>
          </w14:textFill>
        </w:rPr>
        <w:t>及二级单位内部控制及风险管理的审计结果；</w:t>
      </w:r>
    </w:p>
    <w:p w14:paraId="0447F5A8">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（五）领导干部任职期间经济责任履行情况的审计结果；</w:t>
      </w:r>
    </w:p>
    <w:p w14:paraId="082E1AE5">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（六）科研经费、资产、信息系统等重点领域的审计结果；</w:t>
      </w:r>
    </w:p>
    <w:p w14:paraId="375CCC22">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（七）各类专项资金审计、管理审计、绩效审计的审计结果；</w:t>
      </w:r>
    </w:p>
    <w:p w14:paraId="1543951C">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（八）建设工程项目审计结果；</w:t>
      </w:r>
    </w:p>
    <w:p w14:paraId="6CE644C3">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（九）审计发现问题整改情况的监督检查结果；</w:t>
      </w:r>
    </w:p>
    <w:p w14:paraId="6A31ED95">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（十）其他审计事项结果。</w:t>
      </w:r>
    </w:p>
    <w:p w14:paraId="1025927D">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第五条</w:t>
      </w:r>
      <w:r>
        <w:rPr>
          <w:rFonts w:hint="eastAsia" w:ascii="仿宋_GB2312" w:hAnsi="仿宋_GB2312" w:eastAsia="仿宋_GB2312" w:cs="仿宋_GB2312"/>
          <w:color w:val="000000" w:themeColor="text1"/>
          <w:sz w:val="32"/>
          <w:szCs w:val="32"/>
          <w14:textFill>
            <w14:solidFill>
              <w14:schemeClr w14:val="tx1"/>
            </w14:solidFill>
          </w14:textFill>
        </w:rPr>
        <w:t xml:space="preserve">  审计结果由相关部门在学院审计工作领导小组的领导下，按照各自职权充分运用。</w:t>
      </w:r>
    </w:p>
    <w:p w14:paraId="524882C8">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第六条</w:t>
      </w:r>
      <w:r>
        <w:rPr>
          <w:rFonts w:hint="eastAsia" w:ascii="仿宋_GB2312" w:hAnsi="仿宋_GB2312" w:eastAsia="仿宋_GB2312" w:cs="仿宋_GB2312"/>
          <w:color w:val="000000" w:themeColor="text1"/>
          <w:sz w:val="32"/>
          <w:szCs w:val="32"/>
          <w14:textFill>
            <w14:solidFill>
              <w14:schemeClr w14:val="tx1"/>
            </w14:solidFill>
          </w14:textFill>
        </w:rPr>
        <w:t xml:space="preserve">  审计发现问题整改工作的责任主体是被审计单位，被审计单位主要负责人为整改第一责任人。被审计单位对审计发现的问题按规定及时逐一整改落实，形成审计整改结果报告报送</w:t>
      </w:r>
      <w:r>
        <w:rPr>
          <w:rFonts w:hint="eastAsia" w:ascii="仿宋_GB2312" w:hAnsi="仿宋_GB2312" w:eastAsia="仿宋_GB2312" w:cs="仿宋_GB2312"/>
          <w:color w:val="000000" w:themeColor="text1"/>
          <w:sz w:val="32"/>
          <w:szCs w:val="32"/>
          <w:lang w:eastAsia="zh-CN"/>
          <w14:textFill>
            <w14:solidFill>
              <w14:schemeClr w14:val="tx1"/>
            </w14:solidFill>
          </w14:textFill>
        </w:rPr>
        <w:t>审计办公室（</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以下简称审计办）</w:t>
      </w:r>
      <w:r>
        <w:rPr>
          <w:rFonts w:hint="eastAsia" w:ascii="仿宋_GB2312" w:hAnsi="仿宋_GB2312" w:eastAsia="仿宋_GB2312" w:cs="仿宋_GB2312"/>
          <w:color w:val="000000" w:themeColor="text1"/>
          <w:sz w:val="32"/>
          <w:szCs w:val="32"/>
          <w14:textFill>
            <w14:solidFill>
              <w14:schemeClr w14:val="tx1"/>
            </w14:solidFill>
          </w14:textFill>
        </w:rPr>
        <w:t xml:space="preserve">，涉及领导人员经济责任审计事项的整改结果报告还应当报送党委组织办公室。 </w:t>
      </w:r>
    </w:p>
    <w:p w14:paraId="0B29258D">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七</w:t>
      </w:r>
      <w:r>
        <w:rPr>
          <w:rFonts w:hint="eastAsia" w:ascii="仿宋_GB2312" w:hAnsi="仿宋_GB2312" w:eastAsia="仿宋_GB2312" w:cs="仿宋_GB2312"/>
          <w:b/>
          <w:bCs/>
          <w:color w:val="000000" w:themeColor="text1"/>
          <w:sz w:val="32"/>
          <w:szCs w:val="32"/>
          <w14:textFill>
            <w14:solidFill>
              <w14:schemeClr w14:val="tx1"/>
            </w14:solidFill>
          </w14:textFill>
        </w:rPr>
        <w:t>条</w:t>
      </w:r>
      <w:r>
        <w:rPr>
          <w:rFonts w:hint="eastAsia" w:ascii="仿宋_GB2312" w:hAnsi="仿宋_GB2312" w:eastAsia="仿宋_GB2312" w:cs="仿宋_GB2312"/>
          <w:color w:val="000000" w:themeColor="text1"/>
          <w:sz w:val="32"/>
          <w:szCs w:val="32"/>
          <w14:textFill>
            <w14:solidFill>
              <w14:schemeClr w14:val="tx1"/>
            </w14:solidFill>
          </w14:textFill>
        </w:rPr>
        <w:t xml:space="preserve">  审计整改结果报告内容主要包括：</w:t>
      </w:r>
    </w:p>
    <w:p w14:paraId="7543FA9E">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（一）审计整改的总体情况；</w:t>
      </w:r>
    </w:p>
    <w:p w14:paraId="02CF8EC6">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（二）针对审计建议已采取的整改措施；</w:t>
      </w:r>
    </w:p>
    <w:p w14:paraId="36F77527">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（三）对有关责任部门及责任人的责任追究处理情况；</w:t>
      </w:r>
    </w:p>
    <w:p w14:paraId="1773D973">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（四）强化内部管理和完善相关制度情况；</w:t>
      </w:r>
    </w:p>
    <w:p w14:paraId="54A7A9B6">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（五）正在整改或尚未整改事项的原因分析及计划完成时间；</w:t>
      </w:r>
    </w:p>
    <w:p w14:paraId="740B4D8D">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（六）落实整改的必要证明材料；</w:t>
      </w:r>
    </w:p>
    <w:p w14:paraId="6FBC0408">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（七）其他有关内容。</w:t>
      </w:r>
    </w:p>
    <w:p w14:paraId="0430067A">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八</w:t>
      </w:r>
      <w:r>
        <w:rPr>
          <w:rFonts w:hint="eastAsia" w:ascii="仿宋_GB2312" w:hAnsi="仿宋_GB2312" w:eastAsia="仿宋_GB2312" w:cs="仿宋_GB2312"/>
          <w:b/>
          <w:bCs/>
          <w:color w:val="000000" w:themeColor="text1"/>
          <w:sz w:val="32"/>
          <w:szCs w:val="32"/>
          <w14:textFill>
            <w14:solidFill>
              <w14:schemeClr w14:val="tx1"/>
            </w14:solidFill>
          </w14:textFill>
        </w:rPr>
        <w:t>条</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审计办</w:t>
      </w:r>
      <w:r>
        <w:rPr>
          <w:rFonts w:hint="eastAsia" w:ascii="仿宋_GB2312" w:hAnsi="仿宋_GB2312" w:eastAsia="仿宋_GB2312" w:cs="仿宋_GB2312"/>
          <w:color w:val="000000" w:themeColor="text1"/>
          <w:sz w:val="32"/>
          <w:szCs w:val="32"/>
          <w14:textFill>
            <w14:solidFill>
              <w14:schemeClr w14:val="tx1"/>
            </w14:solidFill>
          </w14:textFill>
        </w:rPr>
        <w:t>组织开展审计整改跟踪检查，对被审计单位未落实整改的事项，深入分析原因，提出处理措施。</w:t>
      </w:r>
    </w:p>
    <w:p w14:paraId="35F32908">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审计办</w:t>
      </w:r>
      <w:r>
        <w:rPr>
          <w:rFonts w:hint="eastAsia" w:ascii="仿宋_GB2312" w:hAnsi="仿宋_GB2312" w:eastAsia="仿宋_GB2312" w:cs="仿宋_GB2312"/>
          <w:color w:val="000000" w:themeColor="text1"/>
          <w:sz w:val="32"/>
          <w:szCs w:val="32"/>
          <w14:textFill>
            <w14:solidFill>
              <w14:schemeClr w14:val="tx1"/>
            </w14:solidFill>
          </w14:textFill>
        </w:rPr>
        <w:t>对发现的重大问题线索，及时报告学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院</w:t>
      </w:r>
      <w:r>
        <w:rPr>
          <w:rFonts w:hint="eastAsia" w:ascii="仿宋_GB2312" w:hAnsi="仿宋_GB2312" w:eastAsia="仿宋_GB2312" w:cs="仿宋_GB2312"/>
          <w:color w:val="000000" w:themeColor="text1"/>
          <w:sz w:val="32"/>
          <w:szCs w:val="32"/>
          <w14:textFill>
            <w14:solidFill>
              <w14:schemeClr w14:val="tx1"/>
            </w14:solidFill>
          </w14:textFill>
        </w:rPr>
        <w:t>，按规定及时移送相关部门处理。</w:t>
      </w:r>
    </w:p>
    <w:p w14:paraId="20B8F6A9">
      <w:pPr>
        <w:keepNext w:val="0"/>
        <w:keepLines w:val="0"/>
        <w:pageBreakBefore w:val="0"/>
        <w:widowControl w:val="0"/>
        <w:shd w:val="clear" w:color="auto" w:fill="FFFFFF"/>
        <w:tabs>
          <w:tab w:val="left" w:pos="1560"/>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b/>
          <w:bCs/>
          <w:color w:val="262626"/>
          <w:kern w:val="0"/>
          <w:sz w:val="32"/>
          <w:szCs w:val="32"/>
        </w:rPr>
        <w:t>第</w:t>
      </w:r>
      <w:r>
        <w:rPr>
          <w:rFonts w:hint="eastAsia" w:ascii="仿宋_GB2312" w:hAnsi="仿宋_GB2312" w:eastAsia="仿宋_GB2312" w:cs="仿宋_GB2312"/>
          <w:b/>
          <w:bCs/>
          <w:color w:val="262626"/>
          <w:kern w:val="0"/>
          <w:sz w:val="32"/>
          <w:szCs w:val="32"/>
          <w:lang w:val="en-US" w:eastAsia="zh-CN"/>
        </w:rPr>
        <w:t>九</w:t>
      </w:r>
      <w:r>
        <w:rPr>
          <w:rFonts w:hint="eastAsia" w:ascii="仿宋_GB2312" w:hAnsi="仿宋_GB2312" w:eastAsia="仿宋_GB2312" w:cs="仿宋_GB2312"/>
          <w:b/>
          <w:bCs/>
          <w:color w:val="262626"/>
          <w:kern w:val="0"/>
          <w:sz w:val="32"/>
          <w:szCs w:val="32"/>
        </w:rPr>
        <w:t>条</w:t>
      </w:r>
      <w:r>
        <w:rPr>
          <w:rFonts w:hint="eastAsia" w:ascii="仿宋_GB2312" w:hAnsi="仿宋_GB2312" w:eastAsia="仿宋_GB2312" w:cs="仿宋_GB2312"/>
          <w:color w:val="262626"/>
          <w:kern w:val="0"/>
          <w:sz w:val="32"/>
          <w:szCs w:val="32"/>
        </w:rPr>
        <w:t xml:space="preserve"> 审计结果同干部监督考核工作相结合，作为任免、考核、奖惩领导人员的重要参考依据</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p>
    <w:p w14:paraId="0F049414">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第十条</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审计结果作为党风廉政建设和干部廉政谈话的重要内容。</w:t>
      </w:r>
    </w:p>
    <w:p w14:paraId="76B06F18">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一</w:t>
      </w:r>
      <w:r>
        <w:rPr>
          <w:rFonts w:hint="eastAsia" w:ascii="仿宋_GB2312" w:hAnsi="仿宋_GB2312" w:eastAsia="仿宋_GB2312" w:cs="仿宋_GB2312"/>
          <w:b/>
          <w:bCs/>
          <w:color w:val="000000" w:themeColor="text1"/>
          <w:sz w:val="32"/>
          <w:szCs w:val="32"/>
          <w14:textFill>
            <w14:solidFill>
              <w14:schemeClr w14:val="tx1"/>
            </w14:solidFill>
          </w14:textFill>
        </w:rPr>
        <w:t>条</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审计结果作为加强预算管理和财务管理的重要依据。</w:t>
      </w:r>
    </w:p>
    <w:p w14:paraId="60ED7B1C">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二</w:t>
      </w:r>
      <w:r>
        <w:rPr>
          <w:rFonts w:hint="eastAsia" w:ascii="仿宋_GB2312" w:hAnsi="仿宋_GB2312" w:eastAsia="仿宋_GB2312" w:cs="仿宋_GB2312"/>
          <w:b/>
          <w:bCs/>
          <w:color w:val="000000" w:themeColor="text1"/>
          <w:sz w:val="32"/>
          <w:szCs w:val="32"/>
          <w14:textFill>
            <w14:solidFill>
              <w14:schemeClr w14:val="tx1"/>
            </w14:solidFill>
          </w14:textFill>
        </w:rPr>
        <w:t>条</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各业务归口部门应当对审计结果和审计整改过程中反映的典型性、普遍性、倾向性问题及时进行研究，采取有关措施，并完善有关规章制度。</w:t>
      </w:r>
    </w:p>
    <w:p w14:paraId="17E8057F">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三</w:t>
      </w:r>
      <w:r>
        <w:rPr>
          <w:rFonts w:hint="eastAsia" w:ascii="仿宋_GB2312" w:hAnsi="仿宋_GB2312" w:eastAsia="仿宋_GB2312" w:cs="仿宋_GB2312"/>
          <w:b/>
          <w:bCs/>
          <w:color w:val="000000" w:themeColor="text1"/>
          <w:sz w:val="32"/>
          <w:szCs w:val="32"/>
          <w14:textFill>
            <w14:solidFill>
              <w14:schemeClr w14:val="tx1"/>
            </w14:solidFill>
          </w14:textFill>
        </w:rPr>
        <w:t>条</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审计结果按规定在适当范围内公开。在被审计单位内公开的，一般采取会议形式，公开范围至少应包括单位领导干部、党组织代表、工会代表；在院内公开的，一般采取院内会议、文件等形式。</w:t>
      </w:r>
    </w:p>
    <w:p w14:paraId="7D032C30">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四</w:t>
      </w:r>
      <w:r>
        <w:rPr>
          <w:rFonts w:hint="eastAsia" w:ascii="仿宋_GB2312" w:hAnsi="仿宋_GB2312" w:eastAsia="仿宋_GB2312" w:cs="仿宋_GB2312"/>
          <w:b/>
          <w:bCs/>
          <w:color w:val="000000" w:themeColor="text1"/>
          <w:sz w:val="32"/>
          <w:szCs w:val="32"/>
          <w14:textFill>
            <w14:solidFill>
              <w14:schemeClr w14:val="tx1"/>
            </w14:solidFill>
          </w14:textFill>
        </w:rPr>
        <w:t>条</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审计办应当加强与纪检、组织、人事、财务、科研等部门的协作配合，利用党风廉政建设、财经纪律、资产管理等方面的专门会议公开审计发现问题，发挥警示和预防作用。</w:t>
      </w:r>
    </w:p>
    <w:p w14:paraId="4D7C9FEB">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五</w:t>
      </w:r>
      <w:r>
        <w:rPr>
          <w:rFonts w:hint="eastAsia" w:ascii="仿宋_GB2312" w:hAnsi="仿宋_GB2312" w:eastAsia="仿宋_GB2312" w:cs="仿宋_GB2312"/>
          <w:b/>
          <w:bCs/>
          <w:color w:val="000000" w:themeColor="text1"/>
          <w:sz w:val="32"/>
          <w:szCs w:val="32"/>
          <w14:textFill>
            <w14:solidFill>
              <w14:schemeClr w14:val="tx1"/>
            </w14:solidFill>
          </w14:textFill>
        </w:rPr>
        <w:t>条</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本办法由审计办负责解释。 </w:t>
      </w:r>
    </w:p>
    <w:p w14:paraId="1EF9A042">
      <w:pPr>
        <w:pStyle w:val="17"/>
        <w:keepNext w:val="0"/>
        <w:keepLines w:val="0"/>
        <w:pageBreakBefore w:val="0"/>
        <w:widowControl w:val="0"/>
        <w:tabs>
          <w:tab w:val="left" w:pos="1843"/>
        </w:tabs>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六</w:t>
      </w:r>
      <w:r>
        <w:rPr>
          <w:rFonts w:hint="eastAsia" w:ascii="仿宋_GB2312" w:hAnsi="仿宋_GB2312" w:eastAsia="仿宋_GB2312" w:cs="仿宋_GB2312"/>
          <w:b/>
          <w:bCs/>
          <w:color w:val="000000" w:themeColor="text1"/>
          <w:sz w:val="32"/>
          <w:szCs w:val="32"/>
          <w14:textFill>
            <w14:solidFill>
              <w14:schemeClr w14:val="tx1"/>
            </w14:solidFill>
          </w14:textFill>
        </w:rPr>
        <w:t>条</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本办法自公布之日起施行。</w:t>
      </w:r>
    </w:p>
    <w:sectPr>
      <w:footerReference r:id="rId3" w:type="default"/>
      <w:footerReference r:id="rId4" w:type="even"/>
      <w:pgSz w:w="11906" w:h="16838"/>
      <w:pgMar w:top="1440" w:right="1633" w:bottom="1440" w:left="1633" w:header="851" w:footer="992" w:gutter="0"/>
      <w:pgNumType w:fmt="decimal"/>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19F72">
    <w:pPr>
      <w:pStyle w:val="7"/>
      <w:jc w:val="center"/>
      <w:rPr>
        <w:rFonts w:hint="eastAsia" w:ascii="宋体" w:hAnsi="宋体" w:eastAsia="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4408ED">
                          <w:pPr>
                            <w:pStyle w:val="7"/>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 xml:space="preserve">— </w:t>
                          </w:r>
                          <w:r>
                            <w:rPr>
                              <w:rFonts w:hint="default" w:ascii="Times New Roman Regular" w:hAnsi="Times New Roman Regular" w:cs="Times New Roman Regular"/>
                              <w:sz w:val="20"/>
                              <w:szCs w:val="20"/>
                            </w:rPr>
                            <w:fldChar w:fldCharType="begin"/>
                          </w:r>
                          <w:r>
                            <w:rPr>
                              <w:rFonts w:hint="default" w:ascii="Times New Roman Regular" w:hAnsi="Times New Roman Regular" w:cs="Times New Roman Regular"/>
                              <w:sz w:val="20"/>
                              <w:szCs w:val="20"/>
                            </w:rPr>
                            <w:instrText xml:space="preserve"> PAGE  \* MERGEFORMAT </w:instrText>
                          </w:r>
                          <w:r>
                            <w:rPr>
                              <w:rFonts w:hint="default" w:ascii="Times New Roman Regular" w:hAnsi="Times New Roman Regular" w:cs="Times New Roman Regular"/>
                              <w:sz w:val="20"/>
                              <w:szCs w:val="20"/>
                            </w:rPr>
                            <w:fldChar w:fldCharType="separate"/>
                          </w:r>
                          <w:r>
                            <w:rPr>
                              <w:rFonts w:hint="default" w:ascii="Times New Roman Regular" w:hAnsi="Times New Roman Regular" w:cs="Times New Roman Regular"/>
                              <w:sz w:val="20"/>
                              <w:szCs w:val="20"/>
                            </w:rPr>
                            <w:t>1</w:t>
                          </w:r>
                          <w:r>
                            <w:rPr>
                              <w:rFonts w:hint="default" w:ascii="Times New Roman Regular" w:hAnsi="Times New Roman Regular" w:cs="Times New Roman Regular"/>
                              <w:sz w:val="20"/>
                              <w:szCs w:val="20"/>
                            </w:rPr>
                            <w:fldChar w:fldCharType="end"/>
                          </w:r>
                          <w:r>
                            <w:rPr>
                              <w:rFonts w:hint="default"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94408ED">
                    <w:pPr>
                      <w:pStyle w:val="7"/>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 xml:space="preserve">— </w:t>
                    </w:r>
                    <w:r>
                      <w:rPr>
                        <w:rFonts w:hint="default" w:ascii="Times New Roman Regular" w:hAnsi="Times New Roman Regular" w:cs="Times New Roman Regular"/>
                        <w:sz w:val="20"/>
                        <w:szCs w:val="20"/>
                      </w:rPr>
                      <w:fldChar w:fldCharType="begin"/>
                    </w:r>
                    <w:r>
                      <w:rPr>
                        <w:rFonts w:hint="default" w:ascii="Times New Roman Regular" w:hAnsi="Times New Roman Regular" w:cs="Times New Roman Regular"/>
                        <w:sz w:val="20"/>
                        <w:szCs w:val="20"/>
                      </w:rPr>
                      <w:instrText xml:space="preserve"> PAGE  \* MERGEFORMAT </w:instrText>
                    </w:r>
                    <w:r>
                      <w:rPr>
                        <w:rFonts w:hint="default" w:ascii="Times New Roman Regular" w:hAnsi="Times New Roman Regular" w:cs="Times New Roman Regular"/>
                        <w:sz w:val="20"/>
                        <w:szCs w:val="20"/>
                      </w:rPr>
                      <w:fldChar w:fldCharType="separate"/>
                    </w:r>
                    <w:r>
                      <w:rPr>
                        <w:rFonts w:hint="default" w:ascii="Times New Roman Regular" w:hAnsi="Times New Roman Regular" w:cs="Times New Roman Regular"/>
                        <w:sz w:val="20"/>
                        <w:szCs w:val="20"/>
                      </w:rPr>
                      <w:t>1</w:t>
                    </w:r>
                    <w:r>
                      <w:rPr>
                        <w:rFonts w:hint="default" w:ascii="Times New Roman Regular" w:hAnsi="Times New Roman Regular" w:cs="Times New Roman Regular"/>
                        <w:sz w:val="20"/>
                        <w:szCs w:val="20"/>
                      </w:rPr>
                      <w:fldChar w:fldCharType="end"/>
                    </w:r>
                    <w:r>
                      <w:rPr>
                        <w:rFonts w:hint="default" w:ascii="Times New Roman Regular" w:hAnsi="Times New Roman Regular" w:cs="Times New Roman Regular"/>
                        <w:sz w:val="20"/>
                        <w:szCs w:val="20"/>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5933369"/>
    </w:sdtPr>
    <w:sdtContent>
      <w:sdt>
        <w:sdtPr>
          <w:id w:val="1728636285"/>
        </w:sdtPr>
        <w:sdtContent>
          <w:p w14:paraId="75CC678B">
            <w:pPr>
              <w:pStyle w:val="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w:t>
            </w:r>
            <w:r>
              <w:rPr>
                <w:b/>
                <w:bCs/>
                <w:sz w:val="24"/>
                <w:szCs w:val="24"/>
              </w:rPr>
              <w:fldChar w:fldCharType="end"/>
            </w:r>
          </w:p>
        </w:sdtContent>
      </w:sdt>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aveSubsetFonts/>
  <w:bordersDoNotSurroundHeader w:val="0"/>
  <w:bordersDoNotSurroundFooter w:val="0"/>
  <w:documentProtection w:enforcement="0"/>
  <w:defaultTabStop w:val="420"/>
  <w:drawingGridHorizontalSpacing w:val="105"/>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g4NDYzOTg2ZGJkNWVmZmMzZGZjNmE1OTljZjA4ZjcifQ=="/>
  </w:docVars>
  <w:rsids>
    <w:rsidRoot w:val="0008595F"/>
    <w:rsid w:val="0000028B"/>
    <w:rsid w:val="000013E7"/>
    <w:rsid w:val="00003751"/>
    <w:rsid w:val="00004C5C"/>
    <w:rsid w:val="0001190B"/>
    <w:rsid w:val="00014980"/>
    <w:rsid w:val="000202EA"/>
    <w:rsid w:val="00024A3A"/>
    <w:rsid w:val="00025433"/>
    <w:rsid w:val="00025C5B"/>
    <w:rsid w:val="00034755"/>
    <w:rsid w:val="000420DE"/>
    <w:rsid w:val="0006178B"/>
    <w:rsid w:val="000624C3"/>
    <w:rsid w:val="00064A0C"/>
    <w:rsid w:val="0006561A"/>
    <w:rsid w:val="00083845"/>
    <w:rsid w:val="0008595F"/>
    <w:rsid w:val="00094937"/>
    <w:rsid w:val="00095F0E"/>
    <w:rsid w:val="000B289F"/>
    <w:rsid w:val="000B2922"/>
    <w:rsid w:val="000B7E3E"/>
    <w:rsid w:val="000C3E1B"/>
    <w:rsid w:val="000D064B"/>
    <w:rsid w:val="000F11D5"/>
    <w:rsid w:val="000F3863"/>
    <w:rsid w:val="000F4BDD"/>
    <w:rsid w:val="00101597"/>
    <w:rsid w:val="00103136"/>
    <w:rsid w:val="0010514A"/>
    <w:rsid w:val="001054C2"/>
    <w:rsid w:val="00123420"/>
    <w:rsid w:val="001278BB"/>
    <w:rsid w:val="001313A0"/>
    <w:rsid w:val="001474A7"/>
    <w:rsid w:val="00150D43"/>
    <w:rsid w:val="00151EBF"/>
    <w:rsid w:val="001604C8"/>
    <w:rsid w:val="00160D2D"/>
    <w:rsid w:val="001656BA"/>
    <w:rsid w:val="00167129"/>
    <w:rsid w:val="00170BE3"/>
    <w:rsid w:val="00174744"/>
    <w:rsid w:val="00180C82"/>
    <w:rsid w:val="00184203"/>
    <w:rsid w:val="001861EE"/>
    <w:rsid w:val="00193EB1"/>
    <w:rsid w:val="001961E4"/>
    <w:rsid w:val="0019727D"/>
    <w:rsid w:val="001A0EA7"/>
    <w:rsid w:val="001A3051"/>
    <w:rsid w:val="001A6C41"/>
    <w:rsid w:val="001A7F76"/>
    <w:rsid w:val="001B5D99"/>
    <w:rsid w:val="001C0911"/>
    <w:rsid w:val="001C0A33"/>
    <w:rsid w:val="001D14A2"/>
    <w:rsid w:val="001D4155"/>
    <w:rsid w:val="001E0F28"/>
    <w:rsid w:val="001E41ED"/>
    <w:rsid w:val="001F1DA1"/>
    <w:rsid w:val="001F54CE"/>
    <w:rsid w:val="001F5A01"/>
    <w:rsid w:val="00205A9F"/>
    <w:rsid w:val="002123CD"/>
    <w:rsid w:val="0021353F"/>
    <w:rsid w:val="00221FBA"/>
    <w:rsid w:val="00223548"/>
    <w:rsid w:val="00226B72"/>
    <w:rsid w:val="00231D25"/>
    <w:rsid w:val="0023299B"/>
    <w:rsid w:val="00234BCE"/>
    <w:rsid w:val="002509C0"/>
    <w:rsid w:val="0025314B"/>
    <w:rsid w:val="00255C4F"/>
    <w:rsid w:val="00257E2C"/>
    <w:rsid w:val="00264D5B"/>
    <w:rsid w:val="00282679"/>
    <w:rsid w:val="00290B7C"/>
    <w:rsid w:val="00291673"/>
    <w:rsid w:val="00296F7B"/>
    <w:rsid w:val="00297A04"/>
    <w:rsid w:val="002A4EA3"/>
    <w:rsid w:val="002B0598"/>
    <w:rsid w:val="002B6F0C"/>
    <w:rsid w:val="002C0DAC"/>
    <w:rsid w:val="002C3E12"/>
    <w:rsid w:val="002C3F64"/>
    <w:rsid w:val="002E102D"/>
    <w:rsid w:val="002E73F6"/>
    <w:rsid w:val="002F0103"/>
    <w:rsid w:val="002F2D20"/>
    <w:rsid w:val="002F6B84"/>
    <w:rsid w:val="002F6F4B"/>
    <w:rsid w:val="003031DE"/>
    <w:rsid w:val="00303F64"/>
    <w:rsid w:val="00312E8E"/>
    <w:rsid w:val="00323AA6"/>
    <w:rsid w:val="00334749"/>
    <w:rsid w:val="00334B84"/>
    <w:rsid w:val="003414F0"/>
    <w:rsid w:val="003629FE"/>
    <w:rsid w:val="00366D83"/>
    <w:rsid w:val="00367A5B"/>
    <w:rsid w:val="003718C7"/>
    <w:rsid w:val="003873A4"/>
    <w:rsid w:val="003A05E7"/>
    <w:rsid w:val="003A1777"/>
    <w:rsid w:val="003A46D9"/>
    <w:rsid w:val="003A48E2"/>
    <w:rsid w:val="003A72B1"/>
    <w:rsid w:val="003A7CBB"/>
    <w:rsid w:val="003B0ABB"/>
    <w:rsid w:val="003B36B6"/>
    <w:rsid w:val="003C0F12"/>
    <w:rsid w:val="003C13FB"/>
    <w:rsid w:val="003C3A16"/>
    <w:rsid w:val="003C5DB0"/>
    <w:rsid w:val="003C74DF"/>
    <w:rsid w:val="003D12AC"/>
    <w:rsid w:val="003D3B32"/>
    <w:rsid w:val="003E1629"/>
    <w:rsid w:val="003E3CC1"/>
    <w:rsid w:val="003E3EF7"/>
    <w:rsid w:val="003E685E"/>
    <w:rsid w:val="003F5646"/>
    <w:rsid w:val="0040111A"/>
    <w:rsid w:val="0040545D"/>
    <w:rsid w:val="00406D8F"/>
    <w:rsid w:val="0041064F"/>
    <w:rsid w:val="00410764"/>
    <w:rsid w:val="00423165"/>
    <w:rsid w:val="00435012"/>
    <w:rsid w:val="0044393C"/>
    <w:rsid w:val="004461AD"/>
    <w:rsid w:val="0044642B"/>
    <w:rsid w:val="00446CC5"/>
    <w:rsid w:val="00446D19"/>
    <w:rsid w:val="00447698"/>
    <w:rsid w:val="004609B3"/>
    <w:rsid w:val="00462490"/>
    <w:rsid w:val="004629FF"/>
    <w:rsid w:val="004877B6"/>
    <w:rsid w:val="00493584"/>
    <w:rsid w:val="004A3CE5"/>
    <w:rsid w:val="004B0B31"/>
    <w:rsid w:val="004C0886"/>
    <w:rsid w:val="004C1567"/>
    <w:rsid w:val="004C7B27"/>
    <w:rsid w:val="004D3505"/>
    <w:rsid w:val="004F7515"/>
    <w:rsid w:val="005052AE"/>
    <w:rsid w:val="00523153"/>
    <w:rsid w:val="005361EA"/>
    <w:rsid w:val="005362C7"/>
    <w:rsid w:val="00543013"/>
    <w:rsid w:val="00543161"/>
    <w:rsid w:val="005469B7"/>
    <w:rsid w:val="00547FC4"/>
    <w:rsid w:val="00556D5E"/>
    <w:rsid w:val="00566EA0"/>
    <w:rsid w:val="00566F37"/>
    <w:rsid w:val="00584676"/>
    <w:rsid w:val="00587201"/>
    <w:rsid w:val="00592507"/>
    <w:rsid w:val="00596816"/>
    <w:rsid w:val="00596A34"/>
    <w:rsid w:val="005A2D09"/>
    <w:rsid w:val="005A54E9"/>
    <w:rsid w:val="005B16C3"/>
    <w:rsid w:val="005B16C6"/>
    <w:rsid w:val="005B71D1"/>
    <w:rsid w:val="005C3BC5"/>
    <w:rsid w:val="005C7F51"/>
    <w:rsid w:val="005D69B0"/>
    <w:rsid w:val="005D6ADF"/>
    <w:rsid w:val="005E5C7D"/>
    <w:rsid w:val="005E73AB"/>
    <w:rsid w:val="005E768E"/>
    <w:rsid w:val="005F40D3"/>
    <w:rsid w:val="00604F22"/>
    <w:rsid w:val="006072E3"/>
    <w:rsid w:val="00613C09"/>
    <w:rsid w:val="006208D7"/>
    <w:rsid w:val="00622EA8"/>
    <w:rsid w:val="00633AB6"/>
    <w:rsid w:val="00635FDC"/>
    <w:rsid w:val="006413B6"/>
    <w:rsid w:val="00646CB3"/>
    <w:rsid w:val="006566E9"/>
    <w:rsid w:val="006574FB"/>
    <w:rsid w:val="00671B24"/>
    <w:rsid w:val="00672350"/>
    <w:rsid w:val="006772BE"/>
    <w:rsid w:val="00692DEE"/>
    <w:rsid w:val="0069326E"/>
    <w:rsid w:val="00694F00"/>
    <w:rsid w:val="006A067A"/>
    <w:rsid w:val="006B4851"/>
    <w:rsid w:val="006C0C0A"/>
    <w:rsid w:val="006C144D"/>
    <w:rsid w:val="006C60E9"/>
    <w:rsid w:val="006C760A"/>
    <w:rsid w:val="006D07D7"/>
    <w:rsid w:val="006D40A6"/>
    <w:rsid w:val="006D534D"/>
    <w:rsid w:val="006D7E89"/>
    <w:rsid w:val="006E4AEF"/>
    <w:rsid w:val="006E6B1B"/>
    <w:rsid w:val="006F1028"/>
    <w:rsid w:val="006F18C3"/>
    <w:rsid w:val="006F3C64"/>
    <w:rsid w:val="007065B9"/>
    <w:rsid w:val="0071556C"/>
    <w:rsid w:val="00715AC8"/>
    <w:rsid w:val="00717B11"/>
    <w:rsid w:val="007266BB"/>
    <w:rsid w:val="00727D23"/>
    <w:rsid w:val="00731BBB"/>
    <w:rsid w:val="007407BF"/>
    <w:rsid w:val="00750A48"/>
    <w:rsid w:val="00757EBE"/>
    <w:rsid w:val="0076116D"/>
    <w:rsid w:val="007748A1"/>
    <w:rsid w:val="00784446"/>
    <w:rsid w:val="007917F2"/>
    <w:rsid w:val="00796F1D"/>
    <w:rsid w:val="007A0302"/>
    <w:rsid w:val="007A16D6"/>
    <w:rsid w:val="007B3FE6"/>
    <w:rsid w:val="007B4CD7"/>
    <w:rsid w:val="007B6CE0"/>
    <w:rsid w:val="007C1E46"/>
    <w:rsid w:val="007E087D"/>
    <w:rsid w:val="007E19B1"/>
    <w:rsid w:val="007E575F"/>
    <w:rsid w:val="007F42DA"/>
    <w:rsid w:val="008060E0"/>
    <w:rsid w:val="00806568"/>
    <w:rsid w:val="008105F2"/>
    <w:rsid w:val="00810D16"/>
    <w:rsid w:val="0081736D"/>
    <w:rsid w:val="00823DE9"/>
    <w:rsid w:val="00826670"/>
    <w:rsid w:val="00830A72"/>
    <w:rsid w:val="00830B97"/>
    <w:rsid w:val="00841E5A"/>
    <w:rsid w:val="00850937"/>
    <w:rsid w:val="008516A5"/>
    <w:rsid w:val="00854B59"/>
    <w:rsid w:val="00856B73"/>
    <w:rsid w:val="00861B50"/>
    <w:rsid w:val="00863A87"/>
    <w:rsid w:val="008716B7"/>
    <w:rsid w:val="00871929"/>
    <w:rsid w:val="00876D14"/>
    <w:rsid w:val="008824B7"/>
    <w:rsid w:val="0088289A"/>
    <w:rsid w:val="00886E35"/>
    <w:rsid w:val="008B4DB3"/>
    <w:rsid w:val="008C44AA"/>
    <w:rsid w:val="008D11AB"/>
    <w:rsid w:val="008D7B6E"/>
    <w:rsid w:val="008E160E"/>
    <w:rsid w:val="008E4CE1"/>
    <w:rsid w:val="008F0BFD"/>
    <w:rsid w:val="008F129A"/>
    <w:rsid w:val="008F4B38"/>
    <w:rsid w:val="008F6C2E"/>
    <w:rsid w:val="008F6DCE"/>
    <w:rsid w:val="0090729F"/>
    <w:rsid w:val="009077BC"/>
    <w:rsid w:val="009144EB"/>
    <w:rsid w:val="00915948"/>
    <w:rsid w:val="00922369"/>
    <w:rsid w:val="009227FC"/>
    <w:rsid w:val="00926D4B"/>
    <w:rsid w:val="00931034"/>
    <w:rsid w:val="00940007"/>
    <w:rsid w:val="0094171F"/>
    <w:rsid w:val="00942B67"/>
    <w:rsid w:val="00943B22"/>
    <w:rsid w:val="00953328"/>
    <w:rsid w:val="00966732"/>
    <w:rsid w:val="00971713"/>
    <w:rsid w:val="00972C1B"/>
    <w:rsid w:val="00974CFA"/>
    <w:rsid w:val="00983E2F"/>
    <w:rsid w:val="00991DC5"/>
    <w:rsid w:val="00993FE8"/>
    <w:rsid w:val="00995C03"/>
    <w:rsid w:val="0099687C"/>
    <w:rsid w:val="009A5118"/>
    <w:rsid w:val="009A52CE"/>
    <w:rsid w:val="009A6EE3"/>
    <w:rsid w:val="009B2BB2"/>
    <w:rsid w:val="009B4FA5"/>
    <w:rsid w:val="009C14E7"/>
    <w:rsid w:val="009C3F43"/>
    <w:rsid w:val="009C4C99"/>
    <w:rsid w:val="009D3639"/>
    <w:rsid w:val="009D7154"/>
    <w:rsid w:val="009E3ED9"/>
    <w:rsid w:val="009E4856"/>
    <w:rsid w:val="009E7BE4"/>
    <w:rsid w:val="00A01654"/>
    <w:rsid w:val="00A02E95"/>
    <w:rsid w:val="00A06CEF"/>
    <w:rsid w:val="00A11A31"/>
    <w:rsid w:val="00A12F77"/>
    <w:rsid w:val="00A12FD3"/>
    <w:rsid w:val="00A22C57"/>
    <w:rsid w:val="00A2458D"/>
    <w:rsid w:val="00A27AE2"/>
    <w:rsid w:val="00A37594"/>
    <w:rsid w:val="00A5385F"/>
    <w:rsid w:val="00A6039A"/>
    <w:rsid w:val="00A60DB2"/>
    <w:rsid w:val="00A643B5"/>
    <w:rsid w:val="00A848AF"/>
    <w:rsid w:val="00A8637A"/>
    <w:rsid w:val="00A87244"/>
    <w:rsid w:val="00A876CB"/>
    <w:rsid w:val="00A906A0"/>
    <w:rsid w:val="00AA0D55"/>
    <w:rsid w:val="00AA75E1"/>
    <w:rsid w:val="00AB071E"/>
    <w:rsid w:val="00AB72FD"/>
    <w:rsid w:val="00AB79FF"/>
    <w:rsid w:val="00AC01A4"/>
    <w:rsid w:val="00AC1145"/>
    <w:rsid w:val="00AC2153"/>
    <w:rsid w:val="00AC3BAA"/>
    <w:rsid w:val="00AC5FFD"/>
    <w:rsid w:val="00AD6C88"/>
    <w:rsid w:val="00AE0340"/>
    <w:rsid w:val="00AE559B"/>
    <w:rsid w:val="00AE7EF9"/>
    <w:rsid w:val="00AF298D"/>
    <w:rsid w:val="00AF2E22"/>
    <w:rsid w:val="00AF3D3D"/>
    <w:rsid w:val="00B02178"/>
    <w:rsid w:val="00B062EA"/>
    <w:rsid w:val="00B13B2B"/>
    <w:rsid w:val="00B20207"/>
    <w:rsid w:val="00B2063E"/>
    <w:rsid w:val="00B25811"/>
    <w:rsid w:val="00B2706D"/>
    <w:rsid w:val="00B30B1B"/>
    <w:rsid w:val="00B33FAA"/>
    <w:rsid w:val="00B43129"/>
    <w:rsid w:val="00B43FBC"/>
    <w:rsid w:val="00B51957"/>
    <w:rsid w:val="00B61766"/>
    <w:rsid w:val="00B65E9D"/>
    <w:rsid w:val="00B75DB0"/>
    <w:rsid w:val="00B84966"/>
    <w:rsid w:val="00B8524C"/>
    <w:rsid w:val="00B85EE6"/>
    <w:rsid w:val="00B87215"/>
    <w:rsid w:val="00B93E3D"/>
    <w:rsid w:val="00B96ABC"/>
    <w:rsid w:val="00BB6E7A"/>
    <w:rsid w:val="00BC2CAC"/>
    <w:rsid w:val="00BC336E"/>
    <w:rsid w:val="00BC40B9"/>
    <w:rsid w:val="00BC47DE"/>
    <w:rsid w:val="00BC71AB"/>
    <w:rsid w:val="00BD580D"/>
    <w:rsid w:val="00BD6B41"/>
    <w:rsid w:val="00BE0840"/>
    <w:rsid w:val="00BE320C"/>
    <w:rsid w:val="00BF4217"/>
    <w:rsid w:val="00BF596C"/>
    <w:rsid w:val="00BF6CD7"/>
    <w:rsid w:val="00BF6F2C"/>
    <w:rsid w:val="00C20693"/>
    <w:rsid w:val="00C23DEA"/>
    <w:rsid w:val="00C26F9C"/>
    <w:rsid w:val="00C51012"/>
    <w:rsid w:val="00C54411"/>
    <w:rsid w:val="00C54594"/>
    <w:rsid w:val="00C54FB2"/>
    <w:rsid w:val="00C559C1"/>
    <w:rsid w:val="00C60373"/>
    <w:rsid w:val="00C60C7B"/>
    <w:rsid w:val="00C63D13"/>
    <w:rsid w:val="00C64C11"/>
    <w:rsid w:val="00C744E2"/>
    <w:rsid w:val="00C7617C"/>
    <w:rsid w:val="00C8080C"/>
    <w:rsid w:val="00C8404F"/>
    <w:rsid w:val="00C85A3B"/>
    <w:rsid w:val="00CA15F8"/>
    <w:rsid w:val="00CA5207"/>
    <w:rsid w:val="00CB13AA"/>
    <w:rsid w:val="00CB483B"/>
    <w:rsid w:val="00CC0647"/>
    <w:rsid w:val="00CC528C"/>
    <w:rsid w:val="00CC6F90"/>
    <w:rsid w:val="00CE14B0"/>
    <w:rsid w:val="00CF23AF"/>
    <w:rsid w:val="00CF31A1"/>
    <w:rsid w:val="00CF74B4"/>
    <w:rsid w:val="00D01D3D"/>
    <w:rsid w:val="00D04144"/>
    <w:rsid w:val="00D125FE"/>
    <w:rsid w:val="00D15F20"/>
    <w:rsid w:val="00D210F8"/>
    <w:rsid w:val="00D22557"/>
    <w:rsid w:val="00D25913"/>
    <w:rsid w:val="00D25C34"/>
    <w:rsid w:val="00D27B54"/>
    <w:rsid w:val="00D3578D"/>
    <w:rsid w:val="00D5031B"/>
    <w:rsid w:val="00D537E0"/>
    <w:rsid w:val="00D541BB"/>
    <w:rsid w:val="00D56990"/>
    <w:rsid w:val="00D56C16"/>
    <w:rsid w:val="00D618A4"/>
    <w:rsid w:val="00D62585"/>
    <w:rsid w:val="00D6274A"/>
    <w:rsid w:val="00D655CF"/>
    <w:rsid w:val="00D760AB"/>
    <w:rsid w:val="00D929BC"/>
    <w:rsid w:val="00DA1064"/>
    <w:rsid w:val="00DA6B64"/>
    <w:rsid w:val="00DA6D17"/>
    <w:rsid w:val="00DA71B1"/>
    <w:rsid w:val="00DB555A"/>
    <w:rsid w:val="00DC0900"/>
    <w:rsid w:val="00DC536E"/>
    <w:rsid w:val="00DD046F"/>
    <w:rsid w:val="00DD609E"/>
    <w:rsid w:val="00DE2F6D"/>
    <w:rsid w:val="00DE3681"/>
    <w:rsid w:val="00DE62A7"/>
    <w:rsid w:val="00DF2789"/>
    <w:rsid w:val="00DF403C"/>
    <w:rsid w:val="00E05427"/>
    <w:rsid w:val="00E133FC"/>
    <w:rsid w:val="00E163F2"/>
    <w:rsid w:val="00E212A0"/>
    <w:rsid w:val="00E27EED"/>
    <w:rsid w:val="00E338D1"/>
    <w:rsid w:val="00E42D5F"/>
    <w:rsid w:val="00E45D67"/>
    <w:rsid w:val="00E5181A"/>
    <w:rsid w:val="00E53DCB"/>
    <w:rsid w:val="00E55305"/>
    <w:rsid w:val="00E5568A"/>
    <w:rsid w:val="00E565BA"/>
    <w:rsid w:val="00E62CFA"/>
    <w:rsid w:val="00E635B1"/>
    <w:rsid w:val="00E65A46"/>
    <w:rsid w:val="00E70049"/>
    <w:rsid w:val="00E756A9"/>
    <w:rsid w:val="00E8067A"/>
    <w:rsid w:val="00E80B01"/>
    <w:rsid w:val="00E859DC"/>
    <w:rsid w:val="00E913A3"/>
    <w:rsid w:val="00EA0B2B"/>
    <w:rsid w:val="00EA4F25"/>
    <w:rsid w:val="00EA721E"/>
    <w:rsid w:val="00EB1599"/>
    <w:rsid w:val="00EB59DA"/>
    <w:rsid w:val="00EB60BE"/>
    <w:rsid w:val="00ED3471"/>
    <w:rsid w:val="00EE31E1"/>
    <w:rsid w:val="00EE4B95"/>
    <w:rsid w:val="00EE544D"/>
    <w:rsid w:val="00EF12AC"/>
    <w:rsid w:val="00F06A01"/>
    <w:rsid w:val="00F347EC"/>
    <w:rsid w:val="00F524B1"/>
    <w:rsid w:val="00F52D4E"/>
    <w:rsid w:val="00F6324F"/>
    <w:rsid w:val="00F64490"/>
    <w:rsid w:val="00F65ECA"/>
    <w:rsid w:val="00F8184F"/>
    <w:rsid w:val="00F81917"/>
    <w:rsid w:val="00F921AC"/>
    <w:rsid w:val="00F92C63"/>
    <w:rsid w:val="00F936EE"/>
    <w:rsid w:val="00F96604"/>
    <w:rsid w:val="00FA2AC3"/>
    <w:rsid w:val="00FA738C"/>
    <w:rsid w:val="00FB12BC"/>
    <w:rsid w:val="00FB4B67"/>
    <w:rsid w:val="00FC63BE"/>
    <w:rsid w:val="00FC7F01"/>
    <w:rsid w:val="00FD301A"/>
    <w:rsid w:val="00FD522C"/>
    <w:rsid w:val="00FF0445"/>
    <w:rsid w:val="014F03EF"/>
    <w:rsid w:val="01610122"/>
    <w:rsid w:val="02785724"/>
    <w:rsid w:val="029D518A"/>
    <w:rsid w:val="05BB6053"/>
    <w:rsid w:val="06127C3D"/>
    <w:rsid w:val="06624721"/>
    <w:rsid w:val="069438A4"/>
    <w:rsid w:val="08206641"/>
    <w:rsid w:val="08630FDC"/>
    <w:rsid w:val="0B09661F"/>
    <w:rsid w:val="0C22507E"/>
    <w:rsid w:val="0C7D22B4"/>
    <w:rsid w:val="0C8D626F"/>
    <w:rsid w:val="0D935B07"/>
    <w:rsid w:val="0EFBA61E"/>
    <w:rsid w:val="0F026844"/>
    <w:rsid w:val="0F9D1407"/>
    <w:rsid w:val="116A6B7F"/>
    <w:rsid w:val="11DE0A0D"/>
    <w:rsid w:val="12727EFC"/>
    <w:rsid w:val="12986064"/>
    <w:rsid w:val="12F03866"/>
    <w:rsid w:val="144813FA"/>
    <w:rsid w:val="155B6F0B"/>
    <w:rsid w:val="163C4809"/>
    <w:rsid w:val="175C187B"/>
    <w:rsid w:val="18D47700"/>
    <w:rsid w:val="1A3B37AF"/>
    <w:rsid w:val="1B5F05A1"/>
    <w:rsid w:val="1CC23D13"/>
    <w:rsid w:val="1CE75528"/>
    <w:rsid w:val="1DAC0C4B"/>
    <w:rsid w:val="1F9517A4"/>
    <w:rsid w:val="20D44015"/>
    <w:rsid w:val="23294AEC"/>
    <w:rsid w:val="23CD4EE3"/>
    <w:rsid w:val="276E0D20"/>
    <w:rsid w:val="28043432"/>
    <w:rsid w:val="283A1A9B"/>
    <w:rsid w:val="297782B4"/>
    <w:rsid w:val="2AF43C32"/>
    <w:rsid w:val="2B54022C"/>
    <w:rsid w:val="2B9D6077"/>
    <w:rsid w:val="2D9C221B"/>
    <w:rsid w:val="2E9D396A"/>
    <w:rsid w:val="2F236469"/>
    <w:rsid w:val="30894E1C"/>
    <w:rsid w:val="30F558A9"/>
    <w:rsid w:val="31327262"/>
    <w:rsid w:val="31E3055C"/>
    <w:rsid w:val="33370B5F"/>
    <w:rsid w:val="33436D4A"/>
    <w:rsid w:val="342D5ABF"/>
    <w:rsid w:val="34F21400"/>
    <w:rsid w:val="35155D23"/>
    <w:rsid w:val="363475D8"/>
    <w:rsid w:val="38107BD1"/>
    <w:rsid w:val="381A1716"/>
    <w:rsid w:val="39487E75"/>
    <w:rsid w:val="39A62605"/>
    <w:rsid w:val="3B0B6B11"/>
    <w:rsid w:val="3B67E729"/>
    <w:rsid w:val="3B6946AD"/>
    <w:rsid w:val="3C0812EB"/>
    <w:rsid w:val="3CBF6C70"/>
    <w:rsid w:val="3D3B6471"/>
    <w:rsid w:val="3FA60652"/>
    <w:rsid w:val="3FBE8230"/>
    <w:rsid w:val="3FFB11C3"/>
    <w:rsid w:val="43A15B81"/>
    <w:rsid w:val="44354C47"/>
    <w:rsid w:val="44BC52D1"/>
    <w:rsid w:val="4682613E"/>
    <w:rsid w:val="482D6F7E"/>
    <w:rsid w:val="4AA0184C"/>
    <w:rsid w:val="4E881E17"/>
    <w:rsid w:val="508B3E41"/>
    <w:rsid w:val="50A867A1"/>
    <w:rsid w:val="51663754"/>
    <w:rsid w:val="51DE2E98"/>
    <w:rsid w:val="51EE4687"/>
    <w:rsid w:val="520914C1"/>
    <w:rsid w:val="54980C3A"/>
    <w:rsid w:val="54F82804"/>
    <w:rsid w:val="54FC70BB"/>
    <w:rsid w:val="55173EF5"/>
    <w:rsid w:val="56F62043"/>
    <w:rsid w:val="57BF93F7"/>
    <w:rsid w:val="5A4B33F0"/>
    <w:rsid w:val="5A8B5169"/>
    <w:rsid w:val="5ACD096E"/>
    <w:rsid w:val="5B9E0ECC"/>
    <w:rsid w:val="5BB82459"/>
    <w:rsid w:val="5C216BD5"/>
    <w:rsid w:val="5D221689"/>
    <w:rsid w:val="5D850596"/>
    <w:rsid w:val="5FFFD6C8"/>
    <w:rsid w:val="609D1752"/>
    <w:rsid w:val="615A7643"/>
    <w:rsid w:val="62E36588"/>
    <w:rsid w:val="631B5CD8"/>
    <w:rsid w:val="638B6761"/>
    <w:rsid w:val="63DFEA06"/>
    <w:rsid w:val="643861FD"/>
    <w:rsid w:val="65A93E69"/>
    <w:rsid w:val="6650370B"/>
    <w:rsid w:val="67916213"/>
    <w:rsid w:val="68CF4DBB"/>
    <w:rsid w:val="68E5013A"/>
    <w:rsid w:val="68F2263A"/>
    <w:rsid w:val="6A1150CD"/>
    <w:rsid w:val="6A4610AD"/>
    <w:rsid w:val="6AD23392"/>
    <w:rsid w:val="6B713F07"/>
    <w:rsid w:val="6D683DE2"/>
    <w:rsid w:val="6F658815"/>
    <w:rsid w:val="6F7F4CFF"/>
    <w:rsid w:val="6FA921EF"/>
    <w:rsid w:val="6FBB39A3"/>
    <w:rsid w:val="6FDD6AFE"/>
    <w:rsid w:val="708F7F20"/>
    <w:rsid w:val="709234E0"/>
    <w:rsid w:val="7205184D"/>
    <w:rsid w:val="73FFE905"/>
    <w:rsid w:val="75AE7B06"/>
    <w:rsid w:val="75D02172"/>
    <w:rsid w:val="76BF71DD"/>
    <w:rsid w:val="76E51777"/>
    <w:rsid w:val="76FB70CF"/>
    <w:rsid w:val="776E1C43"/>
    <w:rsid w:val="781C5A64"/>
    <w:rsid w:val="786372CE"/>
    <w:rsid w:val="78E24696"/>
    <w:rsid w:val="7A6F4D65"/>
    <w:rsid w:val="7AA449F7"/>
    <w:rsid w:val="7B5D0294"/>
    <w:rsid w:val="7B5EF3A2"/>
    <w:rsid w:val="7CBC0D5A"/>
    <w:rsid w:val="7EF531F3"/>
    <w:rsid w:val="7EF7D885"/>
    <w:rsid w:val="7EFA7EE7"/>
    <w:rsid w:val="7F575DB5"/>
    <w:rsid w:val="82FFBBC5"/>
    <w:rsid w:val="96B711C1"/>
    <w:rsid w:val="9EEF776D"/>
    <w:rsid w:val="ABFF7471"/>
    <w:rsid w:val="BA7F0D46"/>
    <w:rsid w:val="BEDB4105"/>
    <w:rsid w:val="BF7EE1C6"/>
    <w:rsid w:val="C77F46BF"/>
    <w:rsid w:val="CBF38B85"/>
    <w:rsid w:val="D79D3C06"/>
    <w:rsid w:val="DBEDC5AB"/>
    <w:rsid w:val="E7EF7A37"/>
    <w:rsid w:val="EF5F384E"/>
    <w:rsid w:val="F7DA17BE"/>
    <w:rsid w:val="F7ECECEC"/>
    <w:rsid w:val="F7F73C7F"/>
    <w:rsid w:val="F9EFCD00"/>
    <w:rsid w:val="F9FE2E9A"/>
    <w:rsid w:val="FBC97F59"/>
    <w:rsid w:val="FCFB9CCE"/>
    <w:rsid w:val="FD55A91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20"/>
    <w:autoRedefine/>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1"/>
    <w:autoRedefine/>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3"/>
    <w:semiHidden/>
    <w:unhideWhenUsed/>
    <w:qFormat/>
    <w:uiPriority w:val="99"/>
    <w:pPr>
      <w:jc w:val="left"/>
    </w:pPr>
  </w:style>
  <w:style w:type="paragraph" w:styleId="6">
    <w:name w:val="Balloon Text"/>
    <w:basedOn w:val="1"/>
    <w:link w:val="18"/>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5"/>
    <w:next w:val="5"/>
    <w:link w:val="24"/>
    <w:semiHidden/>
    <w:unhideWhenUsed/>
    <w:qFormat/>
    <w:uiPriority w:val="99"/>
    <w:rPr>
      <w:b/>
      <w:bCs/>
    </w:rPr>
  </w:style>
  <w:style w:type="character" w:styleId="13">
    <w:name w:val="Hyperlink"/>
    <w:basedOn w:val="12"/>
    <w:semiHidden/>
    <w:unhideWhenUsed/>
    <w:qFormat/>
    <w:uiPriority w:val="99"/>
    <w:rPr>
      <w:color w:val="0000FF"/>
      <w:u w:val="single"/>
    </w:rPr>
  </w:style>
  <w:style w:type="character" w:styleId="14">
    <w:name w:val="annotation reference"/>
    <w:basedOn w:val="12"/>
    <w:semiHidden/>
    <w:unhideWhenUsed/>
    <w:qFormat/>
    <w:uiPriority w:val="99"/>
    <w:rPr>
      <w:sz w:val="21"/>
      <w:szCs w:val="21"/>
    </w:rPr>
  </w:style>
  <w:style w:type="character" w:customStyle="1" w:styleId="15">
    <w:name w:val="页眉 字符"/>
    <w:basedOn w:val="12"/>
    <w:link w:val="8"/>
    <w:autoRedefine/>
    <w:qFormat/>
    <w:uiPriority w:val="99"/>
    <w:rPr>
      <w:sz w:val="18"/>
      <w:szCs w:val="18"/>
    </w:rPr>
  </w:style>
  <w:style w:type="character" w:customStyle="1" w:styleId="16">
    <w:name w:val="页脚 字符"/>
    <w:basedOn w:val="12"/>
    <w:link w:val="7"/>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框文本 字符"/>
    <w:basedOn w:val="12"/>
    <w:link w:val="6"/>
    <w:semiHidden/>
    <w:qFormat/>
    <w:uiPriority w:val="99"/>
    <w:rPr>
      <w:sz w:val="18"/>
      <w:szCs w:val="18"/>
    </w:rPr>
  </w:style>
  <w:style w:type="character" w:customStyle="1" w:styleId="19">
    <w:name w:val="标题 1 字符"/>
    <w:basedOn w:val="12"/>
    <w:link w:val="2"/>
    <w:qFormat/>
    <w:uiPriority w:val="9"/>
    <w:rPr>
      <w:rFonts w:ascii="宋体" w:hAnsi="宋体" w:eastAsia="宋体" w:cs="宋体"/>
      <w:b/>
      <w:bCs/>
      <w:kern w:val="36"/>
      <w:sz w:val="48"/>
      <w:szCs w:val="48"/>
    </w:rPr>
  </w:style>
  <w:style w:type="character" w:customStyle="1" w:styleId="20">
    <w:name w:val="标题 2 字符"/>
    <w:basedOn w:val="12"/>
    <w:link w:val="3"/>
    <w:semiHidden/>
    <w:qFormat/>
    <w:uiPriority w:val="9"/>
    <w:rPr>
      <w:rFonts w:asciiTheme="majorHAnsi" w:hAnsiTheme="majorHAnsi" w:eastAsiaTheme="majorEastAsia" w:cstheme="majorBidi"/>
      <w:b/>
      <w:bCs/>
      <w:sz w:val="32"/>
      <w:szCs w:val="32"/>
    </w:rPr>
  </w:style>
  <w:style w:type="character" w:customStyle="1" w:styleId="21">
    <w:name w:val="标题 3 字符"/>
    <w:basedOn w:val="12"/>
    <w:link w:val="4"/>
    <w:semiHidden/>
    <w:qFormat/>
    <w:uiPriority w:val="9"/>
    <w:rPr>
      <w:b/>
      <w:bCs/>
      <w:sz w:val="32"/>
      <w:szCs w:val="32"/>
    </w:rPr>
  </w:style>
  <w:style w:type="paragraph" w:customStyle="1" w:styleId="22">
    <w:name w:val="列出段落1"/>
    <w:basedOn w:val="1"/>
    <w:qFormat/>
    <w:uiPriority w:val="99"/>
    <w:pPr>
      <w:ind w:firstLine="420" w:firstLineChars="200"/>
    </w:pPr>
  </w:style>
  <w:style w:type="character" w:customStyle="1" w:styleId="23">
    <w:name w:val="批注文字 字符"/>
    <w:basedOn w:val="12"/>
    <w:link w:val="5"/>
    <w:semiHidden/>
    <w:qFormat/>
    <w:uiPriority w:val="99"/>
    <w:rPr>
      <w:kern w:val="2"/>
      <w:sz w:val="21"/>
      <w:szCs w:val="22"/>
    </w:rPr>
  </w:style>
  <w:style w:type="character" w:customStyle="1" w:styleId="24">
    <w:name w:val="批注主题 字符"/>
    <w:basedOn w:val="23"/>
    <w:link w:val="10"/>
    <w:semiHidden/>
    <w:qFormat/>
    <w:uiPriority w:val="99"/>
    <w:rPr>
      <w:b/>
      <w:bCs/>
      <w:kern w:val="2"/>
      <w:sz w:val="21"/>
      <w:szCs w:val="22"/>
    </w:rPr>
  </w:style>
  <w:style w:type="paragraph" w:customStyle="1" w:styleId="25">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144775-c30c-4c48-b6b0-29b348050257}">
  <ds:schemaRefs/>
</ds:datastoreItem>
</file>

<file path=customXml/itemProps3.xml><?xml version="1.0" encoding="utf-8"?>
<ds:datastoreItem xmlns:ds="http://schemas.openxmlformats.org/officeDocument/2006/customXml" ds:itemID="{C2F7740A-D375-4A88-8FFC-E726C3CE5507}">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Pages>
  <Words>1302</Words>
  <Characters>1305</Characters>
  <Lines>20</Lines>
  <Paragraphs>17</Paragraphs>
  <TotalTime>0</TotalTime>
  <ScaleCrop>false</ScaleCrop>
  <LinksUpToDate>false</LinksUpToDate>
  <CharactersWithSpaces>1332</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2025-01-04T19:20:00Z</dcterms:created>
  <dc:creator>siyp</dc:creator>
  <cp:lastModifiedBy>DZB</cp:lastModifiedBy>
  <cp:lastPrinted>2024-11-19T23:03:00Z</cp:lastPrinted>
  <dcterms:modified xsi:type="dcterms:W3CDTF">2026-05-13T08:06:46Z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A72A16EDA183477598F66E4721A7A4B5_13</vt:lpwstr>
  </property>
  <property fmtid="{D5CDD505-2E9C-101B-9397-08002B2CF9AE}" pid="4" name="KSOTemplateDocerSaveRecord">
    <vt:lpwstr>eyJoZGlkIjoiMGJmNjQ0OWZkYzczOTI0ZjY2MWU3NWM5MjRhNzU3ODkiLCJ1c2VySWQiOiIxNzg2NDU0MzIwIn0=</vt:lpwstr>
  </property>
</Properties>
</file>