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6AF28">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33</w:t>
      </w:r>
      <w:r>
        <w:rPr>
          <w:rFonts w:hint="eastAsia" w:ascii="FangSong_GB2312" w:hAnsi="FangSong_GB2312" w:eastAsia="FangSong_GB2312" w:cs="FangSong_GB2312"/>
          <w:color w:val="000000"/>
          <w:sz w:val="32"/>
          <w:szCs w:val="32"/>
        </w:rPr>
        <w:t>号</w:t>
      </w:r>
    </w:p>
    <w:p w14:paraId="691F3652">
      <w:pPr>
        <w:widowControl w:val="0"/>
        <w:shd w:val="clear" w:color="auto" w:fill="FFFFFF"/>
        <w:spacing w:line="560" w:lineRule="exact"/>
        <w:jc w:val="both"/>
        <w:rPr>
          <w:rFonts w:hint="eastAsia" w:ascii="方正小标宋简体" w:hAnsi="方正小标宋简体" w:eastAsia="方正小标宋简体" w:cs="方正小标宋简体"/>
          <w:bCs/>
          <w:color w:val="000000"/>
          <w:kern w:val="0"/>
          <w:sz w:val="36"/>
          <w:szCs w:val="36"/>
          <w:shd w:val="clear" w:color="auto" w:fill="FFFFFF"/>
          <w:lang w:bidi="ar"/>
        </w:rPr>
      </w:pPr>
    </w:p>
    <w:p w14:paraId="7DD39505">
      <w:pPr>
        <w:widowControl w:val="0"/>
        <w:shd w:val="clear" w:color="auto" w:fill="FFFFFF"/>
        <w:spacing w:line="560" w:lineRule="exact"/>
        <w:ind w:firstLine="0" w:firstLineChars="0"/>
        <w:jc w:val="center"/>
        <w:rPr>
          <w:rFonts w:hint="eastAsia" w:ascii="方正小标宋简体" w:hAnsi="方正小标宋简体" w:eastAsia="方正小标宋简体" w:cs="方正小标宋简体"/>
          <w:bCs/>
          <w:color w:val="000000"/>
          <w:kern w:val="0"/>
          <w:sz w:val="36"/>
          <w:szCs w:val="36"/>
          <w:shd w:val="clear" w:color="auto" w:fill="FFFFFF"/>
          <w:lang w:bidi="ar"/>
        </w:rPr>
      </w:pPr>
      <w:bookmarkStart w:id="0" w:name="_GoBack"/>
      <w:r>
        <w:rPr>
          <w:rFonts w:hint="eastAsia" w:ascii="方正小标宋简体" w:hAnsi="方正小标宋简体" w:eastAsia="方正小标宋简体" w:cs="方正小标宋简体"/>
          <w:bCs/>
          <w:color w:val="000000"/>
          <w:kern w:val="0"/>
          <w:sz w:val="36"/>
          <w:szCs w:val="36"/>
          <w:shd w:val="clear" w:color="auto" w:fill="FFFFFF"/>
          <w:lang w:bidi="ar"/>
        </w:rPr>
        <w:t>清华大学深圳国际研究生院办公科研用房管理办法</w:t>
      </w:r>
      <w:bookmarkEnd w:id="0"/>
    </w:p>
    <w:p w14:paraId="5C437A45">
      <w:pPr>
        <w:widowControl w:val="0"/>
        <w:shd w:val="clear" w:color="auto" w:fill="FFFFFF"/>
        <w:spacing w:line="560" w:lineRule="exact"/>
        <w:ind w:firstLine="0" w:firstLineChars="0"/>
        <w:jc w:val="center"/>
        <w:rPr>
          <w:rFonts w:hint="eastAsia" w:ascii="仿宋_GB2312" w:eastAsia="仿宋_GB2312"/>
          <w:sz w:val="32"/>
          <w:szCs w:val="32"/>
        </w:rPr>
      </w:pPr>
      <w:r>
        <w:rPr>
          <w:rFonts w:hint="eastAsia" w:ascii="仿宋_GB2312" w:eastAsia="仿宋_GB2312"/>
          <w:sz w:val="32"/>
          <w:szCs w:val="32"/>
        </w:rPr>
        <w:t>二</w:t>
      </w:r>
      <w:r>
        <w:rPr>
          <w:rFonts w:hint="eastAsia" w:ascii="FangSong_GB2312" w:eastAsia="FangSong_GB2312"/>
          <w:sz w:val="32"/>
          <w:szCs w:val="32"/>
        </w:rPr>
        <w:t>〇</w:t>
      </w:r>
      <w:r>
        <w:rPr>
          <w:rFonts w:hint="eastAsia" w:ascii="仿宋_GB2312" w:hAnsi="微软雅黑" w:eastAsia="仿宋_GB2312" w:cs="微软雅黑"/>
          <w:sz w:val="32"/>
          <w:szCs w:val="32"/>
        </w:rPr>
        <w:t>二六</w:t>
      </w:r>
      <w:r>
        <w:rPr>
          <w:rFonts w:hint="eastAsia" w:ascii="仿宋_GB2312" w:eastAsia="仿宋_GB2312"/>
          <w:sz w:val="32"/>
          <w:szCs w:val="32"/>
        </w:rPr>
        <w:t>年第三次党政联席会议（2026年1月19日）</w:t>
      </w:r>
    </w:p>
    <w:p w14:paraId="2739EB12">
      <w:pPr>
        <w:widowControl w:val="0"/>
        <w:shd w:val="clear" w:color="auto" w:fill="FFFFFF"/>
        <w:spacing w:line="560" w:lineRule="exact"/>
        <w:ind w:firstLine="0" w:firstLineChars="0"/>
        <w:jc w:val="center"/>
        <w:rPr>
          <w:rFonts w:hint="eastAsia" w:ascii="仿宋_GB2312" w:hAnsi="方正小标宋简体" w:eastAsia="仿宋_GB2312" w:cs="方正小标宋简体"/>
          <w:bCs/>
          <w:color w:val="000000"/>
          <w:kern w:val="0"/>
          <w:sz w:val="32"/>
          <w:szCs w:val="32"/>
          <w:shd w:val="clear" w:color="auto" w:fill="FFFFFF"/>
          <w:lang w:bidi="ar"/>
        </w:rPr>
      </w:pPr>
      <w:r>
        <w:rPr>
          <w:rFonts w:hint="eastAsia" w:ascii="仿宋_GB2312" w:eastAsia="仿宋_GB2312"/>
          <w:sz w:val="32"/>
          <w:szCs w:val="32"/>
        </w:rPr>
        <w:t>审议通过</w:t>
      </w:r>
    </w:p>
    <w:p w14:paraId="226B88A2">
      <w:pPr>
        <w:spacing w:line="560" w:lineRule="exact"/>
        <w:ind w:firstLine="560" w:firstLineChars="200"/>
        <w:jc w:val="center"/>
        <w:rPr>
          <w:rFonts w:hint="eastAsia" w:ascii="黑体" w:hAnsi="黑体" w:eastAsia="黑体"/>
          <w:sz w:val="28"/>
          <w:szCs w:val="28"/>
        </w:rPr>
      </w:pPr>
    </w:p>
    <w:p w14:paraId="12658685">
      <w:pPr>
        <w:spacing w:line="560" w:lineRule="exact"/>
        <w:ind w:firstLine="0" w:firstLineChars="0"/>
        <w:jc w:val="center"/>
        <w:rPr>
          <w:rFonts w:hint="eastAsia" w:ascii="黑体" w:hAnsi="黑体" w:eastAsia="黑体"/>
          <w:sz w:val="32"/>
          <w:szCs w:val="32"/>
        </w:rPr>
      </w:pPr>
      <w:r>
        <w:rPr>
          <w:rFonts w:hint="eastAsia" w:ascii="黑体" w:hAnsi="黑体" w:eastAsia="黑体"/>
          <w:sz w:val="32"/>
          <w:szCs w:val="32"/>
        </w:rPr>
        <w:t>第一章</w:t>
      </w:r>
      <w:r>
        <w:rPr>
          <w:rFonts w:ascii="黑体" w:hAnsi="黑体" w:eastAsia="黑体"/>
          <w:sz w:val="32"/>
          <w:szCs w:val="32"/>
        </w:rPr>
        <w:t xml:space="preserve">  </w:t>
      </w:r>
      <w:r>
        <w:rPr>
          <w:rFonts w:hint="eastAsia" w:ascii="黑体" w:hAnsi="黑体" w:eastAsia="黑体"/>
          <w:sz w:val="32"/>
          <w:szCs w:val="32"/>
        </w:rPr>
        <w:t>总  则</w:t>
      </w:r>
    </w:p>
    <w:p w14:paraId="5BE663B9">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第一条</w:t>
      </w:r>
      <w:r>
        <w:rPr>
          <w:rFonts w:hint="eastAsia" w:ascii="仿宋_GB2312" w:eastAsia="仿宋_GB2312"/>
          <w:sz w:val="32"/>
          <w:szCs w:val="32"/>
        </w:rPr>
        <w:t xml:space="preserve"> 为了进一步加强清华大学深圳国际研究生院（以下简称学院）办公科研用房统筹配置管理，明确使用和管理主体责任，有效保障教学研究工作及正常办公，提升空间资源使用效能，参照《清华大学公用房管理规定》《清华大学教学研究用房管理办法》《清华大学办公用房管理办法》等相</w:t>
      </w:r>
      <w:r>
        <w:rPr>
          <w:rFonts w:hint="eastAsia" w:ascii="仿宋" w:hAnsi="仿宋" w:eastAsia="仿宋" w:cs="Arial"/>
          <w:bCs/>
          <w:color w:val="000000"/>
          <w:kern w:val="0"/>
          <w:sz w:val="32"/>
          <w:szCs w:val="32"/>
        </w:rPr>
        <w:t>关规定，</w:t>
      </w:r>
      <w:r>
        <w:rPr>
          <w:rFonts w:hint="eastAsia" w:ascii="仿宋_GB2312" w:eastAsia="仿宋_GB2312"/>
          <w:sz w:val="32"/>
          <w:szCs w:val="32"/>
        </w:rPr>
        <w:t>结合学院实际，制定本办法。</w:t>
      </w:r>
    </w:p>
    <w:p w14:paraId="719ACB0F">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第二条</w:t>
      </w:r>
      <w:r>
        <w:rPr>
          <w:rFonts w:hint="eastAsia" w:ascii="仿宋_GB2312" w:eastAsia="仿宋_GB2312"/>
          <w:sz w:val="32"/>
          <w:szCs w:val="32"/>
        </w:rPr>
        <w:t xml:space="preserve"> 本办法所称办公科研用房，是指二级单位（包括机关职能部门和教学科研机构等）日常办公用房（包括办公室和服务用房等），以及教学科研机构承担日常教学、研究等人才培养和学科建设具体任务用房。</w:t>
      </w:r>
    </w:p>
    <w:p w14:paraId="42F19E7A">
      <w:pPr>
        <w:spacing w:line="560" w:lineRule="exact"/>
        <w:ind w:firstLine="643" w:firstLineChars="200"/>
        <w:jc w:val="left"/>
        <w:rPr>
          <w:rFonts w:hint="eastAsia" w:ascii="仿宋_GB2312" w:eastAsia="仿宋_GB2312"/>
          <w:sz w:val="32"/>
          <w:szCs w:val="32"/>
        </w:rPr>
      </w:pPr>
      <w:r>
        <w:rPr>
          <w:rFonts w:hint="eastAsia" w:ascii="仿宋_GB2312" w:hAnsi="仿宋_GB2312" w:eastAsia="仿宋_GB2312" w:cs="仿宋_GB2312"/>
          <w:b/>
          <w:bCs/>
          <w:sz w:val="32"/>
          <w:szCs w:val="32"/>
        </w:rPr>
        <w:t>第三条</w:t>
      </w:r>
      <w:r>
        <w:rPr>
          <w:rFonts w:hint="eastAsia" w:ascii="仿宋_GB2312" w:eastAsia="仿宋_GB2312"/>
          <w:sz w:val="32"/>
          <w:szCs w:val="32"/>
        </w:rPr>
        <w:t xml:space="preserve"> 本办法适用于学院依法依规占有、使用或纳入管理范围的房屋及其附属建筑物。</w:t>
      </w:r>
    </w:p>
    <w:p w14:paraId="0311952C">
      <w:pPr>
        <w:spacing w:line="560" w:lineRule="exact"/>
        <w:ind w:firstLine="0" w:firstLineChars="0"/>
        <w:jc w:val="center"/>
        <w:rPr>
          <w:rFonts w:ascii="仿宋_GB2312" w:eastAsia="黑体"/>
          <w:sz w:val="32"/>
          <w:szCs w:val="32"/>
        </w:rPr>
      </w:pPr>
      <w:r>
        <w:rPr>
          <w:rFonts w:hint="eastAsia" w:ascii="黑体" w:hAnsi="黑体" w:eastAsia="黑体"/>
          <w:sz w:val="32"/>
          <w:szCs w:val="32"/>
        </w:rPr>
        <w:t>第二章</w:t>
      </w:r>
      <w:r>
        <w:rPr>
          <w:rFonts w:ascii="黑体" w:hAnsi="黑体" w:eastAsia="黑体"/>
          <w:sz w:val="32"/>
          <w:szCs w:val="32"/>
        </w:rPr>
        <w:t xml:space="preserve">  </w:t>
      </w:r>
      <w:r>
        <w:rPr>
          <w:rFonts w:hint="eastAsia" w:ascii="黑体" w:hAnsi="黑体" w:eastAsia="黑体"/>
          <w:sz w:val="32"/>
          <w:szCs w:val="32"/>
        </w:rPr>
        <w:t>管理机制</w:t>
      </w:r>
    </w:p>
    <w:p w14:paraId="185271A6">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第四条</w:t>
      </w:r>
      <w:r>
        <w:rPr>
          <w:rFonts w:hint="eastAsia" w:ascii="仿宋_GB2312" w:eastAsia="仿宋_GB2312"/>
          <w:sz w:val="32"/>
          <w:szCs w:val="32"/>
        </w:rPr>
        <w:t xml:space="preserve"> 学院办公科研用房管理遵循“学院统筹、科学配置、分级负责、高效利用”的原则。</w:t>
      </w:r>
    </w:p>
    <w:p w14:paraId="5FA7C0A7">
      <w:pPr>
        <w:spacing w:line="560" w:lineRule="exact"/>
        <w:ind w:firstLine="643" w:firstLineChars="200"/>
        <w:jc w:val="left"/>
        <w:rPr>
          <w:rFonts w:ascii="仿宋_GB2312" w:eastAsia="仿宋_GB2312"/>
          <w:sz w:val="32"/>
          <w:szCs w:val="32"/>
          <w:highlight w:val="yellow"/>
        </w:rPr>
      </w:pPr>
      <w:r>
        <w:rPr>
          <w:rFonts w:hint="eastAsia" w:ascii="仿宋_GB2312" w:eastAsia="仿宋_GB2312"/>
          <w:b/>
          <w:bCs/>
          <w:sz w:val="32"/>
          <w:szCs w:val="32"/>
        </w:rPr>
        <w:t>第五条</w:t>
      </w:r>
      <w:r>
        <w:rPr>
          <w:rFonts w:hint="eastAsia" w:ascii="仿宋_GB2312" w:eastAsia="仿宋_GB2312"/>
          <w:sz w:val="32"/>
          <w:szCs w:val="32"/>
        </w:rPr>
        <w:t xml:space="preserve"> 学院统筹规划办公科研用房的空间布局、功能用途与配置，优先保障人才培养和教学研究用房需求。</w:t>
      </w:r>
    </w:p>
    <w:p w14:paraId="00953808">
      <w:pPr>
        <w:spacing w:line="560" w:lineRule="exact"/>
        <w:ind w:firstLine="643" w:firstLineChars="200"/>
        <w:jc w:val="left"/>
        <w:rPr>
          <w:rFonts w:ascii="仿宋_GB2312" w:eastAsia="仿宋_GB2312"/>
          <w:sz w:val="32"/>
          <w:szCs w:val="32"/>
          <w:highlight w:val="yellow"/>
        </w:rPr>
      </w:pPr>
      <w:r>
        <w:rPr>
          <w:rFonts w:hint="eastAsia" w:ascii="仿宋_GB2312" w:hAnsi="仿宋_GB2312" w:eastAsia="仿宋_GB2312" w:cs="仿宋_GB2312"/>
          <w:b/>
          <w:bCs/>
          <w:sz w:val="32"/>
          <w:szCs w:val="32"/>
        </w:rPr>
        <w:t>第六条</w:t>
      </w:r>
      <w:r>
        <w:rPr>
          <w:rFonts w:hint="eastAsia" w:ascii="仿宋_GB2312" w:eastAsia="仿宋_GB2312"/>
          <w:sz w:val="32"/>
          <w:szCs w:val="32"/>
        </w:rPr>
        <w:t xml:space="preserve"> </w:t>
      </w:r>
      <w:r>
        <w:rPr>
          <w:rFonts w:hint="eastAsia" w:ascii="仿宋_GB2312" w:eastAsia="仿宋_GB2312" w:cs="仿宋_GB2312"/>
          <w:kern w:val="0"/>
          <w:sz w:val="32"/>
          <w:szCs w:val="32"/>
        </w:rPr>
        <w:t>学院依据人员规模、相关标准，结合使用单位管理服务工作实际核定机关职能部门办公用房。依据空间资源总体状况、师生规模，综合学科特点、发展阶段、用房情况等，核定教学科研机构办公科研用房。</w:t>
      </w:r>
    </w:p>
    <w:p w14:paraId="622C6C27">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第七条</w:t>
      </w:r>
      <w:r>
        <w:rPr>
          <w:rFonts w:hint="eastAsia" w:ascii="仿宋_GB2312" w:eastAsia="仿宋_GB2312"/>
          <w:sz w:val="32"/>
          <w:szCs w:val="32"/>
        </w:rPr>
        <w:t xml:space="preserve"> 学院房屋资源管理领导小组（以下简称</w:t>
      </w:r>
      <w:r>
        <w:rPr>
          <w:rFonts w:ascii="仿宋_GB2312" w:hAnsi="仿宋_GB2312" w:eastAsia="仿宋_GB2312" w:cs="仿宋_GB2312"/>
          <w:color w:val="333333"/>
          <w:sz w:val="31"/>
          <w:szCs w:val="31"/>
          <w:shd w:val="clear" w:color="auto" w:fill="FFFFFF"/>
        </w:rPr>
        <w:t>房屋领导小组</w:t>
      </w:r>
      <w:r>
        <w:rPr>
          <w:rFonts w:hint="eastAsia" w:ascii="仿宋_GB2312" w:eastAsia="仿宋_GB2312"/>
          <w:sz w:val="32"/>
          <w:szCs w:val="32"/>
        </w:rPr>
        <w:t>），统筹协调办公科研用房规划、管理、调配、监督检查等工作，重大事项报学院党政联席会议审议。</w:t>
      </w:r>
    </w:p>
    <w:p w14:paraId="5D3E0B9A">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第八条</w:t>
      </w:r>
      <w:r>
        <w:rPr>
          <w:rFonts w:hint="eastAsia" w:ascii="仿宋_GB2312" w:eastAsia="仿宋_GB2312"/>
          <w:sz w:val="32"/>
          <w:szCs w:val="32"/>
        </w:rPr>
        <w:t xml:space="preserve"> 学院总务办公室（以下简称总务办）归口负责学院办公科研用房的管理工作，统筹负责办公科研用房的维修维护工作。</w:t>
      </w:r>
    </w:p>
    <w:p w14:paraId="1744995A">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第九条</w:t>
      </w:r>
      <w:r>
        <w:rPr>
          <w:rFonts w:hint="eastAsia" w:ascii="仿宋_GB2312" w:eastAsia="仿宋_GB2312"/>
          <w:sz w:val="32"/>
          <w:szCs w:val="32"/>
        </w:rPr>
        <w:t xml:space="preserve"> 学院</w:t>
      </w:r>
      <w:r>
        <w:rPr>
          <w:rFonts w:hint="eastAsia" w:ascii="仿宋_GB2312" w:eastAsia="仿宋_GB2312" w:cs="仿宋_GB2312"/>
          <w:kern w:val="0"/>
          <w:sz w:val="32"/>
          <w:szCs w:val="32"/>
        </w:rPr>
        <w:t>各二级单位</w:t>
      </w:r>
      <w:r>
        <w:rPr>
          <w:rFonts w:hint="eastAsia" w:ascii="仿宋_GB2312" w:eastAsia="仿宋_GB2312"/>
          <w:sz w:val="32"/>
          <w:szCs w:val="32"/>
        </w:rPr>
        <w:t>作为办公科研用房的使用单位，按照“谁使用、谁负责”原则，具体负责调配至本单位使用或管理用房的日常管理与维护。</w:t>
      </w:r>
    </w:p>
    <w:p w14:paraId="17E43F57">
      <w:pPr>
        <w:spacing w:line="560" w:lineRule="exact"/>
        <w:ind w:firstLine="643" w:firstLineChars="200"/>
        <w:jc w:val="left"/>
        <w:rPr>
          <w:rFonts w:ascii="仿宋_GB2312" w:eastAsia="仿宋_GB2312" w:cs="仿宋_GB2312"/>
          <w:kern w:val="0"/>
          <w:sz w:val="32"/>
          <w:szCs w:val="32"/>
        </w:rPr>
      </w:pPr>
      <w:r>
        <w:rPr>
          <w:rFonts w:hint="eastAsia" w:ascii="仿宋_GB2312" w:hAnsi="仿宋_GB2312" w:eastAsia="仿宋_GB2312" w:cs="仿宋_GB2312"/>
          <w:b/>
          <w:bCs/>
          <w:sz w:val="32"/>
          <w:szCs w:val="32"/>
        </w:rPr>
        <w:t>第十条</w:t>
      </w:r>
      <w:r>
        <w:rPr>
          <w:rFonts w:hint="eastAsia" w:ascii="仿宋_GB2312" w:eastAsia="仿宋_GB2312"/>
          <w:sz w:val="32"/>
          <w:szCs w:val="32"/>
        </w:rPr>
        <w:t xml:space="preserve"> 房屋各使用主体应合理合规使用办公科研用房，签署安全责任书，自觉做好安全、节能、日常保洁及维护工作。</w:t>
      </w:r>
      <w:r>
        <w:rPr>
          <w:rFonts w:hint="eastAsia" w:ascii="仿宋_GB2312" w:hAnsi="仿宋_GB2312" w:eastAsia="仿宋_GB2312" w:cs="仿宋_GB2312"/>
          <w:b/>
          <w:bCs/>
          <w:sz w:val="32"/>
          <w:szCs w:val="32"/>
        </w:rPr>
        <w:t xml:space="preserve">   </w:t>
      </w:r>
    </w:p>
    <w:p w14:paraId="5612BB15">
      <w:pPr>
        <w:spacing w:line="560" w:lineRule="exact"/>
        <w:ind w:firstLine="0" w:firstLineChars="0"/>
        <w:jc w:val="center"/>
        <w:rPr>
          <w:rFonts w:hint="eastAsia" w:ascii="黑体" w:hAnsi="黑体" w:eastAsia="黑体"/>
          <w:sz w:val="32"/>
          <w:szCs w:val="32"/>
        </w:rPr>
      </w:pPr>
      <w:r>
        <w:rPr>
          <w:rFonts w:hint="eastAsia" w:ascii="黑体" w:hAnsi="黑体" w:eastAsia="黑体"/>
          <w:sz w:val="32"/>
          <w:szCs w:val="32"/>
        </w:rPr>
        <w:t>第三章</w:t>
      </w:r>
      <w:r>
        <w:rPr>
          <w:rFonts w:ascii="黑体" w:hAnsi="黑体" w:eastAsia="黑体"/>
          <w:sz w:val="32"/>
          <w:szCs w:val="32"/>
        </w:rPr>
        <w:t xml:space="preserve">  使用</w:t>
      </w:r>
      <w:r>
        <w:rPr>
          <w:rFonts w:hint="eastAsia" w:ascii="黑体" w:hAnsi="黑体" w:eastAsia="黑体"/>
          <w:sz w:val="32"/>
          <w:szCs w:val="32"/>
        </w:rPr>
        <w:t>标准</w:t>
      </w:r>
    </w:p>
    <w:p w14:paraId="785EFA79">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第十一条</w:t>
      </w:r>
      <w:r>
        <w:rPr>
          <w:rFonts w:hint="eastAsia" w:ascii="仿宋_GB2312" w:eastAsia="仿宋_GB2312"/>
          <w:sz w:val="32"/>
          <w:szCs w:val="32"/>
        </w:rPr>
        <w:t xml:space="preserve"> 学院正式聘用的教职员工原则上只安排一处办公用房。在学院内不同单位同时任职或兼职的，由主要工作单位安排；在不同地点工作的，在主要工作地点安排。在职能部门任职的教师，除在教学科研机构安排的办公室外，可于任职期间参照职级标准在职能部门安排办公室。特殊情况须报房屋领导小组审议批准后安排。</w:t>
      </w:r>
    </w:p>
    <w:p w14:paraId="58B91451">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 xml:space="preserve">第十二条 </w:t>
      </w:r>
      <w:r>
        <w:rPr>
          <w:rFonts w:hint="eastAsia" w:ascii="仿宋_GB2312" w:eastAsia="仿宋_GB2312"/>
          <w:sz w:val="32"/>
          <w:szCs w:val="32"/>
        </w:rPr>
        <w:t>院聘职工按学院核定标准每人配置1个办公卡座，</w:t>
      </w:r>
      <w:r>
        <w:rPr>
          <w:rFonts w:hint="eastAsia" w:ascii="仿宋_GB2312" w:hAnsi="仿宋_GB2312" w:eastAsia="仿宋_GB2312" w:cs="仿宋_GB2312"/>
          <w:sz w:val="32"/>
          <w:szCs w:val="32"/>
        </w:rPr>
        <w:t>领导干部办公面积</w:t>
      </w:r>
      <w:r>
        <w:rPr>
          <w:rFonts w:hint="eastAsia" w:ascii="仿宋_GB2312" w:eastAsia="仿宋_GB2312" w:cs="仿宋_GB2312"/>
          <w:kern w:val="0"/>
          <w:sz w:val="32"/>
          <w:szCs w:val="32"/>
        </w:rPr>
        <w:t>参照深圳市相关政策，结合清华大学</w:t>
      </w:r>
      <w:r>
        <w:rPr>
          <w:rFonts w:hint="eastAsia" w:ascii="仿宋_GB2312" w:hAnsi="仿宋_GB2312" w:eastAsia="仿宋_GB2312" w:cs="仿宋_GB2312"/>
          <w:sz w:val="32"/>
          <w:szCs w:val="32"/>
        </w:rPr>
        <w:t>相关规定执行</w:t>
      </w:r>
      <w:r>
        <w:rPr>
          <w:rFonts w:hint="eastAsia" w:ascii="仿宋_GB2312" w:eastAsia="仿宋_GB2312" w:cs="仿宋_GB2312"/>
          <w:kern w:val="0"/>
          <w:sz w:val="32"/>
          <w:szCs w:val="32"/>
        </w:rPr>
        <w:t>。</w:t>
      </w:r>
    </w:p>
    <w:p w14:paraId="69A647C8">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第十三条</w:t>
      </w:r>
      <w:r>
        <w:rPr>
          <w:rFonts w:hint="eastAsia" w:ascii="仿宋_GB2312" w:eastAsia="仿宋_GB2312"/>
          <w:sz w:val="32"/>
          <w:szCs w:val="32"/>
        </w:rPr>
        <w:t xml:space="preserve"> 分配至教学科研机构的办公科研用房面积，按照配置模式，分为基准配置</w:t>
      </w:r>
      <w:r>
        <w:rPr>
          <w:rFonts w:ascii="仿宋_GB2312" w:eastAsia="仿宋_GB2312"/>
          <w:sz w:val="32"/>
          <w:szCs w:val="32"/>
        </w:rPr>
        <w:t>面积</w:t>
      </w:r>
      <w:r>
        <w:rPr>
          <w:rFonts w:hint="eastAsia" w:ascii="仿宋_GB2312" w:eastAsia="仿宋_GB2312"/>
          <w:sz w:val="32"/>
          <w:szCs w:val="32"/>
        </w:rPr>
        <w:t>、共享配置面积与动态调整配置面积三类。</w:t>
      </w:r>
    </w:p>
    <w:p w14:paraId="7E381EE2">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（一）基准配置面积包括教师办公面积、教师基准教学科研面积</w:t>
      </w:r>
      <w:r>
        <w:rPr>
          <w:rFonts w:hint="eastAsia" w:ascii="仿宋_GB2312" w:eastAsia="仿宋_GB2312"/>
          <w:sz w:val="32"/>
          <w:szCs w:val="32"/>
          <w:lang w:eastAsia="zh-CN"/>
        </w:rPr>
        <w:t>。</w:t>
      </w:r>
    </w:p>
    <w:p w14:paraId="45284090">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（二）共享配置面积包括院聘职工办公面积、全日制学生卡座面积，以及会议室、活动室、资料室等服务用房面积</w:t>
      </w:r>
      <w:r>
        <w:rPr>
          <w:rFonts w:hint="eastAsia" w:ascii="仿宋_GB2312" w:eastAsia="仿宋_GB2312"/>
          <w:sz w:val="32"/>
          <w:szCs w:val="32"/>
          <w:lang w:eastAsia="zh-CN"/>
        </w:rPr>
        <w:t>。</w:t>
      </w:r>
    </w:p>
    <w:p w14:paraId="549AC76F">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（三）动态调整配置面积包括教学实验室面积、科研条件平台、</w:t>
      </w:r>
      <w:r>
        <w:rPr>
          <w:rFonts w:hint="eastAsia" w:ascii="仿宋_GB2312" w:eastAsia="仿宋_GB2312" w:cs="仿宋_GB2312"/>
          <w:kern w:val="0"/>
          <w:sz w:val="32"/>
          <w:szCs w:val="32"/>
        </w:rPr>
        <w:t>创新载体和重大项目</w:t>
      </w:r>
      <w:r>
        <w:rPr>
          <w:rFonts w:hint="eastAsia" w:ascii="仿宋_GB2312" w:eastAsia="仿宋_GB2312"/>
          <w:sz w:val="32"/>
          <w:szCs w:val="32"/>
        </w:rPr>
        <w:t>面积以及除上述面积之外实际使用的面积。</w:t>
      </w:r>
    </w:p>
    <w:p w14:paraId="3B034BBA">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第十四条</w:t>
      </w:r>
      <w:r>
        <w:rPr>
          <w:rFonts w:hint="eastAsia" w:ascii="仿宋_GB2312" w:eastAsia="仿宋_GB2312"/>
          <w:sz w:val="32"/>
          <w:szCs w:val="32"/>
        </w:rPr>
        <w:t xml:space="preserve"> 学院依据规划面积，按如下标准核定各类用房面积配置，统筹分配至教学科研机构。</w:t>
      </w:r>
    </w:p>
    <w:p w14:paraId="4F5E16A7">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（一）教师办公用房面积：按学院核定标准配置，具体情况视所在楼栋房屋情况而定。</w:t>
      </w:r>
    </w:p>
    <w:p w14:paraId="13DA9219">
      <w:pPr>
        <w:autoSpaceDE w:val="0"/>
        <w:autoSpaceDN w:val="0"/>
        <w:adjustRightInd w:val="0"/>
        <w:spacing w:line="560" w:lineRule="exact"/>
        <w:ind w:firstLine="640" w:firstLineChars="200"/>
        <w:jc w:val="left"/>
        <w:rPr>
          <w:rFonts w:ascii="仿宋_GB2312" w:eastAsia="仿宋_GB2312" w:cs="仿宋_GB2312"/>
          <w:kern w:val="0"/>
          <w:sz w:val="32"/>
          <w:szCs w:val="32"/>
        </w:rPr>
      </w:pPr>
      <w:r>
        <w:rPr>
          <w:rFonts w:hint="eastAsia" w:ascii="仿宋_GB2312" w:eastAsia="仿宋_GB2312"/>
          <w:sz w:val="32"/>
          <w:szCs w:val="32"/>
        </w:rPr>
        <w:t>（二）</w:t>
      </w:r>
      <w:r>
        <w:rPr>
          <w:rFonts w:hint="eastAsia" w:ascii="仿宋_GB2312" w:eastAsia="仿宋_GB2312" w:cs="仿宋_GB2312"/>
          <w:kern w:val="0"/>
          <w:sz w:val="32"/>
          <w:szCs w:val="32"/>
        </w:rPr>
        <w:t>教师基准教学科研面积：按理工科类、非理工类两类分别设置标准配置。</w:t>
      </w:r>
    </w:p>
    <w:p w14:paraId="3D116A86">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eastAsia="仿宋_GB2312"/>
          <w:sz w:val="32"/>
          <w:szCs w:val="32"/>
        </w:rPr>
        <w:t>（三）</w:t>
      </w:r>
      <w:r>
        <w:rPr>
          <w:rFonts w:hint="eastAsia" w:ascii="仿宋_GB2312" w:eastAsia="仿宋_GB2312" w:cs="仿宋_GB2312"/>
          <w:kern w:val="0"/>
          <w:sz w:val="32"/>
          <w:szCs w:val="32"/>
        </w:rPr>
        <w:t>院聘职工和全日制学生卡座配置：院聘职工、全日制博士生每人配置1个办公卡座，硕士生按一定比例配置共享卡座。</w:t>
      </w:r>
    </w:p>
    <w:p w14:paraId="1B5FE3A8">
      <w:pPr>
        <w:spacing w:line="560" w:lineRule="exact"/>
        <w:ind w:firstLine="640" w:firstLineChars="200"/>
        <w:jc w:val="left"/>
        <w:rPr>
          <w:rFonts w:ascii="仿宋_GB2312" w:eastAsia="仿宋_GB2312"/>
          <w:sz w:val="32"/>
          <w:szCs w:val="32"/>
        </w:rPr>
      </w:pPr>
      <w:r>
        <w:rPr>
          <w:rFonts w:hint="eastAsia" w:ascii="仿宋_GB2312" w:hAnsi="仿宋_GB2312" w:eastAsia="仿宋_GB2312" w:cs="仿宋_GB2312"/>
          <w:sz w:val="32"/>
          <w:szCs w:val="32"/>
        </w:rPr>
        <w:t>（四）</w:t>
      </w:r>
      <w:r>
        <w:rPr>
          <w:rFonts w:hint="eastAsia" w:ascii="仿宋_GB2312" w:eastAsia="仿宋_GB2312"/>
          <w:sz w:val="32"/>
          <w:szCs w:val="32"/>
        </w:rPr>
        <w:t>服务用房面积：服务用房包括会议室、活动室、资料室等，依据在籍学生人数核算面积，具体情况视所在楼栋房屋情况而定。</w:t>
      </w:r>
    </w:p>
    <w:p w14:paraId="75396E5D">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（五）教学实验室面积：由培养处组织认定。</w:t>
      </w:r>
    </w:p>
    <w:p w14:paraId="1ECF6730">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eastAsia="仿宋_GB2312"/>
          <w:sz w:val="32"/>
          <w:szCs w:val="32"/>
        </w:rPr>
        <w:t>（六）科研条件平台、</w:t>
      </w:r>
      <w:r>
        <w:rPr>
          <w:rFonts w:hint="eastAsia" w:ascii="仿宋_GB2312" w:eastAsia="仿宋_GB2312" w:cs="仿宋_GB2312"/>
          <w:kern w:val="0"/>
          <w:sz w:val="32"/>
          <w:szCs w:val="32"/>
        </w:rPr>
        <w:t>创新载体和重大项目</w:t>
      </w:r>
      <w:r>
        <w:rPr>
          <w:rFonts w:hint="eastAsia" w:ascii="仿宋_GB2312" w:hAnsi="仿宋_GB2312" w:eastAsia="仿宋_GB2312" w:cs="仿宋_GB2312"/>
          <w:sz w:val="32"/>
          <w:szCs w:val="32"/>
        </w:rPr>
        <w:t>面积：由科研处组织认定。</w:t>
      </w:r>
    </w:p>
    <w:p w14:paraId="3FE4D46A">
      <w:pPr>
        <w:numPr>
          <w:ilvl w:val="255"/>
          <w:numId w:val="0"/>
        </w:num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教学科研机构可根据实际情况，制定本单位办公科研用房管理实施细则，经本单位党政联席会议审议通过后，提交</w:t>
      </w:r>
      <w:r>
        <w:rPr>
          <w:rFonts w:hint="eastAsia" w:ascii="仿宋_GB2312" w:eastAsia="仿宋_GB2312"/>
          <w:sz w:val="32"/>
          <w:szCs w:val="32"/>
        </w:rPr>
        <w:t>房屋领导小组</w:t>
      </w:r>
      <w:r>
        <w:rPr>
          <w:rFonts w:hint="eastAsia" w:ascii="仿宋_GB2312" w:hAnsi="仿宋_GB2312" w:eastAsia="仿宋_GB2312" w:cs="仿宋_GB2312"/>
          <w:sz w:val="32"/>
          <w:szCs w:val="32"/>
        </w:rPr>
        <w:t>备案后执行。</w:t>
      </w:r>
    </w:p>
    <w:p w14:paraId="56600B5E">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w:t>
      </w:r>
      <w:r>
        <w:rPr>
          <w:rFonts w:hint="eastAsia" w:ascii="仿宋_GB2312" w:eastAsia="仿宋_GB2312"/>
          <w:sz w:val="32"/>
          <w:szCs w:val="32"/>
        </w:rPr>
        <w:t>兼聘、双基地等非全时教学科研人员原则上不安排固定办公空间，二级单位可视空间情况安排临时或共享办公室。</w:t>
      </w:r>
      <w:r>
        <w:rPr>
          <w:rFonts w:hint="eastAsia" w:ascii="仿宋_GB2312" w:hAnsi="仿宋_GB2312" w:eastAsia="仿宋_GB2312" w:cs="仿宋_GB2312"/>
          <w:sz w:val="32"/>
          <w:szCs w:val="32"/>
        </w:rPr>
        <w:t>博士后、自聘人员、劳务派遣和服务外包等人员办公用房，由</w:t>
      </w:r>
      <w:r>
        <w:rPr>
          <w:rFonts w:hint="eastAsia" w:ascii="仿宋_GB2312" w:eastAsia="仿宋_GB2312"/>
          <w:sz w:val="32"/>
          <w:szCs w:val="32"/>
        </w:rPr>
        <w:t>各二级单位在已分配的用房面积内自行安排。</w:t>
      </w:r>
    </w:p>
    <w:p w14:paraId="1706C9B9">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第十七条</w:t>
      </w:r>
      <w:r>
        <w:rPr>
          <w:rFonts w:hint="eastAsia" w:ascii="仿宋_GB2312" w:eastAsia="仿宋_GB2312"/>
          <w:sz w:val="32"/>
          <w:szCs w:val="32"/>
        </w:rPr>
        <w:t xml:space="preserve"> 为满足师生学习交流需求、提高空间使用效率，学院统筹建设院级共享学习空间，免费向师生开放。院级共享学习空间由总务办统筹规划、建设和管理</w:t>
      </w:r>
      <w:r>
        <w:rPr>
          <w:rFonts w:hint="eastAsia" w:ascii="仿宋_GB2312" w:hAnsi="仿宋_GB2312" w:eastAsia="仿宋_GB2312" w:cs="仿宋_GB2312"/>
          <w:sz w:val="32"/>
          <w:szCs w:val="32"/>
        </w:rPr>
        <w:t>。</w:t>
      </w:r>
    </w:p>
    <w:p w14:paraId="60F456A5">
      <w:pPr>
        <w:spacing w:line="560" w:lineRule="exact"/>
        <w:ind w:firstLine="0" w:firstLineChars="0"/>
        <w:jc w:val="center"/>
        <w:rPr>
          <w:rFonts w:hint="eastAsia" w:ascii="黑体" w:hAnsi="黑体" w:eastAsia="黑体"/>
          <w:sz w:val="32"/>
          <w:szCs w:val="32"/>
        </w:rPr>
      </w:pPr>
      <w:r>
        <w:rPr>
          <w:rFonts w:hint="eastAsia" w:ascii="黑体" w:hAnsi="黑体" w:eastAsia="黑体"/>
          <w:sz w:val="32"/>
          <w:szCs w:val="32"/>
        </w:rPr>
        <w:t>第四章</w:t>
      </w:r>
      <w:r>
        <w:rPr>
          <w:rFonts w:ascii="黑体" w:hAnsi="黑体" w:eastAsia="黑体"/>
          <w:sz w:val="32"/>
          <w:szCs w:val="32"/>
        </w:rPr>
        <w:t xml:space="preserve">  </w:t>
      </w:r>
      <w:r>
        <w:rPr>
          <w:rFonts w:hint="eastAsia" w:ascii="黑体" w:hAnsi="黑体" w:eastAsia="黑体"/>
          <w:sz w:val="32"/>
          <w:szCs w:val="32"/>
        </w:rPr>
        <w:t>日常管理</w:t>
      </w:r>
    </w:p>
    <w:p w14:paraId="623C1FA6">
      <w:pPr>
        <w:spacing w:line="560" w:lineRule="exact"/>
        <w:ind w:firstLine="643" w:firstLineChars="200"/>
        <w:jc w:val="left"/>
        <w:rPr>
          <w:rFonts w:hint="eastAsia" w:ascii="仿宋" w:hAnsi="仿宋" w:eastAsia="仿宋" w:cs="仿宋"/>
          <w:sz w:val="22"/>
        </w:rPr>
      </w:pPr>
      <w:r>
        <w:rPr>
          <w:rFonts w:hint="eastAsia" w:ascii="仿宋_GB2312" w:hAnsi="仿宋_GB2312" w:eastAsia="仿宋_GB2312" w:cs="仿宋_GB2312"/>
          <w:b/>
          <w:bCs/>
          <w:sz w:val="32"/>
          <w:szCs w:val="32"/>
        </w:rPr>
        <w:t xml:space="preserve">第十八条 </w:t>
      </w:r>
      <w:r>
        <w:rPr>
          <w:rFonts w:hint="eastAsia" w:ascii="仿宋_GB2312" w:hAnsi="仿宋_GB2312" w:eastAsia="仿宋_GB2312" w:cs="仿宋_GB2312"/>
          <w:sz w:val="32"/>
          <w:szCs w:val="32"/>
        </w:rPr>
        <w:t>二级单位申请配置办公科研用房</w:t>
      </w:r>
      <w:r>
        <w:rPr>
          <w:rFonts w:hint="eastAsia" w:ascii="仿宋_GB2312" w:eastAsia="仿宋_GB2312"/>
          <w:sz w:val="32"/>
          <w:szCs w:val="32"/>
        </w:rPr>
        <w:t>（含已计入规划面积尚未启用空间、未在规划面积内需额外增加空间）</w:t>
      </w:r>
      <w:r>
        <w:rPr>
          <w:rFonts w:hint="eastAsia" w:ascii="仿宋_GB2312" w:hAnsi="仿宋_GB2312" w:eastAsia="仿宋_GB2312" w:cs="仿宋_GB2312"/>
          <w:sz w:val="32"/>
          <w:szCs w:val="32"/>
        </w:rPr>
        <w:t>，应当向总务办提出用房申请，报房屋领导小组审批。</w:t>
      </w:r>
      <w:r>
        <w:rPr>
          <w:rFonts w:hint="eastAsia" w:ascii="仿宋_GB2312" w:eastAsia="仿宋_GB2312"/>
          <w:sz w:val="32"/>
          <w:szCs w:val="32"/>
        </w:rPr>
        <w:t>科研条件平台、教学实验室以及因学科建设、重大项目建设等需要特殊用房的，由二级单位提出申请，总务办会同科研处、培养处形成一致意见后报房屋领导小组审议。重大事项须报学院党政联席会议审议批准。</w:t>
      </w:r>
    </w:p>
    <w:p w14:paraId="2E30116C">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二级单位应当依法依规严格按照核定的性质与功能使用管理办公科研用房，不得擅自改变房屋用途，不得擅自出借出租，不得进行投资、担保等。</w:t>
      </w:r>
    </w:p>
    <w:p w14:paraId="31AA26AD">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办公科研用房使用条件或使用需求发生变化的，应当及时按规定相应调整配置。教职工离岗、退休后</w:t>
      </w:r>
      <w:r>
        <w:rPr>
          <w:rFonts w:hint="eastAsia" w:ascii="仿宋_GB2312" w:eastAsia="仿宋_GB2312"/>
          <w:sz w:val="32"/>
          <w:szCs w:val="32"/>
        </w:rPr>
        <w:t>须完成名下办公科研用房退还交接登记，</w:t>
      </w:r>
      <w:r>
        <w:rPr>
          <w:rFonts w:hint="eastAsia" w:ascii="仿宋_GB2312" w:hAnsi="仿宋_GB2312" w:eastAsia="仿宋_GB2312" w:cs="仿宋_GB2312"/>
          <w:sz w:val="32"/>
          <w:szCs w:val="32"/>
        </w:rPr>
        <w:t>因特殊原因确需继续使用办公科研用房的，应当经二级单位党政联席会议或办公会决策会议讨论通过后，报总务办备案。闲置的办公科研用房应当及时交回学院。</w:t>
      </w:r>
    </w:p>
    <w:p w14:paraId="0293C416">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二级单位应当与学院签署安全责任书，建立办公科研用房（含公共区域、基础设施等）安全检查机制，确保用房管理有序和用房安全。</w:t>
      </w:r>
    </w:p>
    <w:p w14:paraId="521BEE3C">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办公科研用房的装修维修应当严格按照房屋产权单位装维修工程相关规定报批报备、组织实施。</w:t>
      </w:r>
    </w:p>
    <w:p w14:paraId="51FE3C66">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w:t>
      </w:r>
      <w:r>
        <w:rPr>
          <w:rFonts w:hint="eastAsia" w:ascii="仿宋_GB2312" w:eastAsia="仿宋_GB2312"/>
          <w:sz w:val="32"/>
          <w:szCs w:val="32"/>
        </w:rPr>
        <w:t>各二级单位应按要求向总务办提交本单位办公科研用房的年度使用情况，总务办核查评估并提交房屋领导小组审议。对存在空间闲置和资源浪费情形的，由学院收回空间，重新调配使用。</w:t>
      </w:r>
    </w:p>
    <w:p w14:paraId="702F8DB0">
      <w:pPr>
        <w:numPr>
          <w:ilvl w:val="255"/>
          <w:numId w:val="0"/>
        </w:numPr>
        <w:spacing w:line="560" w:lineRule="exact"/>
        <w:ind w:firstLine="0" w:firstLineChars="0"/>
        <w:jc w:val="center"/>
        <w:rPr>
          <w:rFonts w:hint="eastAsia" w:ascii="黑体" w:hAnsi="黑体" w:eastAsia="黑体"/>
          <w:sz w:val="32"/>
          <w:szCs w:val="32"/>
        </w:rPr>
      </w:pPr>
      <w:r>
        <w:rPr>
          <w:rFonts w:hint="eastAsia" w:ascii="黑体" w:hAnsi="黑体" w:eastAsia="黑体"/>
          <w:sz w:val="32"/>
          <w:szCs w:val="32"/>
        </w:rPr>
        <w:t>第五章</w:t>
      </w:r>
      <w:r>
        <w:rPr>
          <w:rFonts w:ascii="黑体" w:hAnsi="黑体" w:eastAsia="黑体"/>
          <w:sz w:val="32"/>
          <w:szCs w:val="32"/>
        </w:rPr>
        <w:t xml:space="preserve"> 收费</w:t>
      </w:r>
      <w:r>
        <w:rPr>
          <w:rFonts w:hint="eastAsia" w:ascii="黑体" w:hAnsi="黑体" w:eastAsia="黑体"/>
          <w:sz w:val="32"/>
          <w:szCs w:val="32"/>
        </w:rPr>
        <w:t>管理</w:t>
      </w:r>
    </w:p>
    <w:p w14:paraId="394E7BF6">
      <w:pPr>
        <w:numPr>
          <w:ilvl w:val="255"/>
          <w:numId w:val="0"/>
        </w:num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第二十四条</w:t>
      </w:r>
      <w:r>
        <w:rPr>
          <w:rFonts w:hint="eastAsia" w:ascii="仿宋_GB2312" w:hAnsi="仿宋_GB2312" w:eastAsia="仿宋_GB2312" w:cs="仿宋_GB2312"/>
          <w:sz w:val="32"/>
          <w:szCs w:val="32"/>
        </w:rPr>
        <w:t xml:space="preserve"> 学院保障基本办公用房、公共教学用房和公共服务用房需求，对研究用房及超出标准面积的用房按学院相关规定收取房屋资源调节费（以下简称调节费）。调节费收取标准</w:t>
      </w:r>
      <w:r>
        <w:rPr>
          <w:rFonts w:hint="eastAsia" w:ascii="仿宋_GB2312" w:eastAsia="仿宋_GB2312"/>
          <w:sz w:val="32"/>
          <w:szCs w:val="32"/>
        </w:rPr>
        <w:t>由学院房屋领导小组会议研究确定或调整，重大事项报党政联席会议审议。</w:t>
      </w:r>
    </w:p>
    <w:p w14:paraId="20318747">
      <w:pPr>
        <w:numPr>
          <w:ilvl w:val="255"/>
          <w:numId w:val="0"/>
        </w:num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sz w:val="32"/>
          <w:szCs w:val="32"/>
        </w:rPr>
        <w:t>第二十五条</w:t>
      </w:r>
      <w:r>
        <w:rPr>
          <w:rFonts w:hint="eastAsia" w:ascii="仿宋_GB2312" w:hAnsi="仿宋_GB2312" w:eastAsia="仿宋_GB2312" w:cs="仿宋_GB2312"/>
          <w:sz w:val="32"/>
          <w:szCs w:val="32"/>
        </w:rPr>
        <w:t xml:space="preserve"> 学院可给予调节费个性化政策支持，根据实际需要实行动态管理</w:t>
      </w:r>
      <w:r>
        <w:rPr>
          <w:rFonts w:hint="eastAsia" w:ascii="仿宋_GB2312" w:eastAsia="仿宋_GB2312"/>
          <w:sz w:val="32"/>
          <w:szCs w:val="32"/>
        </w:rPr>
        <w:t>。个性化支持政策由学院房屋领导小组会议研究决定，重大事项报党政联席会议审议。</w:t>
      </w:r>
    </w:p>
    <w:p w14:paraId="2EF0A12F">
      <w:pPr>
        <w:numPr>
          <w:ilvl w:val="255"/>
          <w:numId w:val="0"/>
        </w:num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sz w:val="32"/>
          <w:szCs w:val="32"/>
        </w:rPr>
        <w:t>第二十六条</w:t>
      </w:r>
      <w:r>
        <w:rPr>
          <w:rFonts w:hint="eastAsia" w:ascii="仿宋_GB2312" w:hAnsi="仿宋_GB2312" w:eastAsia="仿宋_GB2312" w:cs="仿宋_GB2312"/>
          <w:sz w:val="32"/>
          <w:szCs w:val="32"/>
        </w:rPr>
        <w:t xml:space="preserve"> 学院</w:t>
      </w:r>
      <w:r>
        <w:rPr>
          <w:rFonts w:hint="eastAsia" w:ascii="仿宋_GB2312" w:eastAsia="仿宋_GB2312"/>
          <w:sz w:val="32"/>
          <w:szCs w:val="32"/>
        </w:rPr>
        <w:t>按照深圳市行政事业单位收费标准收取水电空调等能耗费（以下简称能耗费），</w:t>
      </w:r>
      <w:r>
        <w:rPr>
          <w:rFonts w:hint="eastAsia" w:ascii="仿宋_GB2312" w:hAnsi="仿宋_GB2312" w:eastAsia="仿宋_GB2312" w:cs="仿宋_GB2312"/>
          <w:sz w:val="32"/>
          <w:szCs w:val="32"/>
        </w:rPr>
        <w:t>机关职能部门的办公用房免收能耗费。</w:t>
      </w:r>
    </w:p>
    <w:p w14:paraId="25C8C645">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第二十七条 </w:t>
      </w:r>
      <w:r>
        <w:rPr>
          <w:rFonts w:hint="eastAsia" w:ascii="仿宋_GB2312" w:hAnsi="仿宋_GB2312" w:eastAsia="仿宋_GB2312" w:cs="仿宋_GB2312"/>
          <w:sz w:val="32"/>
          <w:szCs w:val="32"/>
        </w:rPr>
        <w:t>总务办、财务办</w:t>
      </w:r>
      <w:r>
        <w:rPr>
          <w:rFonts w:hint="eastAsia" w:ascii="仿宋_GB2312" w:eastAsia="仿宋_GB2312"/>
          <w:sz w:val="32"/>
          <w:szCs w:val="32"/>
        </w:rPr>
        <w:t>公室（以下简称财务办）</w:t>
      </w:r>
      <w:r>
        <w:rPr>
          <w:rFonts w:hint="eastAsia" w:ascii="仿宋_GB2312" w:hAnsi="仿宋_GB2312" w:eastAsia="仿宋_GB2312" w:cs="仿宋_GB2312"/>
          <w:sz w:val="32"/>
          <w:szCs w:val="32"/>
        </w:rPr>
        <w:t>在职责范围内具体负责调节费和能耗费执收相关工作。学院面向二级单位统一收取调节费和能耗费，经总务办核定费用金额后，由财务办从二级单位指定经费项目直接划转收取。</w:t>
      </w:r>
    </w:p>
    <w:p w14:paraId="603F3C65">
      <w:pPr>
        <w:numPr>
          <w:ilvl w:val="255"/>
          <w:numId w:val="0"/>
        </w:num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第二十八条 </w:t>
      </w:r>
      <w:r>
        <w:rPr>
          <w:rFonts w:hint="eastAsia" w:ascii="仿宋_GB2312" w:hAnsi="仿宋_GB2312" w:eastAsia="仿宋_GB2312" w:cs="仿宋_GB2312"/>
          <w:sz w:val="32"/>
          <w:szCs w:val="32"/>
        </w:rPr>
        <w:t>调节费全部纳入学院预算，由学院统筹管理。</w:t>
      </w:r>
    </w:p>
    <w:p w14:paraId="4F0D7919">
      <w:pPr>
        <w:numPr>
          <w:ilvl w:val="255"/>
          <w:numId w:val="0"/>
        </w:num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第二十九条</w:t>
      </w:r>
      <w:r>
        <w:rPr>
          <w:rFonts w:hint="eastAsia" w:ascii="仿宋_GB2312" w:hAnsi="仿宋_GB2312" w:eastAsia="仿宋_GB2312" w:cs="仿宋_GB2312"/>
          <w:sz w:val="32"/>
          <w:szCs w:val="32"/>
        </w:rPr>
        <w:t xml:space="preserve"> 各二级单位可根据学院相关规定或本单位办公科研用房管理实施细则，向内部各使用主体收取调节费和能耗费。</w:t>
      </w:r>
    </w:p>
    <w:p w14:paraId="4010DE78">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第三十条 </w:t>
      </w:r>
      <w:r>
        <w:rPr>
          <w:rFonts w:hint="eastAsia" w:ascii="仿宋_GB2312" w:eastAsia="仿宋_GB2312"/>
          <w:sz w:val="32"/>
          <w:szCs w:val="32"/>
        </w:rPr>
        <w:t>房屋负责人或使用人应及时缴纳用房相关费用。欠费情况</w:t>
      </w:r>
      <w:r>
        <w:rPr>
          <w:rFonts w:hint="eastAsia" w:ascii="仿宋_GB2312" w:hAnsi="仿宋_GB2312" w:eastAsia="仿宋_GB2312" w:cs="仿宋_GB2312"/>
          <w:sz w:val="32"/>
          <w:szCs w:val="32"/>
        </w:rPr>
        <w:t>纳入二级单位年度绩效考核评价内容，二级单位</w:t>
      </w:r>
      <w:r>
        <w:rPr>
          <w:rFonts w:hint="eastAsia" w:ascii="仿宋_GB2312" w:eastAsia="仿宋_GB2312"/>
          <w:sz w:val="32"/>
          <w:szCs w:val="32"/>
        </w:rPr>
        <w:t>无故欠费半年及以上的，</w:t>
      </w:r>
      <w:r>
        <w:rPr>
          <w:rFonts w:hint="eastAsia" w:ascii="仿宋_GB2312" w:hAnsi="仿宋_GB2312" w:eastAsia="仿宋_GB2312" w:cs="仿宋_GB2312"/>
          <w:sz w:val="32"/>
          <w:szCs w:val="32"/>
        </w:rPr>
        <w:t>学院视情节轻重减少相关经费支持或核减办公科研用房配置面积。</w:t>
      </w:r>
    </w:p>
    <w:p w14:paraId="06242F17">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第三十一条 </w:t>
      </w:r>
      <w:r>
        <w:rPr>
          <w:rFonts w:hint="eastAsia" w:ascii="仿宋_GB2312" w:hAnsi="仿宋_GB2312" w:eastAsia="仿宋_GB2312" w:cs="仿宋_GB2312"/>
          <w:sz w:val="32"/>
          <w:szCs w:val="32"/>
        </w:rPr>
        <w:t>二级单位存在违反本办法相关规定的，学院视情节轻重对其给予警告、通报批评直至核减办公科研用房配置面积处理。违规违约使用办公科研用房情况纳入二级单位年度绩效考核评价内容。</w:t>
      </w:r>
    </w:p>
    <w:p w14:paraId="770B256F">
      <w:pPr>
        <w:spacing w:line="560" w:lineRule="exact"/>
        <w:ind w:firstLine="0" w:firstLineChars="0"/>
        <w:jc w:val="center"/>
        <w:rPr>
          <w:rFonts w:hint="eastAsia" w:ascii="黑体" w:hAnsi="黑体" w:eastAsia="黑体"/>
          <w:sz w:val="32"/>
          <w:szCs w:val="32"/>
        </w:rPr>
      </w:pPr>
      <w:r>
        <w:rPr>
          <w:rFonts w:hint="eastAsia" w:ascii="黑体" w:hAnsi="黑体" w:eastAsia="黑体"/>
          <w:sz w:val="32"/>
          <w:szCs w:val="32"/>
        </w:rPr>
        <w:t>第六章</w:t>
      </w:r>
      <w:r>
        <w:rPr>
          <w:rFonts w:ascii="黑体" w:hAnsi="黑体" w:eastAsia="黑体"/>
          <w:sz w:val="32"/>
          <w:szCs w:val="32"/>
        </w:rPr>
        <w:t xml:space="preserve">  </w:t>
      </w:r>
      <w:r>
        <w:rPr>
          <w:rFonts w:hint="eastAsia" w:ascii="黑体" w:hAnsi="黑体" w:eastAsia="黑体"/>
          <w:sz w:val="32"/>
          <w:szCs w:val="32"/>
        </w:rPr>
        <w:t>附  则</w:t>
      </w:r>
    </w:p>
    <w:p w14:paraId="01A809CA">
      <w:pPr>
        <w:spacing w:line="560" w:lineRule="exact"/>
        <w:ind w:firstLine="643" w:firstLineChars="200"/>
        <w:jc w:val="left"/>
        <w:rPr>
          <w:rFonts w:ascii="仿宋_GB2312" w:eastAsia="仿宋_GB2312"/>
          <w:sz w:val="32"/>
          <w:szCs w:val="32"/>
        </w:rPr>
      </w:pPr>
      <w:r>
        <w:rPr>
          <w:rFonts w:hint="eastAsia" w:ascii="仿宋_GB2312" w:hAnsi="仿宋_GB2312" w:eastAsia="仿宋_GB2312" w:cs="仿宋_GB2312"/>
          <w:b/>
          <w:bCs/>
          <w:sz w:val="32"/>
          <w:szCs w:val="32"/>
        </w:rPr>
        <w:t xml:space="preserve">第三十二条 </w:t>
      </w:r>
      <w:r>
        <w:rPr>
          <w:rFonts w:hint="eastAsia" w:ascii="仿宋_GB2312" w:eastAsia="仿宋_GB2312"/>
          <w:sz w:val="32"/>
          <w:szCs w:val="32"/>
        </w:rPr>
        <w:t>本办法由总务办负责解释。</w:t>
      </w:r>
    </w:p>
    <w:p w14:paraId="0D15B3A9">
      <w:pPr>
        <w:spacing w:line="560" w:lineRule="exact"/>
        <w:ind w:firstLine="643" w:firstLineChars="200"/>
        <w:jc w:val="left"/>
        <w:rPr>
          <w:rFonts w:ascii="Times New Roman" w:hAnsi="Times New Roman" w:eastAsia="宋体" w:cs="Times New Roman"/>
          <w:szCs w:val="24"/>
        </w:rPr>
      </w:pPr>
      <w:r>
        <w:rPr>
          <w:rFonts w:hint="eastAsia" w:ascii="仿宋_GB2312" w:hAnsi="仿宋_GB2312" w:eastAsia="仿宋_GB2312" w:cs="仿宋_GB2312"/>
          <w:b/>
          <w:bCs/>
          <w:sz w:val="32"/>
          <w:szCs w:val="32"/>
        </w:rPr>
        <w:t xml:space="preserve">第三十三条 </w:t>
      </w:r>
      <w:r>
        <w:rPr>
          <w:rFonts w:hint="eastAsia" w:ascii="仿宋_GB2312" w:eastAsia="仿宋_GB2312"/>
          <w:sz w:val="32"/>
          <w:szCs w:val="32"/>
        </w:rPr>
        <w:t>本办法自公布之日起施行，设置过渡期至2026年9月1日，过渡期内各二级单位应逐步落实本办法规定，过渡期满后，全面遵守本办法各项要求。</w:t>
      </w:r>
    </w:p>
    <w:sectPr>
      <w:headerReference r:id="rId4" w:type="first"/>
      <w:footerReference r:id="rId5" w:type="default"/>
      <w:headerReference r:id="rId3" w:type="even"/>
      <w:pgSz w:w="11906" w:h="16838"/>
      <w:pgMar w:top="1440" w:right="1800" w:bottom="1383"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946BB">
    <w:pPr>
      <w:pStyle w:val="4"/>
      <w:jc w:val="center"/>
      <w:rPr>
        <w:rFonts w:hint="default" w:ascii="Times New Roman Regular" w:hAnsi="Times New Roman Regular" w:cs="Times New Roman Regular"/>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CC75A">
                          <w:pPr>
                            <w:pStyle w:val="4"/>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- 1 -</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2CC75A">
                    <w:pPr>
                      <w:pStyle w:val="4"/>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- 1 -</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AEAE">
    <w:pPr>
      <w:pStyle w:val="5"/>
    </w:pPr>
    <w:r>
      <w:pict>
        <v:shape id="PowerPlusWaterMarkObject1556202532" o:spid="_x0000_s3074" o:spt="136" type="#_x0000_t136" style="position:absolute;left:0pt;height:146.35pt;width:439.1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审议稿"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15994">
    <w:pPr>
      <w:pStyle w:val="5"/>
    </w:pPr>
    <w:r>
      <w:pict>
        <v:shape id="PowerPlusWaterMarkObject1556202531" o:spid="_x0000_s3073" o:spt="136" type="#_x0000_t136" style="position:absolute;left:0pt;height:146.35pt;width:439.1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审议稿" style="font-family:宋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xYzQzNjE4ZmI2MGE1MzBmZTM1MDlmNWYwNWUxY2QifQ=="/>
  </w:docVars>
  <w:rsids>
    <w:rsidRoot w:val="006D5FA1"/>
    <w:rsid w:val="00002F6C"/>
    <w:rsid w:val="0000618A"/>
    <w:rsid w:val="000072ED"/>
    <w:rsid w:val="00010C74"/>
    <w:rsid w:val="00010E57"/>
    <w:rsid w:val="000112A1"/>
    <w:rsid w:val="00014654"/>
    <w:rsid w:val="00014918"/>
    <w:rsid w:val="00017E2A"/>
    <w:rsid w:val="000217B2"/>
    <w:rsid w:val="00021AA3"/>
    <w:rsid w:val="000308B7"/>
    <w:rsid w:val="00030D3F"/>
    <w:rsid w:val="0003662C"/>
    <w:rsid w:val="000377E5"/>
    <w:rsid w:val="00040AF6"/>
    <w:rsid w:val="0004404E"/>
    <w:rsid w:val="00045078"/>
    <w:rsid w:val="00045FDF"/>
    <w:rsid w:val="00051344"/>
    <w:rsid w:val="000526C5"/>
    <w:rsid w:val="0005368D"/>
    <w:rsid w:val="00061135"/>
    <w:rsid w:val="00062629"/>
    <w:rsid w:val="00062842"/>
    <w:rsid w:val="0007339A"/>
    <w:rsid w:val="00074358"/>
    <w:rsid w:val="00080E97"/>
    <w:rsid w:val="00082F49"/>
    <w:rsid w:val="000850D9"/>
    <w:rsid w:val="0009246D"/>
    <w:rsid w:val="0009793B"/>
    <w:rsid w:val="000A18B0"/>
    <w:rsid w:val="000A409F"/>
    <w:rsid w:val="000A55AA"/>
    <w:rsid w:val="000B0ADD"/>
    <w:rsid w:val="000B5D89"/>
    <w:rsid w:val="000F45DC"/>
    <w:rsid w:val="000F4BF3"/>
    <w:rsid w:val="000F6732"/>
    <w:rsid w:val="00101CAF"/>
    <w:rsid w:val="00121B98"/>
    <w:rsid w:val="0012254F"/>
    <w:rsid w:val="001248D4"/>
    <w:rsid w:val="0012735D"/>
    <w:rsid w:val="00134C34"/>
    <w:rsid w:val="001417CC"/>
    <w:rsid w:val="001422AA"/>
    <w:rsid w:val="00146608"/>
    <w:rsid w:val="00155D45"/>
    <w:rsid w:val="001607C0"/>
    <w:rsid w:val="00161CCD"/>
    <w:rsid w:val="001620CC"/>
    <w:rsid w:val="00162CC9"/>
    <w:rsid w:val="0016596D"/>
    <w:rsid w:val="00166BF8"/>
    <w:rsid w:val="001779F7"/>
    <w:rsid w:val="0018297C"/>
    <w:rsid w:val="00183D39"/>
    <w:rsid w:val="0019124A"/>
    <w:rsid w:val="001912EB"/>
    <w:rsid w:val="001914F0"/>
    <w:rsid w:val="00191B2D"/>
    <w:rsid w:val="0019200E"/>
    <w:rsid w:val="00197602"/>
    <w:rsid w:val="001A063C"/>
    <w:rsid w:val="001A1DBE"/>
    <w:rsid w:val="001A2CC3"/>
    <w:rsid w:val="001A597C"/>
    <w:rsid w:val="001B16DA"/>
    <w:rsid w:val="001C1E9C"/>
    <w:rsid w:val="001C2D46"/>
    <w:rsid w:val="001C76F2"/>
    <w:rsid w:val="001D1485"/>
    <w:rsid w:val="001D15D4"/>
    <w:rsid w:val="001D75B1"/>
    <w:rsid w:val="001E116D"/>
    <w:rsid w:val="001E474D"/>
    <w:rsid w:val="001E5583"/>
    <w:rsid w:val="001E5B7F"/>
    <w:rsid w:val="001F09FF"/>
    <w:rsid w:val="001F0FE9"/>
    <w:rsid w:val="001F1215"/>
    <w:rsid w:val="001F2142"/>
    <w:rsid w:val="001F5FB7"/>
    <w:rsid w:val="001F6B54"/>
    <w:rsid w:val="00200E02"/>
    <w:rsid w:val="00200F7A"/>
    <w:rsid w:val="0020145A"/>
    <w:rsid w:val="002028D6"/>
    <w:rsid w:val="00202BF0"/>
    <w:rsid w:val="00202C94"/>
    <w:rsid w:val="0020520D"/>
    <w:rsid w:val="002068EC"/>
    <w:rsid w:val="00214E1F"/>
    <w:rsid w:val="00221BDF"/>
    <w:rsid w:val="00225569"/>
    <w:rsid w:val="00232EAC"/>
    <w:rsid w:val="00233DD8"/>
    <w:rsid w:val="00234BDE"/>
    <w:rsid w:val="00240525"/>
    <w:rsid w:val="00242CFF"/>
    <w:rsid w:val="00242F93"/>
    <w:rsid w:val="0024521E"/>
    <w:rsid w:val="00246543"/>
    <w:rsid w:val="00250084"/>
    <w:rsid w:val="0025706E"/>
    <w:rsid w:val="00261722"/>
    <w:rsid w:val="002832DE"/>
    <w:rsid w:val="00284515"/>
    <w:rsid w:val="00287276"/>
    <w:rsid w:val="00294F24"/>
    <w:rsid w:val="002A2463"/>
    <w:rsid w:val="002A6804"/>
    <w:rsid w:val="002A7B14"/>
    <w:rsid w:val="002B1483"/>
    <w:rsid w:val="002B2F38"/>
    <w:rsid w:val="002B3DD9"/>
    <w:rsid w:val="002B5BCE"/>
    <w:rsid w:val="002C00A0"/>
    <w:rsid w:val="002C3460"/>
    <w:rsid w:val="002C4DF7"/>
    <w:rsid w:val="002C6B3B"/>
    <w:rsid w:val="002C7489"/>
    <w:rsid w:val="002D5167"/>
    <w:rsid w:val="002E070C"/>
    <w:rsid w:val="002E3C7A"/>
    <w:rsid w:val="002E6B4D"/>
    <w:rsid w:val="002F7C18"/>
    <w:rsid w:val="003035F0"/>
    <w:rsid w:val="00307214"/>
    <w:rsid w:val="00314850"/>
    <w:rsid w:val="00316762"/>
    <w:rsid w:val="00320619"/>
    <w:rsid w:val="00325696"/>
    <w:rsid w:val="00326F82"/>
    <w:rsid w:val="0033155F"/>
    <w:rsid w:val="003319EF"/>
    <w:rsid w:val="00333C5C"/>
    <w:rsid w:val="003368C3"/>
    <w:rsid w:val="00337B99"/>
    <w:rsid w:val="00341704"/>
    <w:rsid w:val="00342BB0"/>
    <w:rsid w:val="00344A50"/>
    <w:rsid w:val="00345117"/>
    <w:rsid w:val="003460B2"/>
    <w:rsid w:val="0034623A"/>
    <w:rsid w:val="00346E9C"/>
    <w:rsid w:val="00351300"/>
    <w:rsid w:val="0035492E"/>
    <w:rsid w:val="00373054"/>
    <w:rsid w:val="003741AA"/>
    <w:rsid w:val="003835FE"/>
    <w:rsid w:val="00394F6C"/>
    <w:rsid w:val="003958DD"/>
    <w:rsid w:val="003A6BDC"/>
    <w:rsid w:val="003A7315"/>
    <w:rsid w:val="003B0EE1"/>
    <w:rsid w:val="003B1295"/>
    <w:rsid w:val="003B1500"/>
    <w:rsid w:val="003B35C8"/>
    <w:rsid w:val="003B5CAE"/>
    <w:rsid w:val="003B6B3D"/>
    <w:rsid w:val="003B6BAC"/>
    <w:rsid w:val="003C3214"/>
    <w:rsid w:val="003C7E6E"/>
    <w:rsid w:val="003D07BB"/>
    <w:rsid w:val="003D21DD"/>
    <w:rsid w:val="003D35A4"/>
    <w:rsid w:val="003D3708"/>
    <w:rsid w:val="003E04E8"/>
    <w:rsid w:val="003E3EC7"/>
    <w:rsid w:val="003E466E"/>
    <w:rsid w:val="003E4802"/>
    <w:rsid w:val="00402C21"/>
    <w:rsid w:val="004040BB"/>
    <w:rsid w:val="0041360F"/>
    <w:rsid w:val="0042258B"/>
    <w:rsid w:val="00431859"/>
    <w:rsid w:val="004423CA"/>
    <w:rsid w:val="00442E19"/>
    <w:rsid w:val="00450567"/>
    <w:rsid w:val="0045600B"/>
    <w:rsid w:val="00460A47"/>
    <w:rsid w:val="00463F81"/>
    <w:rsid w:val="004666E3"/>
    <w:rsid w:val="00467F73"/>
    <w:rsid w:val="004715EE"/>
    <w:rsid w:val="004733ED"/>
    <w:rsid w:val="00476585"/>
    <w:rsid w:val="00482439"/>
    <w:rsid w:val="004833D1"/>
    <w:rsid w:val="004A4B49"/>
    <w:rsid w:val="004A7C37"/>
    <w:rsid w:val="004B4D52"/>
    <w:rsid w:val="004B5C79"/>
    <w:rsid w:val="004C0C9C"/>
    <w:rsid w:val="004D498A"/>
    <w:rsid w:val="004D5EF7"/>
    <w:rsid w:val="004D707C"/>
    <w:rsid w:val="004E5A5B"/>
    <w:rsid w:val="004F09BA"/>
    <w:rsid w:val="004F2AB1"/>
    <w:rsid w:val="00500D5A"/>
    <w:rsid w:val="005010AD"/>
    <w:rsid w:val="005015FE"/>
    <w:rsid w:val="0050213E"/>
    <w:rsid w:val="00502208"/>
    <w:rsid w:val="00503ACA"/>
    <w:rsid w:val="005105A7"/>
    <w:rsid w:val="00513409"/>
    <w:rsid w:val="00521F9D"/>
    <w:rsid w:val="00524F79"/>
    <w:rsid w:val="0052735D"/>
    <w:rsid w:val="0052778B"/>
    <w:rsid w:val="00531382"/>
    <w:rsid w:val="005325AC"/>
    <w:rsid w:val="00536680"/>
    <w:rsid w:val="00540B3C"/>
    <w:rsid w:val="00571D81"/>
    <w:rsid w:val="005747B9"/>
    <w:rsid w:val="005771A5"/>
    <w:rsid w:val="00581947"/>
    <w:rsid w:val="00582267"/>
    <w:rsid w:val="00584159"/>
    <w:rsid w:val="00587240"/>
    <w:rsid w:val="00587F0A"/>
    <w:rsid w:val="00590A57"/>
    <w:rsid w:val="005967D3"/>
    <w:rsid w:val="005A4FF8"/>
    <w:rsid w:val="005A697C"/>
    <w:rsid w:val="005A6B37"/>
    <w:rsid w:val="005B429A"/>
    <w:rsid w:val="005B4303"/>
    <w:rsid w:val="005B6775"/>
    <w:rsid w:val="005B7772"/>
    <w:rsid w:val="005C3B04"/>
    <w:rsid w:val="005C4576"/>
    <w:rsid w:val="005C58DF"/>
    <w:rsid w:val="005D483D"/>
    <w:rsid w:val="005F3CAA"/>
    <w:rsid w:val="005F6266"/>
    <w:rsid w:val="0060377F"/>
    <w:rsid w:val="00603BD9"/>
    <w:rsid w:val="00604092"/>
    <w:rsid w:val="006142D3"/>
    <w:rsid w:val="00614AAF"/>
    <w:rsid w:val="006165CB"/>
    <w:rsid w:val="00621F22"/>
    <w:rsid w:val="00622766"/>
    <w:rsid w:val="00624417"/>
    <w:rsid w:val="00627A0A"/>
    <w:rsid w:val="00631076"/>
    <w:rsid w:val="00631A72"/>
    <w:rsid w:val="0063650A"/>
    <w:rsid w:val="0063690E"/>
    <w:rsid w:val="00637BC8"/>
    <w:rsid w:val="0064182A"/>
    <w:rsid w:val="00643206"/>
    <w:rsid w:val="00645B3B"/>
    <w:rsid w:val="00645FDA"/>
    <w:rsid w:val="00652D8C"/>
    <w:rsid w:val="00655D95"/>
    <w:rsid w:val="00666709"/>
    <w:rsid w:val="00673F15"/>
    <w:rsid w:val="00674173"/>
    <w:rsid w:val="00674B48"/>
    <w:rsid w:val="00681FA3"/>
    <w:rsid w:val="00683724"/>
    <w:rsid w:val="00686206"/>
    <w:rsid w:val="00691259"/>
    <w:rsid w:val="00695708"/>
    <w:rsid w:val="0069676A"/>
    <w:rsid w:val="006A5200"/>
    <w:rsid w:val="006A596A"/>
    <w:rsid w:val="006B6011"/>
    <w:rsid w:val="006C0923"/>
    <w:rsid w:val="006C2E9F"/>
    <w:rsid w:val="006C354C"/>
    <w:rsid w:val="006C3DEB"/>
    <w:rsid w:val="006C494D"/>
    <w:rsid w:val="006D0D29"/>
    <w:rsid w:val="006D1B65"/>
    <w:rsid w:val="006D352F"/>
    <w:rsid w:val="006D5FA1"/>
    <w:rsid w:val="006D72ED"/>
    <w:rsid w:val="006D7A45"/>
    <w:rsid w:val="006F4088"/>
    <w:rsid w:val="006F6E3C"/>
    <w:rsid w:val="00705ADC"/>
    <w:rsid w:val="0070676A"/>
    <w:rsid w:val="00711235"/>
    <w:rsid w:val="00711E81"/>
    <w:rsid w:val="00712583"/>
    <w:rsid w:val="00714B0D"/>
    <w:rsid w:val="0073178A"/>
    <w:rsid w:val="007356DC"/>
    <w:rsid w:val="00737E46"/>
    <w:rsid w:val="00740059"/>
    <w:rsid w:val="00743A3E"/>
    <w:rsid w:val="00744185"/>
    <w:rsid w:val="00752A7B"/>
    <w:rsid w:val="00757425"/>
    <w:rsid w:val="007579EC"/>
    <w:rsid w:val="00760AED"/>
    <w:rsid w:val="0077354F"/>
    <w:rsid w:val="00774140"/>
    <w:rsid w:val="00774B21"/>
    <w:rsid w:val="007831A6"/>
    <w:rsid w:val="00797160"/>
    <w:rsid w:val="007A0F68"/>
    <w:rsid w:val="007A2EFE"/>
    <w:rsid w:val="007A6AA0"/>
    <w:rsid w:val="007B1EED"/>
    <w:rsid w:val="007C0660"/>
    <w:rsid w:val="007C0EC1"/>
    <w:rsid w:val="007C2A64"/>
    <w:rsid w:val="007C3612"/>
    <w:rsid w:val="007C42AC"/>
    <w:rsid w:val="007D44B0"/>
    <w:rsid w:val="007D4B88"/>
    <w:rsid w:val="007D5885"/>
    <w:rsid w:val="007D657D"/>
    <w:rsid w:val="007D72DF"/>
    <w:rsid w:val="007E6CF5"/>
    <w:rsid w:val="007E7988"/>
    <w:rsid w:val="007F0584"/>
    <w:rsid w:val="007F189D"/>
    <w:rsid w:val="007F5BC6"/>
    <w:rsid w:val="008061D6"/>
    <w:rsid w:val="00806761"/>
    <w:rsid w:val="008102F3"/>
    <w:rsid w:val="008111FB"/>
    <w:rsid w:val="008129C3"/>
    <w:rsid w:val="008137A8"/>
    <w:rsid w:val="008139A3"/>
    <w:rsid w:val="008142C2"/>
    <w:rsid w:val="0081595E"/>
    <w:rsid w:val="008225FC"/>
    <w:rsid w:val="00834EA6"/>
    <w:rsid w:val="00836968"/>
    <w:rsid w:val="008403F7"/>
    <w:rsid w:val="00842879"/>
    <w:rsid w:val="00860C51"/>
    <w:rsid w:val="0086367B"/>
    <w:rsid w:val="00863CC4"/>
    <w:rsid w:val="008645A0"/>
    <w:rsid w:val="00873152"/>
    <w:rsid w:val="00881940"/>
    <w:rsid w:val="00885C6D"/>
    <w:rsid w:val="0088621B"/>
    <w:rsid w:val="008868C9"/>
    <w:rsid w:val="0089074B"/>
    <w:rsid w:val="008929EC"/>
    <w:rsid w:val="008948C8"/>
    <w:rsid w:val="0089541A"/>
    <w:rsid w:val="008973C5"/>
    <w:rsid w:val="008A0A4A"/>
    <w:rsid w:val="008A2C63"/>
    <w:rsid w:val="008A67FE"/>
    <w:rsid w:val="008B1275"/>
    <w:rsid w:val="008B5089"/>
    <w:rsid w:val="008B5741"/>
    <w:rsid w:val="008C1FFE"/>
    <w:rsid w:val="008C7C97"/>
    <w:rsid w:val="008D4431"/>
    <w:rsid w:val="008D6EA6"/>
    <w:rsid w:val="008E124F"/>
    <w:rsid w:val="008F38EC"/>
    <w:rsid w:val="008F666C"/>
    <w:rsid w:val="0090381A"/>
    <w:rsid w:val="00905946"/>
    <w:rsid w:val="009074E7"/>
    <w:rsid w:val="0091255A"/>
    <w:rsid w:val="009128CF"/>
    <w:rsid w:val="0092098E"/>
    <w:rsid w:val="009258C0"/>
    <w:rsid w:val="00925C85"/>
    <w:rsid w:val="00925ED4"/>
    <w:rsid w:val="009270AD"/>
    <w:rsid w:val="00950691"/>
    <w:rsid w:val="00955074"/>
    <w:rsid w:val="00957C1A"/>
    <w:rsid w:val="00962530"/>
    <w:rsid w:val="00962727"/>
    <w:rsid w:val="009639DA"/>
    <w:rsid w:val="00976A88"/>
    <w:rsid w:val="00980B05"/>
    <w:rsid w:val="00983EA0"/>
    <w:rsid w:val="0098580F"/>
    <w:rsid w:val="00986E34"/>
    <w:rsid w:val="009916E5"/>
    <w:rsid w:val="0099295F"/>
    <w:rsid w:val="009B61CC"/>
    <w:rsid w:val="009B71C9"/>
    <w:rsid w:val="009C5D19"/>
    <w:rsid w:val="009C6725"/>
    <w:rsid w:val="009C752F"/>
    <w:rsid w:val="009D3062"/>
    <w:rsid w:val="009D39A7"/>
    <w:rsid w:val="009D4B01"/>
    <w:rsid w:val="009D6C70"/>
    <w:rsid w:val="009D7B85"/>
    <w:rsid w:val="009E06DC"/>
    <w:rsid w:val="009E242B"/>
    <w:rsid w:val="009E34AD"/>
    <w:rsid w:val="009E6C47"/>
    <w:rsid w:val="009E6CC0"/>
    <w:rsid w:val="009E7A2E"/>
    <w:rsid w:val="009F11A7"/>
    <w:rsid w:val="009F6C82"/>
    <w:rsid w:val="00A0091E"/>
    <w:rsid w:val="00A040D8"/>
    <w:rsid w:val="00A050CA"/>
    <w:rsid w:val="00A05599"/>
    <w:rsid w:val="00A05D61"/>
    <w:rsid w:val="00A06261"/>
    <w:rsid w:val="00A066FB"/>
    <w:rsid w:val="00A12CFD"/>
    <w:rsid w:val="00A16719"/>
    <w:rsid w:val="00A209C4"/>
    <w:rsid w:val="00A21D9E"/>
    <w:rsid w:val="00A2258B"/>
    <w:rsid w:val="00A24EA7"/>
    <w:rsid w:val="00A31BB3"/>
    <w:rsid w:val="00A32828"/>
    <w:rsid w:val="00A32CA5"/>
    <w:rsid w:val="00A34489"/>
    <w:rsid w:val="00A35535"/>
    <w:rsid w:val="00A3637A"/>
    <w:rsid w:val="00A42E5F"/>
    <w:rsid w:val="00A44812"/>
    <w:rsid w:val="00A45B31"/>
    <w:rsid w:val="00A4610B"/>
    <w:rsid w:val="00A504C8"/>
    <w:rsid w:val="00A50D07"/>
    <w:rsid w:val="00A561D8"/>
    <w:rsid w:val="00A565E8"/>
    <w:rsid w:val="00A6222C"/>
    <w:rsid w:val="00A67042"/>
    <w:rsid w:val="00A70D5F"/>
    <w:rsid w:val="00A70F04"/>
    <w:rsid w:val="00A71820"/>
    <w:rsid w:val="00A73181"/>
    <w:rsid w:val="00A77F6A"/>
    <w:rsid w:val="00A9085A"/>
    <w:rsid w:val="00A95FE6"/>
    <w:rsid w:val="00A97512"/>
    <w:rsid w:val="00AA7B29"/>
    <w:rsid w:val="00AB5DE1"/>
    <w:rsid w:val="00AB6D0E"/>
    <w:rsid w:val="00AB7CCA"/>
    <w:rsid w:val="00AC0E13"/>
    <w:rsid w:val="00AC0F73"/>
    <w:rsid w:val="00AC1C99"/>
    <w:rsid w:val="00AC299B"/>
    <w:rsid w:val="00AC31DF"/>
    <w:rsid w:val="00AC6906"/>
    <w:rsid w:val="00AC6E3E"/>
    <w:rsid w:val="00AC7300"/>
    <w:rsid w:val="00AD1F8C"/>
    <w:rsid w:val="00AD251B"/>
    <w:rsid w:val="00AD4460"/>
    <w:rsid w:val="00AF60F7"/>
    <w:rsid w:val="00B00D42"/>
    <w:rsid w:val="00B05B9A"/>
    <w:rsid w:val="00B07F6C"/>
    <w:rsid w:val="00B1072B"/>
    <w:rsid w:val="00B172BF"/>
    <w:rsid w:val="00B20280"/>
    <w:rsid w:val="00B208AE"/>
    <w:rsid w:val="00B2669B"/>
    <w:rsid w:val="00B30C1F"/>
    <w:rsid w:val="00B344F9"/>
    <w:rsid w:val="00B41B78"/>
    <w:rsid w:val="00B42BBF"/>
    <w:rsid w:val="00B47B73"/>
    <w:rsid w:val="00B5566B"/>
    <w:rsid w:val="00B56A00"/>
    <w:rsid w:val="00B570CE"/>
    <w:rsid w:val="00B6170E"/>
    <w:rsid w:val="00B6237C"/>
    <w:rsid w:val="00B671F7"/>
    <w:rsid w:val="00B70CF1"/>
    <w:rsid w:val="00B71098"/>
    <w:rsid w:val="00B83C24"/>
    <w:rsid w:val="00B91FC3"/>
    <w:rsid w:val="00B92AE0"/>
    <w:rsid w:val="00BA0379"/>
    <w:rsid w:val="00BA1210"/>
    <w:rsid w:val="00BA4730"/>
    <w:rsid w:val="00BA522E"/>
    <w:rsid w:val="00BA7599"/>
    <w:rsid w:val="00BB04DA"/>
    <w:rsid w:val="00BB4AC8"/>
    <w:rsid w:val="00BC7A28"/>
    <w:rsid w:val="00BC7ED6"/>
    <w:rsid w:val="00BD0B29"/>
    <w:rsid w:val="00BD15C6"/>
    <w:rsid w:val="00BD1F0F"/>
    <w:rsid w:val="00BD26A7"/>
    <w:rsid w:val="00BD2A4A"/>
    <w:rsid w:val="00BD565D"/>
    <w:rsid w:val="00BD6CC4"/>
    <w:rsid w:val="00BD726A"/>
    <w:rsid w:val="00BE1214"/>
    <w:rsid w:val="00BE3D73"/>
    <w:rsid w:val="00BF4EE4"/>
    <w:rsid w:val="00BF63C5"/>
    <w:rsid w:val="00BF7EB3"/>
    <w:rsid w:val="00C05B81"/>
    <w:rsid w:val="00C061A0"/>
    <w:rsid w:val="00C10B3F"/>
    <w:rsid w:val="00C13E98"/>
    <w:rsid w:val="00C21671"/>
    <w:rsid w:val="00C24853"/>
    <w:rsid w:val="00C34895"/>
    <w:rsid w:val="00C36742"/>
    <w:rsid w:val="00C413BC"/>
    <w:rsid w:val="00C4176B"/>
    <w:rsid w:val="00C42B53"/>
    <w:rsid w:val="00C45623"/>
    <w:rsid w:val="00C462CC"/>
    <w:rsid w:val="00C5208E"/>
    <w:rsid w:val="00C551CB"/>
    <w:rsid w:val="00C55AB5"/>
    <w:rsid w:val="00C55E73"/>
    <w:rsid w:val="00C56B38"/>
    <w:rsid w:val="00C56FC1"/>
    <w:rsid w:val="00C62E9A"/>
    <w:rsid w:val="00C73D42"/>
    <w:rsid w:val="00C83168"/>
    <w:rsid w:val="00C951B4"/>
    <w:rsid w:val="00CA284B"/>
    <w:rsid w:val="00CA2941"/>
    <w:rsid w:val="00CA4F76"/>
    <w:rsid w:val="00CA5097"/>
    <w:rsid w:val="00CB6292"/>
    <w:rsid w:val="00CC001F"/>
    <w:rsid w:val="00CC43E6"/>
    <w:rsid w:val="00CC4B56"/>
    <w:rsid w:val="00CD5ABD"/>
    <w:rsid w:val="00CD69BA"/>
    <w:rsid w:val="00CE0E81"/>
    <w:rsid w:val="00CE126C"/>
    <w:rsid w:val="00CE3537"/>
    <w:rsid w:val="00CE6E14"/>
    <w:rsid w:val="00CE7FC7"/>
    <w:rsid w:val="00D04E3D"/>
    <w:rsid w:val="00D146BD"/>
    <w:rsid w:val="00D15296"/>
    <w:rsid w:val="00D223D9"/>
    <w:rsid w:val="00D350F2"/>
    <w:rsid w:val="00D4627C"/>
    <w:rsid w:val="00D46DFE"/>
    <w:rsid w:val="00D50348"/>
    <w:rsid w:val="00D50A80"/>
    <w:rsid w:val="00D535CE"/>
    <w:rsid w:val="00D55CD2"/>
    <w:rsid w:val="00D61D4D"/>
    <w:rsid w:val="00D63B43"/>
    <w:rsid w:val="00D70AA7"/>
    <w:rsid w:val="00D72D1B"/>
    <w:rsid w:val="00D7340E"/>
    <w:rsid w:val="00D754FA"/>
    <w:rsid w:val="00D7642D"/>
    <w:rsid w:val="00D81313"/>
    <w:rsid w:val="00D82578"/>
    <w:rsid w:val="00D840DC"/>
    <w:rsid w:val="00D873DC"/>
    <w:rsid w:val="00D93969"/>
    <w:rsid w:val="00D94D0C"/>
    <w:rsid w:val="00D953D1"/>
    <w:rsid w:val="00D974CB"/>
    <w:rsid w:val="00DA201F"/>
    <w:rsid w:val="00DA2CEB"/>
    <w:rsid w:val="00DB1B17"/>
    <w:rsid w:val="00DB1DB5"/>
    <w:rsid w:val="00DB24E5"/>
    <w:rsid w:val="00DB4355"/>
    <w:rsid w:val="00DB7C48"/>
    <w:rsid w:val="00DC133D"/>
    <w:rsid w:val="00DC1457"/>
    <w:rsid w:val="00DC232B"/>
    <w:rsid w:val="00DC37F5"/>
    <w:rsid w:val="00DD028A"/>
    <w:rsid w:val="00DE073C"/>
    <w:rsid w:val="00DE4603"/>
    <w:rsid w:val="00DF5B8A"/>
    <w:rsid w:val="00E00B05"/>
    <w:rsid w:val="00E02DD0"/>
    <w:rsid w:val="00E03E0E"/>
    <w:rsid w:val="00E040E2"/>
    <w:rsid w:val="00E06961"/>
    <w:rsid w:val="00E10C3C"/>
    <w:rsid w:val="00E1407D"/>
    <w:rsid w:val="00E16917"/>
    <w:rsid w:val="00E2158F"/>
    <w:rsid w:val="00E31BEE"/>
    <w:rsid w:val="00E462C0"/>
    <w:rsid w:val="00E539F3"/>
    <w:rsid w:val="00E5706B"/>
    <w:rsid w:val="00E6068D"/>
    <w:rsid w:val="00E60EF2"/>
    <w:rsid w:val="00E624E0"/>
    <w:rsid w:val="00E6285C"/>
    <w:rsid w:val="00E66E06"/>
    <w:rsid w:val="00E717A4"/>
    <w:rsid w:val="00E80B5A"/>
    <w:rsid w:val="00E8426B"/>
    <w:rsid w:val="00E8435F"/>
    <w:rsid w:val="00E86CA1"/>
    <w:rsid w:val="00E87FB4"/>
    <w:rsid w:val="00E9555B"/>
    <w:rsid w:val="00EA6511"/>
    <w:rsid w:val="00EA7FEB"/>
    <w:rsid w:val="00EB1230"/>
    <w:rsid w:val="00EB2E90"/>
    <w:rsid w:val="00EB4208"/>
    <w:rsid w:val="00EB6C39"/>
    <w:rsid w:val="00EC180F"/>
    <w:rsid w:val="00EC4454"/>
    <w:rsid w:val="00EC69CD"/>
    <w:rsid w:val="00ED035C"/>
    <w:rsid w:val="00ED2351"/>
    <w:rsid w:val="00ED3C46"/>
    <w:rsid w:val="00ED43DF"/>
    <w:rsid w:val="00ED44FE"/>
    <w:rsid w:val="00ED7377"/>
    <w:rsid w:val="00EE441E"/>
    <w:rsid w:val="00EE4A3F"/>
    <w:rsid w:val="00EF0A0D"/>
    <w:rsid w:val="00EF3656"/>
    <w:rsid w:val="00EF39ED"/>
    <w:rsid w:val="00F01C4F"/>
    <w:rsid w:val="00F02047"/>
    <w:rsid w:val="00F14CC4"/>
    <w:rsid w:val="00F24316"/>
    <w:rsid w:val="00F2447D"/>
    <w:rsid w:val="00F251B1"/>
    <w:rsid w:val="00F302D5"/>
    <w:rsid w:val="00F3381C"/>
    <w:rsid w:val="00F341B9"/>
    <w:rsid w:val="00F366AC"/>
    <w:rsid w:val="00F435C4"/>
    <w:rsid w:val="00F46275"/>
    <w:rsid w:val="00F50996"/>
    <w:rsid w:val="00F50A25"/>
    <w:rsid w:val="00F57904"/>
    <w:rsid w:val="00F66035"/>
    <w:rsid w:val="00F67F00"/>
    <w:rsid w:val="00F700E0"/>
    <w:rsid w:val="00F71EB9"/>
    <w:rsid w:val="00F723D6"/>
    <w:rsid w:val="00F73209"/>
    <w:rsid w:val="00F74157"/>
    <w:rsid w:val="00F751A5"/>
    <w:rsid w:val="00F81831"/>
    <w:rsid w:val="00F8280B"/>
    <w:rsid w:val="00F9458C"/>
    <w:rsid w:val="00F94A84"/>
    <w:rsid w:val="00FA07EA"/>
    <w:rsid w:val="00FA0A25"/>
    <w:rsid w:val="00FA0D90"/>
    <w:rsid w:val="00FA50FE"/>
    <w:rsid w:val="00FA544B"/>
    <w:rsid w:val="00FA702B"/>
    <w:rsid w:val="00FA79DD"/>
    <w:rsid w:val="00FB0151"/>
    <w:rsid w:val="00FB1C59"/>
    <w:rsid w:val="00FB2849"/>
    <w:rsid w:val="00FB3CE6"/>
    <w:rsid w:val="00FB57D4"/>
    <w:rsid w:val="00FC2544"/>
    <w:rsid w:val="00FC3698"/>
    <w:rsid w:val="00FC704E"/>
    <w:rsid w:val="00FD03E0"/>
    <w:rsid w:val="00FD5306"/>
    <w:rsid w:val="00FE1059"/>
    <w:rsid w:val="00FE1918"/>
    <w:rsid w:val="00FE3E79"/>
    <w:rsid w:val="00FE6C6F"/>
    <w:rsid w:val="00FF181D"/>
    <w:rsid w:val="00FF36E5"/>
    <w:rsid w:val="00FF74D7"/>
    <w:rsid w:val="011E6BDD"/>
    <w:rsid w:val="01303AC5"/>
    <w:rsid w:val="01CB731F"/>
    <w:rsid w:val="035D5D33"/>
    <w:rsid w:val="043C790F"/>
    <w:rsid w:val="04423ACD"/>
    <w:rsid w:val="061E51DC"/>
    <w:rsid w:val="06A11854"/>
    <w:rsid w:val="085D74A5"/>
    <w:rsid w:val="08651461"/>
    <w:rsid w:val="092B61C3"/>
    <w:rsid w:val="095A2DD9"/>
    <w:rsid w:val="097C636A"/>
    <w:rsid w:val="0A2E0D63"/>
    <w:rsid w:val="0A782765"/>
    <w:rsid w:val="0BD0037E"/>
    <w:rsid w:val="0C9D0ECE"/>
    <w:rsid w:val="0CDC3332"/>
    <w:rsid w:val="0D3F3A0E"/>
    <w:rsid w:val="0D5749B7"/>
    <w:rsid w:val="0D6F5E50"/>
    <w:rsid w:val="0E010CC3"/>
    <w:rsid w:val="0E120BFE"/>
    <w:rsid w:val="0E2933E4"/>
    <w:rsid w:val="0E6D0825"/>
    <w:rsid w:val="0E8E4FC6"/>
    <w:rsid w:val="0EEC36A1"/>
    <w:rsid w:val="0F1D38DB"/>
    <w:rsid w:val="0FC750D0"/>
    <w:rsid w:val="0FCB3337"/>
    <w:rsid w:val="1080453A"/>
    <w:rsid w:val="1232512F"/>
    <w:rsid w:val="12AB56A1"/>
    <w:rsid w:val="130F5FE2"/>
    <w:rsid w:val="137C668E"/>
    <w:rsid w:val="13F07810"/>
    <w:rsid w:val="15022121"/>
    <w:rsid w:val="154C6CC8"/>
    <w:rsid w:val="16347DC8"/>
    <w:rsid w:val="165A5692"/>
    <w:rsid w:val="167F4E7B"/>
    <w:rsid w:val="169A2C55"/>
    <w:rsid w:val="172F02DA"/>
    <w:rsid w:val="174A7237"/>
    <w:rsid w:val="18A1557C"/>
    <w:rsid w:val="18F22AC9"/>
    <w:rsid w:val="195510F0"/>
    <w:rsid w:val="1A385A6D"/>
    <w:rsid w:val="1B0B3181"/>
    <w:rsid w:val="1C92517D"/>
    <w:rsid w:val="1CE24D8D"/>
    <w:rsid w:val="1D1F5494"/>
    <w:rsid w:val="1EE937D9"/>
    <w:rsid w:val="1EFF4DAB"/>
    <w:rsid w:val="1F6966C8"/>
    <w:rsid w:val="1F7D3499"/>
    <w:rsid w:val="20A0436C"/>
    <w:rsid w:val="213264FE"/>
    <w:rsid w:val="216A025F"/>
    <w:rsid w:val="228F4698"/>
    <w:rsid w:val="22931781"/>
    <w:rsid w:val="22E77605"/>
    <w:rsid w:val="2377747B"/>
    <w:rsid w:val="241D71F3"/>
    <w:rsid w:val="25DD571A"/>
    <w:rsid w:val="26B91CE3"/>
    <w:rsid w:val="2713289D"/>
    <w:rsid w:val="27B16E5E"/>
    <w:rsid w:val="28700AC7"/>
    <w:rsid w:val="28E01FCA"/>
    <w:rsid w:val="29E7757D"/>
    <w:rsid w:val="2ACF13C7"/>
    <w:rsid w:val="2B781BDC"/>
    <w:rsid w:val="2D0615B8"/>
    <w:rsid w:val="2D2F2CFF"/>
    <w:rsid w:val="2D2F75CB"/>
    <w:rsid w:val="2DAB7EBB"/>
    <w:rsid w:val="2E0421ED"/>
    <w:rsid w:val="2E772CC7"/>
    <w:rsid w:val="2E9E0D26"/>
    <w:rsid w:val="2EF52E8E"/>
    <w:rsid w:val="31BB4D3B"/>
    <w:rsid w:val="322F554F"/>
    <w:rsid w:val="32FE58F0"/>
    <w:rsid w:val="339301F4"/>
    <w:rsid w:val="350D5D28"/>
    <w:rsid w:val="35920677"/>
    <w:rsid w:val="36320CE6"/>
    <w:rsid w:val="376067CD"/>
    <w:rsid w:val="37DA50A1"/>
    <w:rsid w:val="388A1731"/>
    <w:rsid w:val="38DF5358"/>
    <w:rsid w:val="398831DF"/>
    <w:rsid w:val="39AD169F"/>
    <w:rsid w:val="39F92AE4"/>
    <w:rsid w:val="3A3C4CAD"/>
    <w:rsid w:val="3AC17579"/>
    <w:rsid w:val="3ACB0C6E"/>
    <w:rsid w:val="3B255741"/>
    <w:rsid w:val="3BBD3634"/>
    <w:rsid w:val="3C2D4686"/>
    <w:rsid w:val="3C4816E7"/>
    <w:rsid w:val="3D29776B"/>
    <w:rsid w:val="3DED40C4"/>
    <w:rsid w:val="3E38233A"/>
    <w:rsid w:val="3EA846BF"/>
    <w:rsid w:val="3EDA6843"/>
    <w:rsid w:val="3FC95A5B"/>
    <w:rsid w:val="4007424B"/>
    <w:rsid w:val="40673856"/>
    <w:rsid w:val="412E46FA"/>
    <w:rsid w:val="429D02B3"/>
    <w:rsid w:val="438A0837"/>
    <w:rsid w:val="43FD725B"/>
    <w:rsid w:val="457E1AFA"/>
    <w:rsid w:val="46734616"/>
    <w:rsid w:val="48751EF0"/>
    <w:rsid w:val="48BD4DF3"/>
    <w:rsid w:val="490816EB"/>
    <w:rsid w:val="495A0CAC"/>
    <w:rsid w:val="49957C26"/>
    <w:rsid w:val="49A5461D"/>
    <w:rsid w:val="4A20565E"/>
    <w:rsid w:val="4A987CDE"/>
    <w:rsid w:val="4AB50890"/>
    <w:rsid w:val="4B8D5369"/>
    <w:rsid w:val="4BC15012"/>
    <w:rsid w:val="4DA734EC"/>
    <w:rsid w:val="4E5008D0"/>
    <w:rsid w:val="4F4F7C8A"/>
    <w:rsid w:val="4F6106A5"/>
    <w:rsid w:val="4F625F85"/>
    <w:rsid w:val="50574197"/>
    <w:rsid w:val="50915F3A"/>
    <w:rsid w:val="518014CC"/>
    <w:rsid w:val="52F83A10"/>
    <w:rsid w:val="53035CDB"/>
    <w:rsid w:val="53057EDB"/>
    <w:rsid w:val="53370970"/>
    <w:rsid w:val="53B21D92"/>
    <w:rsid w:val="53D44CA5"/>
    <w:rsid w:val="556D740E"/>
    <w:rsid w:val="56097CE2"/>
    <w:rsid w:val="56C719CF"/>
    <w:rsid w:val="56D906E3"/>
    <w:rsid w:val="58112E7E"/>
    <w:rsid w:val="5819155B"/>
    <w:rsid w:val="593E4146"/>
    <w:rsid w:val="5A783688"/>
    <w:rsid w:val="5A9D07BD"/>
    <w:rsid w:val="5B5F03A4"/>
    <w:rsid w:val="5BA54009"/>
    <w:rsid w:val="5BBB2851"/>
    <w:rsid w:val="5BE074E4"/>
    <w:rsid w:val="5BEA5EBF"/>
    <w:rsid w:val="5C0C22DA"/>
    <w:rsid w:val="5C0F20BF"/>
    <w:rsid w:val="5D22391F"/>
    <w:rsid w:val="5D48322B"/>
    <w:rsid w:val="5EBB1D95"/>
    <w:rsid w:val="5F266F2E"/>
    <w:rsid w:val="5FF76247"/>
    <w:rsid w:val="603040BD"/>
    <w:rsid w:val="60533BC0"/>
    <w:rsid w:val="60602184"/>
    <w:rsid w:val="60A85646"/>
    <w:rsid w:val="610D3E8D"/>
    <w:rsid w:val="611474B0"/>
    <w:rsid w:val="611E6E84"/>
    <w:rsid w:val="614248F6"/>
    <w:rsid w:val="6171759B"/>
    <w:rsid w:val="63104805"/>
    <w:rsid w:val="63386C93"/>
    <w:rsid w:val="633914DA"/>
    <w:rsid w:val="635602DE"/>
    <w:rsid w:val="63A04620"/>
    <w:rsid w:val="640815D9"/>
    <w:rsid w:val="64144421"/>
    <w:rsid w:val="648E19C9"/>
    <w:rsid w:val="64CB12A9"/>
    <w:rsid w:val="64F47DAF"/>
    <w:rsid w:val="65F1643A"/>
    <w:rsid w:val="660E6C4E"/>
    <w:rsid w:val="67061BE4"/>
    <w:rsid w:val="676102AC"/>
    <w:rsid w:val="679C2639"/>
    <w:rsid w:val="687D7E7B"/>
    <w:rsid w:val="68A67612"/>
    <w:rsid w:val="697B0A9F"/>
    <w:rsid w:val="697B6F6D"/>
    <w:rsid w:val="6A042C87"/>
    <w:rsid w:val="6A161774"/>
    <w:rsid w:val="6A197ABD"/>
    <w:rsid w:val="6A5550C4"/>
    <w:rsid w:val="6BF41732"/>
    <w:rsid w:val="6C24541E"/>
    <w:rsid w:val="6C2E6299"/>
    <w:rsid w:val="6C2F5A1E"/>
    <w:rsid w:val="6C4411EA"/>
    <w:rsid w:val="6CCB5899"/>
    <w:rsid w:val="6F1F1092"/>
    <w:rsid w:val="6FF72935"/>
    <w:rsid w:val="700B1B6D"/>
    <w:rsid w:val="702C48A1"/>
    <w:rsid w:val="70710506"/>
    <w:rsid w:val="72B54480"/>
    <w:rsid w:val="72BF4491"/>
    <w:rsid w:val="72D93E7A"/>
    <w:rsid w:val="73B33CED"/>
    <w:rsid w:val="74033B6B"/>
    <w:rsid w:val="740458CC"/>
    <w:rsid w:val="741C4C2C"/>
    <w:rsid w:val="74F07EF6"/>
    <w:rsid w:val="74F47319"/>
    <w:rsid w:val="757F11F4"/>
    <w:rsid w:val="75B9646B"/>
    <w:rsid w:val="76DE441B"/>
    <w:rsid w:val="772E0EFE"/>
    <w:rsid w:val="778D7FE9"/>
    <w:rsid w:val="779F7974"/>
    <w:rsid w:val="78472D2D"/>
    <w:rsid w:val="79480927"/>
    <w:rsid w:val="79B41A4E"/>
    <w:rsid w:val="79CD2C51"/>
    <w:rsid w:val="79E745A2"/>
    <w:rsid w:val="7A7E3F4B"/>
    <w:rsid w:val="7A8C3086"/>
    <w:rsid w:val="7C291FC0"/>
    <w:rsid w:val="7C3B5E78"/>
    <w:rsid w:val="7D542B49"/>
    <w:rsid w:val="7DE718E5"/>
    <w:rsid w:val="7DFF7166"/>
    <w:rsid w:val="7EFFA880"/>
    <w:rsid w:val="7F3C2060"/>
    <w:rsid w:val="7F740E12"/>
    <w:rsid w:val="7FF30F37"/>
    <w:rsid w:val="ABEB618A"/>
    <w:rsid w:val="BF2FA057"/>
    <w:rsid w:val="D2DDCDCF"/>
    <w:rsid w:val="DFDE1843"/>
    <w:rsid w:val="F5B60B0A"/>
    <w:rsid w:val="FF7F8246"/>
    <w:rsid w:val="FFCFF477"/>
    <w:rsid w:val="FFDF6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8"/>
    <w:semiHidden/>
    <w:unhideWhenUsed/>
    <w:qFormat/>
    <w:uiPriority w:val="99"/>
    <w:rPr>
      <w:b/>
      <w:bCs/>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character" w:customStyle="1" w:styleId="15">
    <w:name w:val="批注框文本 字符"/>
    <w:basedOn w:val="10"/>
    <w:link w:val="3"/>
    <w:semiHidden/>
    <w:qFormat/>
    <w:uiPriority w:val="99"/>
    <w:rPr>
      <w:sz w:val="18"/>
      <w:szCs w:val="18"/>
    </w:rPr>
  </w:style>
  <w:style w:type="character" w:customStyle="1" w:styleId="16">
    <w:name w:val="font31"/>
    <w:basedOn w:val="10"/>
    <w:qFormat/>
    <w:uiPriority w:val="0"/>
    <w:rPr>
      <w:rFonts w:hint="eastAsia" w:ascii="仿宋" w:hAnsi="仿宋" w:eastAsia="仿宋" w:cs="仿宋"/>
      <w:b/>
      <w:bCs/>
      <w:color w:val="000000"/>
      <w:sz w:val="24"/>
      <w:szCs w:val="24"/>
      <w:u w:val="none"/>
      <w:vertAlign w:val="superscript"/>
    </w:rPr>
  </w:style>
  <w:style w:type="character" w:customStyle="1" w:styleId="17">
    <w:name w:val="批注文字 字符"/>
    <w:basedOn w:val="10"/>
    <w:link w:val="2"/>
    <w:qFormat/>
    <w:uiPriority w:val="99"/>
    <w:rPr>
      <w:rFonts w:asciiTheme="minorHAnsi" w:hAnsiTheme="minorHAnsi" w:eastAsiaTheme="minorEastAsia" w:cstheme="minorBidi"/>
      <w:kern w:val="2"/>
      <w:sz w:val="21"/>
      <w:szCs w:val="22"/>
    </w:rPr>
  </w:style>
  <w:style w:type="character" w:customStyle="1" w:styleId="18">
    <w:name w:val="批注主题 字符"/>
    <w:basedOn w:val="17"/>
    <w:link w:val="7"/>
    <w:semiHidden/>
    <w:qFormat/>
    <w:uiPriority w:val="99"/>
    <w:rPr>
      <w:rFonts w:asciiTheme="minorHAnsi" w:hAnsiTheme="minorHAnsi" w:eastAsiaTheme="minorEastAsia" w:cstheme="minorBidi"/>
      <w:b/>
      <w:bCs/>
      <w:kern w:val="2"/>
      <w:sz w:val="21"/>
      <w:szCs w:val="22"/>
    </w:rPr>
  </w:style>
  <w:style w:type="paragraph" w:customStyle="1" w:styleId="19">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2"/>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4"/>
    <customShpInfo spid="_x0000_s3073"/>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15F97F-45CC-4B56-901C-0A85F6FF60BB}">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2963</Words>
  <Characters>2974</Characters>
  <Lines>77</Lines>
  <Paragraphs>60</Paragraphs>
  <TotalTime>1</TotalTime>
  <ScaleCrop>false</ScaleCrop>
  <LinksUpToDate>false</LinksUpToDate>
  <CharactersWithSpaces>3029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2026-01-22T08:43:00Z</dcterms:created>
  <dc:creator>罗绍武</dc:creator>
  <cp:lastModifiedBy>maojie</cp:lastModifiedBy>
  <cp:lastPrinted>2021-08-20T01:35:00Z</cp:lastPrinted>
  <dcterms:modified xsi:type="dcterms:W3CDTF">2026-02-02T03:59:06Z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45FC2717C50C4DDE90F2A854C4410664_13</vt:lpwstr>
  </property>
  <property fmtid="{D5CDD505-2E9C-101B-9397-08002B2CF9AE}" pid="4" name="KSOTemplateDocerSaveRecord">
    <vt:lpwstr>eyJoZGlkIjoiM2M1MTExOWE5ZGVmNzcwM2FhZDgzMTI4OGU2OGRiOWMiLCJ1c2VySWQiOiIyNDk0NzU3ODcifQ==</vt:lpwstr>
  </property>
</Properties>
</file>