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2912F">
      <w:pPr>
        <w:spacing w:line="560" w:lineRule="exact"/>
        <w:jc w:val="right"/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清深国院规〔202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〕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号</w:t>
      </w:r>
    </w:p>
    <w:p w14:paraId="0AEFD3D5">
      <w:pPr>
        <w:spacing w:line="560" w:lineRule="exact"/>
        <w:jc w:val="center"/>
        <w:rPr>
          <w:rFonts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清华大学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深圳国际研究生院精品课建设与管理办法</w:t>
      </w:r>
    </w:p>
    <w:p w14:paraId="2D9E4242">
      <w:pPr>
        <w:spacing w:line="560" w:lineRule="exact"/>
        <w:ind w:firstLine="480"/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二</w:t>
      </w:r>
      <w:r>
        <w:rPr>
          <w:rFonts w:hint="eastAsia" w:ascii="仿宋_GB2312" w:hAnsi="宋体" w:eastAsia="仿宋_GB2312"/>
          <w:kern w:val="0"/>
          <w:sz w:val="32"/>
          <w:szCs w:val="32"/>
        </w:rPr>
        <w:t>〇</w:t>
      </w:r>
      <w:r>
        <w:rPr>
          <w:rFonts w:hint="eastAsia" w:ascii="仿宋_GB2312" w:eastAsia="仿宋_GB2312"/>
          <w:color w:val="000000"/>
          <w:sz w:val="32"/>
          <w:szCs w:val="32"/>
        </w:rPr>
        <w:t>一七年第四次院务会（2017年5月22日）审议通过，</w:t>
      </w:r>
    </w:p>
    <w:p w14:paraId="2B60BA71">
      <w:pPr>
        <w:spacing w:line="560" w:lineRule="exact"/>
        <w:ind w:firstLine="480"/>
        <w:jc w:val="center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二</w:t>
      </w:r>
      <w:r>
        <w:rPr>
          <w:rFonts w:hint="eastAsia" w:ascii="仿宋_GB2312" w:hAnsi="宋体" w:eastAsia="仿宋_GB2312"/>
          <w:kern w:val="0"/>
          <w:sz w:val="32"/>
          <w:szCs w:val="32"/>
        </w:rPr>
        <w:t>〇</w:t>
      </w:r>
      <w:r>
        <w:rPr>
          <w:rFonts w:hint="eastAsia" w:ascii="仿宋_GB2312" w:eastAsia="仿宋_GB2312"/>
          <w:color w:val="000000"/>
          <w:sz w:val="32"/>
          <w:szCs w:val="32"/>
        </w:rPr>
        <w:t>二五年第七十一次党政联席会议（2025年12月17日）修订</w:t>
      </w:r>
    </w:p>
    <w:p w14:paraId="38DD3A12">
      <w:pPr>
        <w:widowControl/>
        <w:spacing w:line="340" w:lineRule="exact"/>
        <w:rPr>
          <w:rFonts w:hint="eastAsia" w:ascii="黑体" w:hAnsi="黑体" w:eastAsia="黑体" w:cs="宋体"/>
          <w:bCs/>
          <w:color w:val="000000"/>
          <w:kern w:val="0"/>
          <w:szCs w:val="24"/>
        </w:rPr>
      </w:pPr>
    </w:p>
    <w:p w14:paraId="1A09A726">
      <w:pPr>
        <w:widowControl/>
        <w:spacing w:line="560" w:lineRule="exact"/>
        <w:ind w:firstLine="643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b/>
          <w:bCs/>
          <w:color w:val="000000"/>
          <w:kern w:val="0"/>
          <w:sz w:val="32"/>
          <w:szCs w:val="32"/>
        </w:rPr>
        <w:t>第一条</w:t>
      </w: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 xml:space="preserve">  为进一步推进清华大学深圳国际研究生院（以下简称学院）精品课程建设，增加优质课源，提高教学质量，根据《清华大学精品课程评选办法》，结合学院实际，制定本办法。</w:t>
      </w:r>
    </w:p>
    <w:p w14:paraId="7F5E11C7">
      <w:pPr>
        <w:widowControl/>
        <w:spacing w:line="560" w:lineRule="exact"/>
        <w:ind w:firstLine="643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b/>
          <w:bCs/>
          <w:color w:val="000000"/>
          <w:kern w:val="0"/>
          <w:sz w:val="32"/>
          <w:szCs w:val="32"/>
        </w:rPr>
        <w:t xml:space="preserve">第二条  </w:t>
      </w: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>学院</w:t>
      </w: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  <w:lang w:bidi="ar"/>
        </w:rPr>
        <w:t>精品课程建设由培养处负责组织评选工作。</w:t>
      </w:r>
    </w:p>
    <w:p w14:paraId="56DCE93E">
      <w:pPr>
        <w:pStyle w:val="10"/>
        <w:widowControl/>
        <w:spacing w:line="560" w:lineRule="exact"/>
        <w:ind w:firstLine="200" w:firstLineChars="0"/>
        <w:jc w:val="left"/>
        <w:rPr>
          <w:rFonts w:hint="eastAsia" w:ascii="仿宋_GB2312" w:eastAsia="仿宋_GB2312" w:cs="宋体" w:hAnsiTheme="minorEastAsia"/>
          <w:b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b/>
          <w:color w:val="000000"/>
          <w:kern w:val="0"/>
          <w:sz w:val="32"/>
          <w:szCs w:val="32"/>
        </w:rPr>
        <w:t xml:space="preserve">   第三条  </w:t>
      </w:r>
      <w:r>
        <w:rPr>
          <w:rFonts w:hint="eastAsia" w:ascii="仿宋_GB2312" w:eastAsia="仿宋_GB2312" w:cs="宋体" w:hAnsiTheme="minorEastAsia"/>
          <w:bCs/>
          <w:color w:val="000000"/>
          <w:kern w:val="0"/>
          <w:sz w:val="32"/>
          <w:szCs w:val="32"/>
        </w:rPr>
        <w:t>学院精品课程申报基本条件</w:t>
      </w:r>
    </w:p>
    <w:p w14:paraId="73ECC35E">
      <w:pPr>
        <w:widowControl/>
        <w:spacing w:line="560" w:lineRule="exact"/>
        <w:ind w:firstLine="640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>（一）连续开设3年以上且教评成绩达到合格及以上，并能持续稳定开设，选课人数一般要求在15人（含）以上；</w:t>
      </w:r>
    </w:p>
    <w:p w14:paraId="5D0FD0CD">
      <w:pPr>
        <w:widowControl/>
        <w:spacing w:line="560" w:lineRule="exact"/>
        <w:ind w:firstLine="640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>（二）任课教师具有较高的教学研究水平和敬业精神；多人讲授的课程，教师队伍应具有合理的结构且整体教学效果良好；</w:t>
      </w:r>
    </w:p>
    <w:p w14:paraId="42CA38CA">
      <w:pPr>
        <w:widowControl/>
        <w:spacing w:line="560" w:lineRule="exact"/>
        <w:ind w:firstLine="640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>（三）课程体系合理，教学过程能体现研究型的教学理念和教学模式，注重对研究生创新思维和综合能力的培养；</w:t>
      </w:r>
    </w:p>
    <w:p w14:paraId="62F181EF">
      <w:pPr>
        <w:widowControl/>
        <w:spacing w:line="560" w:lineRule="exact"/>
        <w:ind w:firstLine="640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>（四）课程具有完整的教学参考材料。</w:t>
      </w:r>
    </w:p>
    <w:p w14:paraId="6612A4E2">
      <w:pPr>
        <w:widowControl/>
        <w:spacing w:line="560" w:lineRule="exact"/>
        <w:ind w:firstLine="643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b/>
          <w:bCs/>
          <w:color w:val="000000"/>
          <w:kern w:val="0"/>
          <w:sz w:val="32"/>
          <w:szCs w:val="32"/>
        </w:rPr>
        <w:t>第四条</w:t>
      </w: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 xml:space="preserve">  列入学院研究生核心课程清单的课程、实验实践创新特色鲜明的课程、有教材编写和出版计划的课程以及教学评估在前5%的课程在申报学院精品课程时予以优先支持。</w:t>
      </w:r>
    </w:p>
    <w:p w14:paraId="744C63FD">
      <w:pPr>
        <w:widowControl/>
        <w:spacing w:line="560" w:lineRule="exact"/>
        <w:ind w:firstLine="643" w:firstLineChars="200"/>
        <w:jc w:val="left"/>
        <w:rPr>
          <w:rFonts w:hint="eastAsia" w:ascii="仿宋_GB2312" w:eastAsia="仿宋_GB2312" w:cs="宋体" w:hAnsiTheme="minorEastAsia"/>
          <w:bCs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b/>
          <w:color w:val="000000"/>
          <w:kern w:val="0"/>
          <w:sz w:val="32"/>
          <w:szCs w:val="32"/>
        </w:rPr>
        <w:t>第五条</w:t>
      </w:r>
      <w:r>
        <w:rPr>
          <w:rFonts w:hint="eastAsia" w:ascii="仿宋_GB2312" w:eastAsia="仿宋_GB2312" w:cs="宋体" w:hAnsiTheme="minorEastAsia"/>
          <w:bCs/>
          <w:color w:val="000000"/>
          <w:kern w:val="0"/>
          <w:sz w:val="32"/>
          <w:szCs w:val="32"/>
        </w:rPr>
        <w:t xml:space="preserve">  精品课申报审批和评审</w:t>
      </w:r>
    </w:p>
    <w:p w14:paraId="31A4E4B6">
      <w:pPr>
        <w:widowControl/>
        <w:spacing w:line="560" w:lineRule="exact"/>
        <w:ind w:firstLine="640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>（一）课程负责教师填写精品课建设项目申报表，由所在</w:t>
      </w:r>
      <w:r>
        <w:rPr>
          <w:rFonts w:hint="eastAsia" w:ascii="仿宋_GB2312" w:eastAsia="仿宋_GB2312"/>
          <w:sz w:val="32"/>
          <w:szCs w:val="32"/>
        </w:rPr>
        <w:t>教学科研机构主管教学</w:t>
      </w: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>负责人审批并报培养处初审；</w:t>
      </w:r>
    </w:p>
    <w:p w14:paraId="1DE6E114">
      <w:pPr>
        <w:widowControl/>
        <w:spacing w:line="560" w:lineRule="exact"/>
        <w:ind w:firstLine="640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>（二）学院教学委员会对申报课程进行评审，通过的精品课建设项目在院内公示，并签署立项任务书；</w:t>
      </w:r>
    </w:p>
    <w:p w14:paraId="3D557044">
      <w:pPr>
        <w:widowControl/>
        <w:spacing w:line="560" w:lineRule="exact"/>
        <w:ind w:firstLine="640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  <w:highlight w:val="yellow"/>
        </w:rPr>
      </w:pP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>（三）精品课建设项目周期一般为2-3年。项目实施1年半后，由学院教学委员会进行中期评审；</w:t>
      </w:r>
    </w:p>
    <w:p w14:paraId="11C0BCCB">
      <w:pPr>
        <w:widowControl/>
        <w:spacing w:line="560" w:lineRule="exact"/>
        <w:ind w:firstLine="640" w:firstLineChars="200"/>
        <w:jc w:val="left"/>
        <w:rPr>
          <w:rFonts w:hint="eastAsia" w:ascii="仿宋_GB2312" w:eastAsia="仿宋_GB2312" w:cs="宋体" w:hAnsiTheme="minorEastAsia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>（四）精品课结题时由学院教学委员会进行结题评审验收，验收通过后在院内公示。</w:t>
      </w:r>
    </w:p>
    <w:p w14:paraId="2A17744A">
      <w:pPr>
        <w:widowControl/>
        <w:spacing w:line="560" w:lineRule="exact"/>
        <w:ind w:firstLine="643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b/>
          <w:color w:val="000000"/>
          <w:kern w:val="0"/>
          <w:sz w:val="32"/>
          <w:szCs w:val="32"/>
        </w:rPr>
        <w:t>第六条</w:t>
      </w: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 xml:space="preserve">  精品课建设项目经费一般为6万元/门。经费分三批拨款，签署立项任务书后下拨第一批资助经费（2万元），中期评审通过后拨第二批经费（2万元），项目结题验收通过后拨第三批经费（2万元）。各精品课建设项目设专项账户，由精品课建设项目负责人统一调配使用经费。</w:t>
      </w:r>
    </w:p>
    <w:p w14:paraId="60D50BBB">
      <w:pPr>
        <w:widowControl/>
        <w:spacing w:line="560" w:lineRule="exact"/>
        <w:ind w:firstLine="643" w:firstLineChars="200"/>
        <w:jc w:val="left"/>
        <w:rPr>
          <w:rFonts w:hint="eastAsia" w:ascii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b/>
          <w:bCs/>
          <w:color w:val="000000"/>
          <w:kern w:val="0"/>
          <w:sz w:val="32"/>
          <w:szCs w:val="32"/>
        </w:rPr>
        <w:t xml:space="preserve">第七条 </w:t>
      </w: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 xml:space="preserve"> 验收合格的精品课建设项目由学院授予“清华大学深圳国际研究生院精品课程”称号并颁发证书，同时学院可推荐验收合格的项目参评清华大学精品课。</w:t>
      </w:r>
    </w:p>
    <w:p w14:paraId="682FDE65">
      <w:pPr>
        <w:widowControl/>
        <w:spacing w:line="560" w:lineRule="exact"/>
        <w:ind w:firstLine="643" w:firstLineChars="200"/>
        <w:jc w:val="left"/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 xml:space="preserve">第八条  </w:t>
      </w:r>
      <w:r>
        <w:rPr>
          <w:rFonts w:hint="eastAsia" w:ascii="仿宋_GB2312" w:eastAsia="仿宋_GB2312" w:cs="宋体" w:hAnsiTheme="minorEastAsia"/>
          <w:color w:val="000000"/>
          <w:kern w:val="0"/>
          <w:sz w:val="32"/>
          <w:szCs w:val="32"/>
        </w:rPr>
        <w:t>已获得“清华大学深圳国际研究生院精品课程”称号的研究生课程，每3年须由学院教学委员会复审，以确保课程质量和示范效果。复审要求和标准与学院精品课立项一致。</w:t>
      </w:r>
    </w:p>
    <w:p w14:paraId="0F73C440">
      <w:pPr>
        <w:widowControl/>
        <w:spacing w:line="560" w:lineRule="exact"/>
        <w:ind w:firstLine="643" w:firstLineChars="200"/>
        <w:jc w:val="left"/>
        <w:rPr>
          <w:rFonts w:hint="eastAsia" w:ascii="仿宋_GB2312" w:eastAsia="仿宋_GB2312" w:cs="宋体" w:hAnsiTheme="minorEastAsia"/>
          <w:bCs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b/>
          <w:color w:val="000000"/>
          <w:kern w:val="0"/>
          <w:sz w:val="32"/>
          <w:szCs w:val="32"/>
        </w:rPr>
        <w:t xml:space="preserve">第九条  </w:t>
      </w:r>
      <w:r>
        <w:rPr>
          <w:rFonts w:hint="eastAsia" w:ascii="仿宋_GB2312" w:eastAsia="仿宋_GB2312" w:cs="宋体" w:hAnsiTheme="minorEastAsia"/>
          <w:bCs/>
          <w:color w:val="000000"/>
          <w:kern w:val="0"/>
          <w:sz w:val="32"/>
          <w:szCs w:val="32"/>
        </w:rPr>
        <w:t>本办法由培养处负责解释。</w:t>
      </w:r>
    </w:p>
    <w:p w14:paraId="673C92E1">
      <w:pPr>
        <w:widowControl/>
        <w:spacing w:line="560" w:lineRule="exact"/>
        <w:ind w:firstLine="643" w:firstLineChars="200"/>
        <w:jc w:val="left"/>
        <w:rPr>
          <w:rFonts w:hint="eastAsia" w:ascii="仿宋_GB2312" w:eastAsia="仿宋_GB2312" w:cs="宋体" w:hAnsiTheme="minorEastAsia"/>
          <w:b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inorEastAsia"/>
          <w:b/>
          <w:color w:val="000000"/>
          <w:kern w:val="0"/>
          <w:sz w:val="32"/>
          <w:szCs w:val="32"/>
        </w:rPr>
        <w:t>第十条</w:t>
      </w:r>
      <w:r>
        <w:rPr>
          <w:rFonts w:hint="eastAsia" w:ascii="仿宋_GB2312" w:eastAsia="仿宋_GB2312" w:cs="宋体" w:hAnsiTheme="minorEastAsia"/>
          <w:bCs/>
          <w:color w:val="000000"/>
          <w:kern w:val="0"/>
          <w:sz w:val="32"/>
          <w:szCs w:val="32"/>
        </w:rPr>
        <w:t xml:space="preserve">  本办法自公布之日起施行。</w:t>
      </w:r>
    </w:p>
    <w:p w14:paraId="19DBB475"/>
    <w:sectPr>
      <w:headerReference r:id="rId4" w:type="first"/>
      <w:footerReference r:id="rId6" w:type="first"/>
      <w:headerReference r:id="rId3" w:type="even"/>
      <w:footerReference r:id="rId5" w:type="even"/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B9FCE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0F27E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1F194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3EC0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2170BE"/>
    <w:rsid w:val="000D5C4B"/>
    <w:rsid w:val="00105A57"/>
    <w:rsid w:val="00141EE2"/>
    <w:rsid w:val="001E2861"/>
    <w:rsid w:val="002B74B1"/>
    <w:rsid w:val="003010E6"/>
    <w:rsid w:val="0039300A"/>
    <w:rsid w:val="00456D1D"/>
    <w:rsid w:val="00483ECE"/>
    <w:rsid w:val="004D5166"/>
    <w:rsid w:val="00612C33"/>
    <w:rsid w:val="00623EAF"/>
    <w:rsid w:val="00653209"/>
    <w:rsid w:val="007323A5"/>
    <w:rsid w:val="00963FD1"/>
    <w:rsid w:val="009D1EB5"/>
    <w:rsid w:val="00A360C3"/>
    <w:rsid w:val="00A537DE"/>
    <w:rsid w:val="00AA0973"/>
    <w:rsid w:val="00C243EC"/>
    <w:rsid w:val="00C96673"/>
    <w:rsid w:val="00CB12AB"/>
    <w:rsid w:val="00CB2978"/>
    <w:rsid w:val="00D97C4D"/>
    <w:rsid w:val="00E51855"/>
    <w:rsid w:val="00ED6340"/>
    <w:rsid w:val="00FC792B"/>
    <w:rsid w:val="05C32781"/>
    <w:rsid w:val="07192107"/>
    <w:rsid w:val="072F26B3"/>
    <w:rsid w:val="27813840"/>
    <w:rsid w:val="2A835BDE"/>
    <w:rsid w:val="2B2D6354"/>
    <w:rsid w:val="31436D79"/>
    <w:rsid w:val="372170BE"/>
    <w:rsid w:val="43126596"/>
    <w:rsid w:val="49137521"/>
    <w:rsid w:val="4C965060"/>
    <w:rsid w:val="4E481A1B"/>
    <w:rsid w:val="52276FF3"/>
    <w:rsid w:val="541B3987"/>
    <w:rsid w:val="566156C7"/>
    <w:rsid w:val="597C44DD"/>
    <w:rsid w:val="5BFF8B43"/>
    <w:rsid w:val="5FEFD598"/>
    <w:rsid w:val="6F9603E0"/>
    <w:rsid w:val="74016E35"/>
    <w:rsid w:val="77FFAD29"/>
    <w:rsid w:val="78C726DD"/>
    <w:rsid w:val="7BE37FA9"/>
    <w:rsid w:val="7D3D20E1"/>
    <w:rsid w:val="7D7EA19D"/>
    <w:rsid w:val="7FD51218"/>
    <w:rsid w:val="B6EE6147"/>
    <w:rsid w:val="F9E6DCA5"/>
    <w:rsid w:val="FBD5FFC7"/>
    <w:rsid w:val="FD398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2"/>
    <w:qFormat/>
    <w:uiPriority w:val="0"/>
    <w:pPr>
      <w:jc w:val="left"/>
    </w:pPr>
  </w:style>
  <w:style w:type="paragraph" w:styleId="4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3"/>
    <w:next w:val="3"/>
    <w:link w:val="13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cstheme="minorBidi"/>
    </w:rPr>
  </w:style>
  <w:style w:type="paragraph" w:customStyle="1" w:styleId="11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2">
    <w:name w:val="批注文字 字符"/>
    <w:basedOn w:val="8"/>
    <w:link w:val="3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13">
    <w:name w:val="批注主题 字符"/>
    <w:basedOn w:val="12"/>
    <w:link w:val="6"/>
    <w:qFormat/>
    <w:uiPriority w:val="0"/>
    <w:rPr>
      <w:rFonts w:ascii="Calibri" w:hAnsi="Calibri" w:eastAsia="宋体" w:cs="Times New Roman"/>
      <w:b/>
      <w:bCs/>
      <w:kern w:val="2"/>
      <w:sz w:val="21"/>
      <w:szCs w:val="22"/>
    </w:rPr>
  </w:style>
  <w:style w:type="paragraph" w:customStyle="1" w:styleId="14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眉 字符"/>
    <w:basedOn w:val="8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6">
    <w:name w:val="页脚 字符"/>
    <w:basedOn w:val="8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7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修订4"/>
    <w:hidden/>
    <w:unhideWhenUsed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Revision"/>
    <w:hidden/>
    <w:unhideWhenUsed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1F1ED436-9583-4A09-8FBE-25BDB1F574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928</Words>
  <Characters>941</Characters>
  <Lines>24</Lines>
  <Paragraphs>21</Paragraphs>
  <TotalTime>0</TotalTime>
  <ScaleCrop>false</ScaleCrop>
  <LinksUpToDate>false</LinksUpToDate>
  <CharactersWithSpaces>964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2026-01-04T22:32:00Z</dcterms:created>
  <dc:creator>zj</dc:creator>
  <cp:lastModifiedBy>maojie</cp:lastModifiedBy>
  <dcterms:modified xsi:type="dcterms:W3CDTF">2026-01-08T03:01:22Z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E5A6084B98277D00EF525A69C6529290_43</vt:lpwstr>
  </property>
  <property fmtid="{D5CDD505-2E9C-101B-9397-08002B2CF9AE}" pid="4" name="KSOTemplateDocerSaveRecord">
    <vt:lpwstr>eyJoZGlkIjoiYmJiNDY5ODA2NTFiODdlMmM3NTkwZGM3Y2QwMzI4NDYiLCJ1c2VySWQiOiIyNDk0NzU3ODcifQ==</vt:lpwstr>
  </property>
</Properties>
</file>